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8C4A0" w14:textId="44B2B4B5" w:rsidR="00E23C63" w:rsidRDefault="00251847" w:rsidP="00E23C63">
      <w:pPr>
        <w:spacing w:line="360" w:lineRule="auto"/>
        <w:jc w:val="center"/>
        <w:rPr>
          <w:b/>
        </w:rPr>
      </w:pPr>
      <w:r>
        <w:rPr>
          <w:b/>
          <w:lang w:val="en-US"/>
        </w:rPr>
        <w:t>SELF-DRIVING</w:t>
      </w:r>
      <w:r w:rsidR="00E23C63" w:rsidRPr="00E14D8C">
        <w:rPr>
          <w:b/>
          <w:lang w:val="en-US"/>
        </w:rPr>
        <w:t xml:space="preserve"> CARS AND </w:t>
      </w:r>
      <w:r w:rsidR="00BC1E38" w:rsidRPr="00E14D8C">
        <w:rPr>
          <w:b/>
          <w:lang w:val="en-US"/>
        </w:rPr>
        <w:t>SOME (UNINTENDED) REGULATORY BARRIERS IN INDIA</w:t>
      </w:r>
      <w:r w:rsidR="00E23C63" w:rsidRPr="00E14D8C">
        <w:rPr>
          <w:b/>
          <w:lang w:val="en-US"/>
        </w:rPr>
        <w:t>: A ROAD LESS TRAVELLED?</w:t>
      </w:r>
      <w:r w:rsidR="00E23C63" w:rsidRPr="00E14D8C">
        <w:rPr>
          <w:b/>
        </w:rPr>
        <w:t xml:space="preserve"> </w:t>
      </w:r>
    </w:p>
    <w:p w14:paraId="16CB56ED" w14:textId="558770F3" w:rsidR="00D979D3" w:rsidRPr="00D979D3" w:rsidRDefault="00D979D3" w:rsidP="00D979D3">
      <w:pPr>
        <w:spacing w:line="360" w:lineRule="auto"/>
        <w:jc w:val="center"/>
        <w:rPr>
          <w:b/>
          <w:color w:val="000000" w:themeColor="text1"/>
        </w:rPr>
      </w:pPr>
      <w:r>
        <w:rPr>
          <w:b/>
          <w:color w:val="000000" w:themeColor="text1"/>
        </w:rPr>
        <w:t>Saloni Khanderia*</w:t>
      </w:r>
    </w:p>
    <w:p w14:paraId="76329A56" w14:textId="77777777" w:rsidR="00E23C63" w:rsidRPr="00E14D8C" w:rsidRDefault="00E23C63" w:rsidP="00A34E89">
      <w:pPr>
        <w:spacing w:line="360" w:lineRule="auto"/>
        <w:jc w:val="both"/>
        <w:rPr>
          <w:lang w:val="en-US"/>
        </w:rPr>
      </w:pPr>
    </w:p>
    <w:p w14:paraId="62F029AF" w14:textId="384FA445" w:rsidR="00AB7119" w:rsidRDefault="00AB7119" w:rsidP="00F02271">
      <w:pPr>
        <w:spacing w:line="360" w:lineRule="auto"/>
        <w:jc w:val="both"/>
        <w:rPr>
          <w:b/>
          <w:lang w:val="en-US"/>
        </w:rPr>
      </w:pPr>
      <w:r>
        <w:rPr>
          <w:b/>
          <w:lang w:val="en-US"/>
        </w:rPr>
        <w:t>Abstract</w:t>
      </w:r>
    </w:p>
    <w:p w14:paraId="18DFE5B7" w14:textId="26753F91" w:rsidR="003718EC" w:rsidRPr="00147A99" w:rsidRDefault="00AB7119" w:rsidP="00147A99">
      <w:pPr>
        <w:jc w:val="both"/>
        <w:rPr>
          <w:lang w:val="en-US"/>
        </w:rPr>
      </w:pPr>
      <w:r w:rsidRPr="00147A99">
        <w:rPr>
          <w:lang w:val="en-US"/>
        </w:rPr>
        <w:t xml:space="preserve">The deployment of </w:t>
      </w:r>
      <w:r w:rsidR="00251847">
        <w:rPr>
          <w:lang w:val="en-US"/>
        </w:rPr>
        <w:t>self-driving</w:t>
      </w:r>
      <w:r w:rsidR="00251847" w:rsidRPr="00E14D8C">
        <w:rPr>
          <w:lang w:val="en-US"/>
        </w:rPr>
        <w:t xml:space="preserve"> </w:t>
      </w:r>
      <w:r w:rsidRPr="00147A99">
        <w:rPr>
          <w:lang w:val="en-US"/>
        </w:rPr>
        <w:t xml:space="preserve">cars seems to be the recent focus in several parts of the world. The operation of </w:t>
      </w:r>
      <w:proofErr w:type="spellStart"/>
      <w:r w:rsidRPr="00147A99">
        <w:rPr>
          <w:lang w:val="en-US"/>
        </w:rPr>
        <w:t>Robotaxis</w:t>
      </w:r>
      <w:proofErr w:type="spellEnd"/>
      <w:r w:rsidRPr="00147A99">
        <w:rPr>
          <w:lang w:val="en-US"/>
        </w:rPr>
        <w:t xml:space="preserve">, shuttles and other forms of public transport in the United States [the </w:t>
      </w:r>
      <w:r w:rsidR="00F03653" w:rsidRPr="00147A99">
        <w:rPr>
          <w:lang w:val="en-US"/>
        </w:rPr>
        <w:t>US</w:t>
      </w:r>
      <w:r w:rsidRPr="00147A99">
        <w:rPr>
          <w:lang w:val="en-US"/>
        </w:rPr>
        <w:t>], China and France are illustrative of these trends. Some other parts of the world</w:t>
      </w:r>
      <w:r w:rsidR="00F03653" w:rsidRPr="00147A99">
        <w:rPr>
          <w:lang w:val="en-US"/>
        </w:rPr>
        <w:t>,</w:t>
      </w:r>
      <w:r w:rsidRPr="00147A99">
        <w:rPr>
          <w:lang w:val="en-US"/>
        </w:rPr>
        <w:t xml:space="preserve"> such as Germany and Japan</w:t>
      </w:r>
      <w:r w:rsidR="00F03653" w:rsidRPr="00147A99">
        <w:rPr>
          <w:lang w:val="en-US"/>
        </w:rPr>
        <w:t>,</w:t>
      </w:r>
      <w:r w:rsidRPr="00147A99">
        <w:rPr>
          <w:lang w:val="en-US"/>
        </w:rPr>
        <w:t xml:space="preserve"> have simultaneously been gearing up to </w:t>
      </w:r>
      <w:r w:rsidR="00F03653" w:rsidRPr="00147A99">
        <w:rPr>
          <w:lang w:val="en-US"/>
        </w:rPr>
        <w:t>open</w:t>
      </w:r>
      <w:r w:rsidRPr="00147A99">
        <w:rPr>
          <w:lang w:val="en-US"/>
        </w:rPr>
        <w:t xml:space="preserve"> public roads to such cars. The recent trends </w:t>
      </w:r>
      <w:r w:rsidR="00F03653" w:rsidRPr="00147A99">
        <w:rPr>
          <w:lang w:val="en-US"/>
        </w:rPr>
        <w:t>indicate</w:t>
      </w:r>
      <w:r w:rsidRPr="00147A99">
        <w:rPr>
          <w:lang w:val="en-US"/>
        </w:rPr>
        <w:t xml:space="preserve"> that the implementation of such modern technologies has no longer remained a moot point. Instead, current questions have </w:t>
      </w:r>
      <w:r w:rsidR="00F03653" w:rsidRPr="00147A99">
        <w:rPr>
          <w:lang w:val="en-US"/>
        </w:rPr>
        <w:t>increasingly</w:t>
      </w:r>
      <w:r w:rsidRPr="00147A99">
        <w:rPr>
          <w:lang w:val="en-US"/>
        </w:rPr>
        <w:t xml:space="preserve"> focused on how technological developments such as these may safely</w:t>
      </w:r>
      <w:r w:rsidR="00874677" w:rsidRPr="00147A99">
        <w:rPr>
          <w:lang w:val="en-US"/>
        </w:rPr>
        <w:t xml:space="preserve"> be</w:t>
      </w:r>
      <w:r w:rsidRPr="00147A99">
        <w:rPr>
          <w:lang w:val="en-US"/>
        </w:rPr>
        <w:t xml:space="preserve"> adapted into public life. </w:t>
      </w:r>
    </w:p>
    <w:p w14:paraId="55818277" w14:textId="137662B6" w:rsidR="00F03653" w:rsidRPr="00147A99" w:rsidRDefault="003718EC" w:rsidP="00147A99">
      <w:pPr>
        <w:jc w:val="both"/>
        <w:rPr>
          <w:lang w:val="en-US"/>
        </w:rPr>
      </w:pPr>
      <w:r w:rsidRPr="00147A99">
        <w:rPr>
          <w:lang w:val="en-US"/>
        </w:rPr>
        <w:t xml:space="preserve">         </w:t>
      </w:r>
      <w:r w:rsidR="00F03653" w:rsidRPr="00147A99">
        <w:rPr>
          <w:lang w:val="en-US"/>
        </w:rPr>
        <w:t xml:space="preserve">Being a relatively new facet, the </w:t>
      </w:r>
      <w:r w:rsidR="00251847">
        <w:rPr>
          <w:lang w:val="en-US"/>
        </w:rPr>
        <w:t>introduction</w:t>
      </w:r>
      <w:r w:rsidR="00F03653" w:rsidRPr="00147A99">
        <w:rPr>
          <w:lang w:val="en-US"/>
        </w:rPr>
        <w:t xml:space="preserve"> of </w:t>
      </w:r>
      <w:r w:rsidR="00251847">
        <w:rPr>
          <w:lang w:val="en-US"/>
        </w:rPr>
        <w:t>self-driving</w:t>
      </w:r>
      <w:r w:rsidR="00251847" w:rsidRPr="00E14D8C">
        <w:rPr>
          <w:lang w:val="en-US"/>
        </w:rPr>
        <w:t xml:space="preserve"> </w:t>
      </w:r>
      <w:r w:rsidR="00F03653" w:rsidRPr="00147A99">
        <w:rPr>
          <w:lang w:val="en-US"/>
        </w:rPr>
        <w:t>cars has by no means been free of complexities. It has, among other things, necessitated an urgent overhaul of the regulatory environment to address the unique challenges that modern technologies such as these are likely to pose. On</w:t>
      </w:r>
      <w:r w:rsidR="00AB7119" w:rsidRPr="00147A99">
        <w:rPr>
          <w:lang w:val="en-US"/>
        </w:rPr>
        <w:t xml:space="preserve"> the legislative front, the </w:t>
      </w:r>
      <w:r w:rsidR="00565204" w:rsidRPr="00147A99">
        <w:rPr>
          <w:lang w:val="en-US"/>
        </w:rPr>
        <w:t>formulation</w:t>
      </w:r>
      <w:r w:rsidR="00AB7119" w:rsidRPr="00147A99">
        <w:rPr>
          <w:lang w:val="en-US"/>
        </w:rPr>
        <w:t xml:space="preserve"> of clear, coherent rules </w:t>
      </w:r>
      <w:r w:rsidR="006D1315" w:rsidRPr="00147A99">
        <w:rPr>
          <w:lang w:val="en-US"/>
        </w:rPr>
        <w:t xml:space="preserve">to ascertain the </w:t>
      </w:r>
      <w:r w:rsidR="006D1315" w:rsidRPr="00147A99">
        <w:rPr>
          <w:lang w:val="en-US"/>
        </w:rPr>
        <w:t xml:space="preserve">rights and </w:t>
      </w:r>
      <w:r w:rsidR="00046136" w:rsidRPr="00147A99">
        <w:rPr>
          <w:lang w:val="en-US"/>
        </w:rPr>
        <w:t>liabilities</w:t>
      </w:r>
      <w:r w:rsidR="006D1315" w:rsidRPr="00147A99">
        <w:rPr>
          <w:lang w:val="en-US"/>
        </w:rPr>
        <w:t xml:space="preserve"> of the various stakeholders</w:t>
      </w:r>
      <w:r w:rsidR="00013E54" w:rsidRPr="00147A99">
        <w:rPr>
          <w:lang w:val="en-US"/>
        </w:rPr>
        <w:t>,</w:t>
      </w:r>
      <w:r w:rsidR="006D1315" w:rsidRPr="00147A99">
        <w:rPr>
          <w:lang w:val="en-US"/>
        </w:rPr>
        <w:t xml:space="preserve"> such as users</w:t>
      </w:r>
      <w:r w:rsidR="00013E54" w:rsidRPr="00147A99">
        <w:rPr>
          <w:lang w:val="en-US"/>
        </w:rPr>
        <w:t xml:space="preserve"> </w:t>
      </w:r>
      <w:r w:rsidR="006D1315" w:rsidRPr="00147A99">
        <w:rPr>
          <w:i/>
          <w:lang w:val="en-US"/>
        </w:rPr>
        <w:t>vis-à-vis</w:t>
      </w:r>
      <w:r w:rsidR="006D1315" w:rsidRPr="00147A99">
        <w:rPr>
          <w:lang w:val="en-US"/>
        </w:rPr>
        <w:t xml:space="preserve"> the owners</w:t>
      </w:r>
      <w:r w:rsidR="00013E54" w:rsidRPr="00147A99">
        <w:rPr>
          <w:lang w:val="en-US"/>
        </w:rPr>
        <w:t xml:space="preserve"> and</w:t>
      </w:r>
      <w:r w:rsidR="006D1315" w:rsidRPr="00147A99">
        <w:rPr>
          <w:lang w:val="en-US"/>
        </w:rPr>
        <w:t xml:space="preserve"> manufacturers</w:t>
      </w:r>
      <w:r w:rsidR="00013E54" w:rsidRPr="00147A99">
        <w:rPr>
          <w:lang w:val="en-US"/>
        </w:rPr>
        <w:t>,</w:t>
      </w:r>
      <w:r w:rsidR="006D1315" w:rsidRPr="00147A99">
        <w:rPr>
          <w:lang w:val="en-US"/>
        </w:rPr>
        <w:t xml:space="preserve"> for harm caused by such vehicles </w:t>
      </w:r>
      <w:r w:rsidR="00AB7119" w:rsidRPr="00147A99">
        <w:rPr>
          <w:lang w:val="en-US"/>
        </w:rPr>
        <w:t xml:space="preserve">has remained </w:t>
      </w:r>
      <w:r w:rsidR="00F03653" w:rsidRPr="00147A99">
        <w:rPr>
          <w:lang w:val="en-US"/>
        </w:rPr>
        <w:t xml:space="preserve">not merely </w:t>
      </w:r>
      <w:r w:rsidR="00AB7119" w:rsidRPr="00147A99">
        <w:rPr>
          <w:lang w:val="en-US"/>
        </w:rPr>
        <w:t xml:space="preserve">crucial </w:t>
      </w:r>
      <w:r w:rsidR="00F03653" w:rsidRPr="00147A99">
        <w:rPr>
          <w:lang w:val="en-US"/>
        </w:rPr>
        <w:t xml:space="preserve">but indispensable </w:t>
      </w:r>
      <w:r w:rsidR="006D1315" w:rsidRPr="00147A99">
        <w:rPr>
          <w:lang w:val="en-US"/>
        </w:rPr>
        <w:t xml:space="preserve">considering the peculiarities of the circumstances in which they are likely to be inflicted. </w:t>
      </w:r>
      <w:r w:rsidR="00F03653" w:rsidRPr="00147A99">
        <w:rPr>
          <w:lang w:val="en-US"/>
        </w:rPr>
        <w:t>On</w:t>
      </w:r>
      <w:r w:rsidR="00565204" w:rsidRPr="00147A99">
        <w:rPr>
          <w:lang w:val="en-US"/>
        </w:rPr>
        <w:t xml:space="preserve"> several </w:t>
      </w:r>
      <w:r w:rsidR="00F03653" w:rsidRPr="00147A99">
        <w:rPr>
          <w:lang w:val="en-US"/>
        </w:rPr>
        <w:t>occasions</w:t>
      </w:r>
      <w:r w:rsidR="00565204" w:rsidRPr="00147A99">
        <w:rPr>
          <w:lang w:val="en-US"/>
        </w:rPr>
        <w:t>, t</w:t>
      </w:r>
      <w:r w:rsidR="007F280C" w:rsidRPr="00147A99">
        <w:rPr>
          <w:lang w:val="en-US"/>
        </w:rPr>
        <w:t xml:space="preserve">he determination of liability </w:t>
      </w:r>
      <w:r w:rsidR="00F03653" w:rsidRPr="00147A99">
        <w:rPr>
          <w:lang w:val="en-US"/>
        </w:rPr>
        <w:t xml:space="preserve">for such harm </w:t>
      </w:r>
      <w:r w:rsidR="00565204" w:rsidRPr="00147A99">
        <w:rPr>
          <w:lang w:val="en-US"/>
        </w:rPr>
        <w:t>would</w:t>
      </w:r>
      <w:r w:rsidR="007F280C" w:rsidRPr="00147A99">
        <w:rPr>
          <w:lang w:val="en-US"/>
        </w:rPr>
        <w:t xml:space="preserve"> involve an interplay </w:t>
      </w:r>
      <w:r w:rsidR="00565204" w:rsidRPr="00147A99">
        <w:rPr>
          <w:lang w:val="en-US"/>
        </w:rPr>
        <w:t>between domestic rules on the subject and</w:t>
      </w:r>
      <w:r w:rsidR="007F280C" w:rsidRPr="00147A99">
        <w:rPr>
          <w:lang w:val="en-US"/>
        </w:rPr>
        <w:t xml:space="preserve"> conflict of laws</w:t>
      </w:r>
      <w:r w:rsidR="00F03653" w:rsidRPr="00147A99">
        <w:rPr>
          <w:lang w:val="en-US"/>
        </w:rPr>
        <w:t>,</w:t>
      </w:r>
      <w:r w:rsidR="00565204" w:rsidRPr="00147A99">
        <w:rPr>
          <w:lang w:val="en-US"/>
        </w:rPr>
        <w:t xml:space="preserve"> especially in </w:t>
      </w:r>
      <w:r w:rsidR="00F03653" w:rsidRPr="00147A99">
        <w:rPr>
          <w:lang w:val="en-US"/>
        </w:rPr>
        <w:t>cases</w:t>
      </w:r>
      <w:r w:rsidR="00565204" w:rsidRPr="00147A99">
        <w:rPr>
          <w:lang w:val="en-US"/>
        </w:rPr>
        <w:t xml:space="preserve"> where the damage has allegedly been caused by a car that has been manufactured overseas. </w:t>
      </w:r>
      <w:r w:rsidR="006D1315" w:rsidRPr="00147A99">
        <w:rPr>
          <w:lang w:val="en-US"/>
        </w:rPr>
        <w:t>In the absence of a treaty or Convention, t</w:t>
      </w:r>
      <w:r w:rsidR="00874677" w:rsidRPr="00147A99">
        <w:rPr>
          <w:lang w:val="en-US"/>
        </w:rPr>
        <w:t xml:space="preserve">he legal principles on the subject in several major jurisdictions such as Germany, France, the </w:t>
      </w:r>
      <w:r w:rsidR="00F03653" w:rsidRPr="00147A99">
        <w:rPr>
          <w:lang w:val="en-US"/>
        </w:rPr>
        <w:t>UK</w:t>
      </w:r>
      <w:r w:rsidR="00874677" w:rsidRPr="00147A99">
        <w:rPr>
          <w:lang w:val="en-US"/>
        </w:rPr>
        <w:t xml:space="preserve"> and China have been developed in tandem with the </w:t>
      </w:r>
      <w:r w:rsidR="00251847">
        <w:rPr>
          <w:lang w:val="en-US"/>
        </w:rPr>
        <w:t>introduction</w:t>
      </w:r>
      <w:r w:rsidR="00874677" w:rsidRPr="00147A99">
        <w:rPr>
          <w:lang w:val="en-US"/>
        </w:rPr>
        <w:t xml:space="preserve"> of </w:t>
      </w:r>
      <w:r w:rsidR="00251847">
        <w:rPr>
          <w:lang w:val="en-US"/>
        </w:rPr>
        <w:t>self-driving</w:t>
      </w:r>
      <w:r w:rsidR="00251847" w:rsidRPr="00E14D8C">
        <w:rPr>
          <w:lang w:val="en-US"/>
        </w:rPr>
        <w:t xml:space="preserve"> </w:t>
      </w:r>
      <w:r w:rsidR="00874677" w:rsidRPr="00147A99">
        <w:rPr>
          <w:lang w:val="en-US"/>
        </w:rPr>
        <w:t>cars.</w:t>
      </w:r>
    </w:p>
    <w:p w14:paraId="625DCF3E" w14:textId="1FD184A5" w:rsidR="00AB7119" w:rsidRPr="00147A99" w:rsidRDefault="00F03653" w:rsidP="00147A99">
      <w:pPr>
        <w:jc w:val="both"/>
        <w:rPr>
          <w:lang w:val="en-US"/>
        </w:rPr>
      </w:pPr>
      <w:r w:rsidRPr="00147A99">
        <w:rPr>
          <w:lang w:val="en-US"/>
        </w:rPr>
        <w:t xml:space="preserve">        </w:t>
      </w:r>
      <w:r w:rsidR="00874677" w:rsidRPr="00147A99">
        <w:rPr>
          <w:lang w:val="en-US"/>
        </w:rPr>
        <w:t xml:space="preserve">In contrast, India has been unmoved by these global developments. As the world progresses towards initiating a legal discourse to revamp the regulatory framework to address </w:t>
      </w:r>
      <w:r w:rsidR="00013E54" w:rsidRPr="00147A99">
        <w:rPr>
          <w:lang w:val="en-US"/>
        </w:rPr>
        <w:t>these challenges</w:t>
      </w:r>
      <w:r w:rsidR="00874677" w:rsidRPr="00147A99">
        <w:rPr>
          <w:lang w:val="en-US"/>
        </w:rPr>
        <w:t xml:space="preserve">, India has stood firm in banning the operation of </w:t>
      </w:r>
      <w:r w:rsidR="00251847">
        <w:rPr>
          <w:lang w:val="en-US"/>
        </w:rPr>
        <w:t>self-driving</w:t>
      </w:r>
      <w:r w:rsidR="00251847" w:rsidRPr="00E14D8C">
        <w:rPr>
          <w:lang w:val="en-US"/>
        </w:rPr>
        <w:t xml:space="preserve"> </w:t>
      </w:r>
      <w:r w:rsidR="00874677" w:rsidRPr="00147A99">
        <w:rPr>
          <w:lang w:val="en-US"/>
        </w:rPr>
        <w:t>cars.</w:t>
      </w:r>
      <w:r w:rsidR="00046136" w:rsidRPr="00147A99">
        <w:rPr>
          <w:lang w:val="en-US"/>
        </w:rPr>
        <w:t xml:space="preserve"> On the other hand, consumer anxieties concerning the operation of such vehicles on public roads in India have consistently risen – depicting the lack of trust in the ability of the current legislative framework to safeguard the rights and interests of the potential users. </w:t>
      </w:r>
      <w:r w:rsidR="0016295F" w:rsidRPr="00147A99">
        <w:rPr>
          <w:lang w:val="en-US"/>
        </w:rPr>
        <w:t xml:space="preserve">The paper attempts to identify the source of these concerns and critically evaluates the predicaments that </w:t>
      </w:r>
      <w:r w:rsidR="00013E54" w:rsidRPr="00147A99">
        <w:rPr>
          <w:lang w:val="en-US"/>
        </w:rPr>
        <w:t xml:space="preserve">adjudicators and claimants are prone to encounter if </w:t>
      </w:r>
      <w:r w:rsidR="00E6559C" w:rsidRPr="00147A99">
        <w:rPr>
          <w:lang w:val="en-US"/>
        </w:rPr>
        <w:t xml:space="preserve">the </w:t>
      </w:r>
      <w:r w:rsidR="00BB7157" w:rsidRPr="00147A99">
        <w:rPr>
          <w:lang w:val="en-US"/>
        </w:rPr>
        <w:t>legal principles</w:t>
      </w:r>
      <w:r w:rsidR="00E6559C" w:rsidRPr="00147A99">
        <w:rPr>
          <w:lang w:val="en-US"/>
        </w:rPr>
        <w:t xml:space="preserve"> on the determination of liability for injuries caused by motor vehicles </w:t>
      </w:r>
      <w:r w:rsidR="00013E54" w:rsidRPr="00147A99">
        <w:rPr>
          <w:lang w:val="en-US"/>
        </w:rPr>
        <w:t>are</w:t>
      </w:r>
      <w:r w:rsidR="0016295F" w:rsidRPr="00147A99">
        <w:rPr>
          <w:lang w:val="en-US"/>
        </w:rPr>
        <w:t xml:space="preserve"> extended to </w:t>
      </w:r>
      <w:r w:rsidR="00251847">
        <w:rPr>
          <w:lang w:val="en-US"/>
        </w:rPr>
        <w:t>self-driving</w:t>
      </w:r>
      <w:r w:rsidR="00251847" w:rsidRPr="00E14D8C">
        <w:rPr>
          <w:lang w:val="en-US"/>
        </w:rPr>
        <w:t xml:space="preserve"> </w:t>
      </w:r>
      <w:r w:rsidR="0016295F" w:rsidRPr="00147A99">
        <w:rPr>
          <w:lang w:val="en-US"/>
        </w:rPr>
        <w:t>cars</w:t>
      </w:r>
      <w:r w:rsidR="00BB7157" w:rsidRPr="00147A99">
        <w:rPr>
          <w:lang w:val="en-US"/>
        </w:rPr>
        <w:t xml:space="preserve">. It demonstrates the uncertainties in Indian law on the subject </w:t>
      </w:r>
      <w:r w:rsidR="00013E54" w:rsidRPr="00147A99">
        <w:rPr>
          <w:lang w:val="en-US"/>
        </w:rPr>
        <w:t xml:space="preserve">that are </w:t>
      </w:r>
      <w:r w:rsidRPr="00147A99">
        <w:rPr>
          <w:lang w:val="en-US"/>
        </w:rPr>
        <w:t>characterized</w:t>
      </w:r>
      <w:r w:rsidR="00BB7157" w:rsidRPr="00147A99">
        <w:rPr>
          <w:lang w:val="en-US"/>
        </w:rPr>
        <w:t xml:space="preserve"> by the lopsided nature of the current legislative framework</w:t>
      </w:r>
      <w:r w:rsidR="00013E54" w:rsidRPr="00147A99">
        <w:rPr>
          <w:lang w:val="en-US"/>
        </w:rPr>
        <w:t>. The present principles</w:t>
      </w:r>
      <w:r w:rsidR="00BB7157" w:rsidRPr="00147A99">
        <w:rPr>
          <w:lang w:val="en-US"/>
        </w:rPr>
        <w:t xml:space="preserve"> merely stipulate the mechanism to ascertain the liability for fatal or grave injuries caused by motor vehicles </w:t>
      </w:r>
      <w:r w:rsidR="0010591A" w:rsidRPr="00147A99">
        <w:rPr>
          <w:lang w:val="en-US"/>
        </w:rPr>
        <w:t xml:space="preserve">without concurrently </w:t>
      </w:r>
      <w:r w:rsidR="003718EC" w:rsidRPr="00147A99">
        <w:rPr>
          <w:lang w:val="en-US"/>
        </w:rPr>
        <w:t>prescribing</w:t>
      </w:r>
      <w:r w:rsidR="0010591A" w:rsidRPr="00147A99">
        <w:rPr>
          <w:lang w:val="en-US"/>
        </w:rPr>
        <w:t xml:space="preserve"> </w:t>
      </w:r>
      <w:r w:rsidR="00BB7157" w:rsidRPr="00147A99">
        <w:rPr>
          <w:lang w:val="en-US"/>
        </w:rPr>
        <w:t xml:space="preserve">the consequences of other forms of damage. </w:t>
      </w:r>
      <w:r w:rsidR="0010591A" w:rsidRPr="00147A99">
        <w:rPr>
          <w:lang w:val="en-US"/>
        </w:rPr>
        <w:t xml:space="preserve">Consequently, the paper </w:t>
      </w:r>
      <w:r w:rsidRPr="00147A99">
        <w:rPr>
          <w:lang w:val="en-US"/>
        </w:rPr>
        <w:t>recognizes</w:t>
      </w:r>
      <w:r w:rsidR="00BB7157" w:rsidRPr="00147A99">
        <w:rPr>
          <w:lang w:val="en-US"/>
        </w:rPr>
        <w:t xml:space="preserve"> the need for special rules on the subject and, accordingly, examines </w:t>
      </w:r>
      <w:r w:rsidR="00BB7157" w:rsidRPr="00147A99">
        <w:rPr>
          <w:lang w:val="en-US"/>
        </w:rPr>
        <w:t xml:space="preserve">some workable solutions that Indian lawmakers may consider adopting if the ban on </w:t>
      </w:r>
      <w:r w:rsidR="00251847">
        <w:rPr>
          <w:lang w:val="en-US"/>
        </w:rPr>
        <w:t>self-driving</w:t>
      </w:r>
      <w:r w:rsidR="00251847" w:rsidRPr="00E14D8C">
        <w:rPr>
          <w:lang w:val="en-US"/>
        </w:rPr>
        <w:t xml:space="preserve"> </w:t>
      </w:r>
      <w:r w:rsidR="00BB7157" w:rsidRPr="00147A99">
        <w:rPr>
          <w:lang w:val="en-US"/>
        </w:rPr>
        <w:t>cars is eventually lifted.</w:t>
      </w:r>
    </w:p>
    <w:p w14:paraId="6114942F" w14:textId="58FB304A" w:rsidR="00AB7119" w:rsidRDefault="00AB7119" w:rsidP="00F02271">
      <w:pPr>
        <w:spacing w:line="360" w:lineRule="auto"/>
        <w:jc w:val="both"/>
        <w:rPr>
          <w:lang w:val="en-US"/>
        </w:rPr>
      </w:pPr>
    </w:p>
    <w:p w14:paraId="37786631" w14:textId="46E9BB43" w:rsidR="00874677" w:rsidRDefault="00874677" w:rsidP="00F02271">
      <w:pPr>
        <w:spacing w:line="360" w:lineRule="auto"/>
        <w:jc w:val="both"/>
        <w:rPr>
          <w:lang w:val="en-US"/>
        </w:rPr>
      </w:pPr>
      <w:r w:rsidRPr="003718EC">
        <w:rPr>
          <w:b/>
          <w:lang w:val="en-US"/>
        </w:rPr>
        <w:t>Keywords</w:t>
      </w:r>
      <w:r>
        <w:rPr>
          <w:lang w:val="en-US"/>
        </w:rPr>
        <w:t xml:space="preserve">: </w:t>
      </w:r>
      <w:r w:rsidR="00251847">
        <w:rPr>
          <w:lang w:val="en-US"/>
        </w:rPr>
        <w:t>self-driving</w:t>
      </w:r>
      <w:r w:rsidR="00251847" w:rsidRPr="00E14D8C">
        <w:rPr>
          <w:lang w:val="en-US"/>
        </w:rPr>
        <w:t xml:space="preserve"> </w:t>
      </w:r>
      <w:r>
        <w:rPr>
          <w:lang w:val="en-US"/>
        </w:rPr>
        <w:t xml:space="preserve">cars; </w:t>
      </w:r>
      <w:r w:rsidR="00F03653">
        <w:rPr>
          <w:lang w:val="en-US"/>
        </w:rPr>
        <w:t>motor vehicles</w:t>
      </w:r>
      <w:r>
        <w:rPr>
          <w:lang w:val="en-US"/>
        </w:rPr>
        <w:t xml:space="preserve">; civil liability; </w:t>
      </w:r>
      <w:r w:rsidR="00A3540C">
        <w:rPr>
          <w:lang w:val="en-US"/>
        </w:rPr>
        <w:t>damage</w:t>
      </w:r>
      <w:r>
        <w:rPr>
          <w:lang w:val="en-US"/>
        </w:rPr>
        <w:t>; product liability</w:t>
      </w:r>
      <w:r w:rsidR="003718EC">
        <w:rPr>
          <w:lang w:val="en-US"/>
        </w:rPr>
        <w:t>; India</w:t>
      </w:r>
    </w:p>
    <w:p w14:paraId="3E9C28ED" w14:textId="77777777" w:rsidR="00AB7119" w:rsidRPr="00AB7119" w:rsidRDefault="00AB7119" w:rsidP="00F02271">
      <w:pPr>
        <w:spacing w:line="360" w:lineRule="auto"/>
        <w:jc w:val="both"/>
        <w:rPr>
          <w:lang w:val="en-US"/>
        </w:rPr>
      </w:pPr>
    </w:p>
    <w:p w14:paraId="2BD9B571" w14:textId="452CCE39" w:rsidR="00E23C63" w:rsidRPr="0041112A" w:rsidRDefault="0041112A" w:rsidP="00F02271">
      <w:pPr>
        <w:spacing w:line="360" w:lineRule="auto"/>
        <w:jc w:val="both"/>
        <w:rPr>
          <w:b/>
          <w:lang w:val="en-US"/>
        </w:rPr>
      </w:pPr>
      <w:r w:rsidRPr="0041112A">
        <w:rPr>
          <w:b/>
          <w:lang w:val="en-US"/>
        </w:rPr>
        <w:t>1.    Introduction</w:t>
      </w:r>
    </w:p>
    <w:p w14:paraId="4E463898" w14:textId="39B4BA78" w:rsidR="00B76557" w:rsidRPr="00E14D8C" w:rsidRDefault="00621FB1" w:rsidP="00E23C63">
      <w:pPr>
        <w:spacing w:line="360" w:lineRule="auto"/>
        <w:jc w:val="both"/>
        <w:rPr>
          <w:lang w:val="en-US"/>
        </w:rPr>
      </w:pPr>
      <w:r w:rsidRPr="00E14D8C">
        <w:rPr>
          <w:lang w:val="en-US"/>
        </w:rPr>
        <w:lastRenderedPageBreak/>
        <w:t xml:space="preserve">Across the globe, legal systems have </w:t>
      </w:r>
      <w:r w:rsidR="00845E88" w:rsidRPr="00E14D8C">
        <w:rPr>
          <w:lang w:val="en-US"/>
        </w:rPr>
        <w:t>steadily</w:t>
      </w:r>
      <w:r w:rsidRPr="00E14D8C">
        <w:rPr>
          <w:lang w:val="en-US"/>
        </w:rPr>
        <w:t xml:space="preserve"> </w:t>
      </w:r>
      <w:r w:rsidR="00C67E06" w:rsidRPr="00E14D8C">
        <w:rPr>
          <w:lang w:val="en-US"/>
        </w:rPr>
        <w:t>been warming up to</w:t>
      </w:r>
      <w:r w:rsidR="00E23C63" w:rsidRPr="00E14D8C">
        <w:rPr>
          <w:lang w:val="en-US"/>
        </w:rPr>
        <w:t xml:space="preserve"> the operation of</w:t>
      </w:r>
      <w:r w:rsidR="003B40D4" w:rsidRPr="00E14D8C">
        <w:rPr>
          <w:lang w:val="en-US"/>
        </w:rPr>
        <w:t xml:space="preserve"> </w:t>
      </w:r>
      <w:r w:rsidR="003927D7" w:rsidRPr="00E14D8C">
        <w:rPr>
          <w:lang w:val="en-US"/>
        </w:rPr>
        <w:t>autonomous cars</w:t>
      </w:r>
      <w:r w:rsidR="002F056A" w:rsidRPr="00E14D8C">
        <w:rPr>
          <w:lang w:val="en-US"/>
        </w:rPr>
        <w:t xml:space="preserve"> </w:t>
      </w:r>
      <w:r w:rsidR="00C854CC" w:rsidRPr="00E14D8C">
        <w:rPr>
          <w:lang w:val="en-US"/>
        </w:rPr>
        <w:t>in various forms</w:t>
      </w:r>
      <w:r w:rsidR="00C854CC" w:rsidRPr="00E14D8C">
        <w:rPr>
          <w:rStyle w:val="FootnoteReference"/>
          <w:lang w:val="en-US"/>
        </w:rPr>
        <w:footnoteReference w:id="1"/>
      </w:r>
      <w:r w:rsidR="00C854CC" w:rsidRPr="00E14D8C">
        <w:rPr>
          <w:lang w:val="en-US"/>
        </w:rPr>
        <w:t xml:space="preserve"> </w:t>
      </w:r>
      <w:r w:rsidR="002F056A" w:rsidRPr="00E14D8C">
        <w:rPr>
          <w:lang w:val="en-US"/>
        </w:rPr>
        <w:t>on public roads</w:t>
      </w:r>
      <w:r w:rsidR="00E23C63" w:rsidRPr="00E14D8C">
        <w:rPr>
          <w:lang w:val="en-US"/>
        </w:rPr>
        <w:t xml:space="preserve"> – </w:t>
      </w:r>
      <w:r w:rsidR="00C854CC" w:rsidRPr="00E14D8C">
        <w:rPr>
          <w:lang w:val="en-US"/>
        </w:rPr>
        <w:t xml:space="preserve">among which </w:t>
      </w:r>
      <w:r w:rsidR="00744C59" w:rsidRPr="00E14D8C">
        <w:rPr>
          <w:lang w:val="en-US"/>
        </w:rPr>
        <w:t>those that are driverless</w:t>
      </w:r>
      <w:r w:rsidR="00555A08" w:rsidRPr="00E14D8C">
        <w:rPr>
          <w:rStyle w:val="FootnoteReference"/>
          <w:lang w:val="en-US"/>
        </w:rPr>
        <w:footnoteReference w:id="2"/>
      </w:r>
      <w:r w:rsidR="00C854CC" w:rsidRPr="00E14D8C">
        <w:rPr>
          <w:lang w:val="en-US"/>
        </w:rPr>
        <w:t xml:space="preserve"> seem to be </w:t>
      </w:r>
      <w:r w:rsidR="00810AF3" w:rsidRPr="00E14D8C">
        <w:rPr>
          <w:lang w:val="en-US"/>
        </w:rPr>
        <w:t>a</w:t>
      </w:r>
      <w:r w:rsidR="00C854CC" w:rsidRPr="00E14D8C">
        <w:rPr>
          <w:lang w:val="en-US"/>
        </w:rPr>
        <w:t xml:space="preserve"> popular choice for their ability to considerably reduce human involvement by eliminating the requirement of a driver inside the vehicle.</w:t>
      </w:r>
      <w:r w:rsidR="00555A08" w:rsidRPr="00E14D8C">
        <w:rPr>
          <w:rStyle w:val="FootnoteReference"/>
          <w:lang w:val="en-US"/>
        </w:rPr>
        <w:footnoteReference w:id="3"/>
      </w:r>
      <w:r w:rsidR="00C854CC" w:rsidRPr="00E14D8C">
        <w:rPr>
          <w:lang w:val="en-US"/>
        </w:rPr>
        <w:t xml:space="preserve"> </w:t>
      </w:r>
      <w:r w:rsidR="00D72F1A" w:rsidRPr="00E14D8C">
        <w:rPr>
          <w:lang w:val="en-US"/>
        </w:rPr>
        <w:t xml:space="preserve">The United States [the </w:t>
      </w:r>
      <w:r w:rsidR="00F03653">
        <w:rPr>
          <w:lang w:val="en-US"/>
        </w:rPr>
        <w:t>US</w:t>
      </w:r>
      <w:r w:rsidR="00D72F1A" w:rsidRPr="00E14D8C">
        <w:rPr>
          <w:lang w:val="en-US"/>
        </w:rPr>
        <w:t>],</w:t>
      </w:r>
      <w:r w:rsidR="00D72F1A" w:rsidRPr="00E14D8C">
        <w:rPr>
          <w:rStyle w:val="FootnoteReference"/>
          <w:lang w:val="en-US"/>
        </w:rPr>
        <w:footnoteReference w:id="4"/>
      </w:r>
      <w:r w:rsidR="00D72F1A" w:rsidRPr="00E14D8C">
        <w:rPr>
          <w:lang w:val="en-US"/>
        </w:rPr>
        <w:t xml:space="preserve"> France,</w:t>
      </w:r>
      <w:r w:rsidR="00D72F1A" w:rsidRPr="00E14D8C">
        <w:rPr>
          <w:rStyle w:val="FootnoteReference"/>
          <w:lang w:val="en-US"/>
        </w:rPr>
        <w:footnoteReference w:id="5"/>
      </w:r>
      <w:r w:rsidR="00D72F1A" w:rsidRPr="00E14D8C">
        <w:rPr>
          <w:lang w:val="en-US"/>
        </w:rPr>
        <w:t xml:space="preserve"> Germany,</w:t>
      </w:r>
      <w:r w:rsidR="00D72F1A" w:rsidRPr="00E14D8C">
        <w:rPr>
          <w:rStyle w:val="FootnoteReference"/>
          <w:lang w:val="en-US"/>
        </w:rPr>
        <w:footnoteReference w:id="6"/>
      </w:r>
      <w:r w:rsidR="00D72F1A" w:rsidRPr="00E14D8C">
        <w:rPr>
          <w:lang w:val="en-US"/>
        </w:rPr>
        <w:t xml:space="preserve"> China</w:t>
      </w:r>
      <w:r w:rsidR="00D72F1A" w:rsidRPr="00E14D8C">
        <w:rPr>
          <w:rStyle w:val="FootnoteReference"/>
          <w:lang w:val="en-US"/>
        </w:rPr>
        <w:footnoteReference w:id="7"/>
      </w:r>
      <w:r w:rsidR="00D72F1A" w:rsidRPr="00E14D8C">
        <w:rPr>
          <w:lang w:val="en-US"/>
        </w:rPr>
        <w:t xml:space="preserve"> and Japan</w:t>
      </w:r>
      <w:r w:rsidR="00D72F1A" w:rsidRPr="00E14D8C">
        <w:rPr>
          <w:rStyle w:val="FootnoteReference"/>
          <w:lang w:val="en-US"/>
        </w:rPr>
        <w:footnoteReference w:id="8"/>
      </w:r>
      <w:r w:rsidR="00D72F1A" w:rsidRPr="00E14D8C">
        <w:rPr>
          <w:lang w:val="en-US"/>
        </w:rPr>
        <w:t xml:space="preserve"> are some jurisdictions that are exploring the </w:t>
      </w:r>
      <w:r w:rsidR="0053669E" w:rsidRPr="00E14D8C">
        <w:rPr>
          <w:lang w:val="en-US"/>
        </w:rPr>
        <w:t>deployment</w:t>
      </w:r>
      <w:r w:rsidR="00D72F1A" w:rsidRPr="00E14D8C">
        <w:rPr>
          <w:lang w:val="en-US"/>
        </w:rPr>
        <w:t xml:space="preserve"> of such </w:t>
      </w:r>
      <w:r w:rsidR="0053669E" w:rsidRPr="00E14D8C">
        <w:rPr>
          <w:lang w:val="en-US"/>
        </w:rPr>
        <w:t>driverless cars in the form</w:t>
      </w:r>
      <w:r w:rsidR="00D72F1A" w:rsidRPr="00E14D8C">
        <w:rPr>
          <w:lang w:val="en-US"/>
        </w:rPr>
        <w:t xml:space="preserve"> of </w:t>
      </w:r>
      <w:r w:rsidR="0041674D" w:rsidRPr="00E14D8C">
        <w:rPr>
          <w:lang w:val="en-US"/>
        </w:rPr>
        <w:t>‘</w:t>
      </w:r>
      <w:proofErr w:type="spellStart"/>
      <w:r w:rsidR="00D72F1A" w:rsidRPr="00E14D8C">
        <w:rPr>
          <w:lang w:val="en-US"/>
        </w:rPr>
        <w:t>Robotaxis</w:t>
      </w:r>
      <w:proofErr w:type="spellEnd"/>
      <w:r w:rsidR="0041674D" w:rsidRPr="00E14D8C">
        <w:rPr>
          <w:lang w:val="en-US"/>
        </w:rPr>
        <w:t>’</w:t>
      </w:r>
      <w:r w:rsidR="00D72F1A" w:rsidRPr="00E14D8C">
        <w:rPr>
          <w:lang w:val="en-US"/>
        </w:rPr>
        <w:t xml:space="preserve">, shuttles or other forms of public transport. </w:t>
      </w:r>
    </w:p>
    <w:p w14:paraId="6699C03D" w14:textId="63F5B248" w:rsidR="00857F9E" w:rsidRPr="00E14D8C" w:rsidRDefault="002F056A" w:rsidP="00A34E89">
      <w:pPr>
        <w:spacing w:line="360" w:lineRule="auto"/>
        <w:jc w:val="both"/>
        <w:rPr>
          <w:lang w:val="en-US"/>
        </w:rPr>
      </w:pPr>
      <w:r w:rsidRPr="00E14D8C">
        <w:rPr>
          <w:lang w:val="en-US"/>
        </w:rPr>
        <w:t xml:space="preserve">       Of their many benefits, </w:t>
      </w:r>
      <w:r w:rsidR="00744C59" w:rsidRPr="00E14D8C">
        <w:rPr>
          <w:lang w:val="en-US"/>
        </w:rPr>
        <w:t>driverless or self-driving</w:t>
      </w:r>
      <w:r w:rsidRPr="00E14D8C">
        <w:rPr>
          <w:lang w:val="en-US"/>
        </w:rPr>
        <w:t xml:space="preserve"> cars have been hailed for their potential </w:t>
      </w:r>
      <w:r w:rsidR="0053669E" w:rsidRPr="00E14D8C">
        <w:rPr>
          <w:lang w:val="en-US"/>
        </w:rPr>
        <w:t>to reduce accidents and resultant fatalities due to intoxication dramatically</w:t>
      </w:r>
      <w:r w:rsidRPr="00E14D8C">
        <w:rPr>
          <w:lang w:val="en-US"/>
        </w:rPr>
        <w:t>, lack of focus</w:t>
      </w:r>
      <w:r w:rsidR="0053669E" w:rsidRPr="00E14D8C">
        <w:rPr>
          <w:lang w:val="en-US"/>
        </w:rPr>
        <w:t>,</w:t>
      </w:r>
      <w:r w:rsidRPr="00E14D8C">
        <w:rPr>
          <w:lang w:val="en-US"/>
        </w:rPr>
        <w:t xml:space="preserve"> or poor judgment</w:t>
      </w:r>
      <w:r w:rsidR="00555A08" w:rsidRPr="00E14D8C">
        <w:rPr>
          <w:lang w:val="en-US"/>
        </w:rPr>
        <w:t xml:space="preserve"> insofar as these are primarily attributable to human involvement</w:t>
      </w:r>
      <w:r w:rsidRPr="00E14D8C">
        <w:rPr>
          <w:lang w:val="en-US"/>
        </w:rPr>
        <w:t>.</w:t>
      </w:r>
      <w:r w:rsidRPr="00E14D8C">
        <w:rPr>
          <w:rStyle w:val="FootnoteReference"/>
          <w:lang w:val="en-US"/>
        </w:rPr>
        <w:footnoteReference w:id="9"/>
      </w:r>
      <w:r w:rsidRPr="00E14D8C">
        <w:rPr>
          <w:lang w:val="en-US"/>
        </w:rPr>
        <w:t xml:space="preserve"> Their </w:t>
      </w:r>
      <w:r w:rsidRPr="00E14D8C">
        <w:rPr>
          <w:lang w:val="en-US"/>
        </w:rPr>
        <w:lastRenderedPageBreak/>
        <w:t xml:space="preserve">introduction would similarly </w:t>
      </w:r>
      <w:r w:rsidR="0053669E" w:rsidRPr="00E14D8C">
        <w:rPr>
          <w:lang w:val="en-US"/>
        </w:rPr>
        <w:t>benefit</w:t>
      </w:r>
      <w:r w:rsidRPr="00E14D8C">
        <w:rPr>
          <w:lang w:val="en-US"/>
        </w:rPr>
        <w:t xml:space="preserve"> the vulnerable sections of society by enabling such persons to remain mobile without a driver.</w:t>
      </w:r>
      <w:r w:rsidRPr="00E14D8C">
        <w:rPr>
          <w:rStyle w:val="FootnoteReference"/>
          <w:lang w:val="en-US"/>
        </w:rPr>
        <w:footnoteReference w:id="10"/>
      </w:r>
      <w:r w:rsidR="00FE4A5F" w:rsidRPr="00E14D8C">
        <w:rPr>
          <w:lang w:val="en-US"/>
        </w:rPr>
        <w:t xml:space="preserve">  </w:t>
      </w:r>
    </w:p>
    <w:p w14:paraId="50831521" w14:textId="19FB4938" w:rsidR="00EE4AC5" w:rsidRPr="00E14D8C" w:rsidRDefault="00857F9E" w:rsidP="00A34E89">
      <w:pPr>
        <w:spacing w:line="360" w:lineRule="auto"/>
        <w:jc w:val="both"/>
        <w:rPr>
          <w:lang w:val="en-US"/>
        </w:rPr>
      </w:pPr>
      <w:r w:rsidRPr="00E14D8C">
        <w:rPr>
          <w:lang w:val="en-US"/>
        </w:rPr>
        <w:t xml:space="preserve">        </w:t>
      </w:r>
      <w:r w:rsidR="00555A08" w:rsidRPr="00E14D8C">
        <w:rPr>
          <w:lang w:val="en-US"/>
        </w:rPr>
        <w:t>However, l</w:t>
      </w:r>
      <w:r w:rsidR="00E0363D" w:rsidRPr="00E14D8C">
        <w:rPr>
          <w:lang w:val="en-US"/>
        </w:rPr>
        <w:t xml:space="preserve">ike most other inventions, the </w:t>
      </w:r>
      <w:r w:rsidRPr="00E14D8C">
        <w:rPr>
          <w:lang w:val="en-US"/>
        </w:rPr>
        <w:t>operation</w:t>
      </w:r>
      <w:r w:rsidR="00E0363D" w:rsidRPr="00E14D8C">
        <w:rPr>
          <w:lang w:val="en-US"/>
        </w:rPr>
        <w:t xml:space="preserve"> of </w:t>
      </w:r>
      <w:r w:rsidR="001C7DED" w:rsidRPr="00E14D8C">
        <w:rPr>
          <w:lang w:val="en-US"/>
        </w:rPr>
        <w:t>driverless</w:t>
      </w:r>
      <w:r w:rsidRPr="00E14D8C">
        <w:rPr>
          <w:lang w:val="en-US"/>
        </w:rPr>
        <w:t xml:space="preserve"> cars is</w:t>
      </w:r>
      <w:r w:rsidR="00555A08" w:rsidRPr="00E14D8C">
        <w:rPr>
          <w:lang w:val="en-US"/>
        </w:rPr>
        <w:t xml:space="preserve"> </w:t>
      </w:r>
      <w:r w:rsidRPr="00E14D8C">
        <w:rPr>
          <w:lang w:val="en-US"/>
        </w:rPr>
        <w:t>not impeccable</w:t>
      </w:r>
      <w:r w:rsidR="00EA2C4D" w:rsidRPr="00E14D8C">
        <w:rPr>
          <w:lang w:val="en-US"/>
        </w:rPr>
        <w:t>.</w:t>
      </w:r>
      <w:r w:rsidR="0053669E" w:rsidRPr="00E14D8C">
        <w:rPr>
          <w:lang w:val="en-US"/>
        </w:rPr>
        <w:t xml:space="preserve"> </w:t>
      </w:r>
      <w:r w:rsidR="001C7DED" w:rsidRPr="00E14D8C">
        <w:rPr>
          <w:lang w:val="en-US"/>
        </w:rPr>
        <w:t>T</w:t>
      </w:r>
      <w:r w:rsidRPr="00E14D8C">
        <w:rPr>
          <w:lang w:val="en-US"/>
        </w:rPr>
        <w:t xml:space="preserve">he failure of the hardware or software to perform accurately </w:t>
      </w:r>
      <w:r w:rsidR="00EA2C4D" w:rsidRPr="00E14D8C">
        <w:rPr>
          <w:lang w:val="en-US"/>
        </w:rPr>
        <w:t xml:space="preserve">may </w:t>
      </w:r>
      <w:r w:rsidR="001C7DED" w:rsidRPr="00E14D8C">
        <w:rPr>
          <w:lang w:val="en-US"/>
        </w:rPr>
        <w:t>harm</w:t>
      </w:r>
      <w:r w:rsidR="00EA2C4D" w:rsidRPr="00E14D8C">
        <w:rPr>
          <w:lang w:val="en-US"/>
        </w:rPr>
        <w:t xml:space="preserve"> </w:t>
      </w:r>
      <w:r w:rsidR="001C7DED" w:rsidRPr="00E14D8C">
        <w:rPr>
          <w:lang w:val="en-US"/>
        </w:rPr>
        <w:t>any person in a manner that is similar</w:t>
      </w:r>
      <w:r w:rsidR="00EA2C4D" w:rsidRPr="00E14D8C">
        <w:rPr>
          <w:lang w:val="en-US"/>
        </w:rPr>
        <w:t xml:space="preserve"> </w:t>
      </w:r>
      <w:r w:rsidR="001C7DED" w:rsidRPr="00E14D8C">
        <w:rPr>
          <w:lang w:val="en-US"/>
        </w:rPr>
        <w:t>to that inflicted by</w:t>
      </w:r>
      <w:r w:rsidR="00EA2C4D" w:rsidRPr="00E14D8C">
        <w:rPr>
          <w:lang w:val="en-US"/>
        </w:rPr>
        <w:t xml:space="preserve"> non-autonomous vehicles </w:t>
      </w:r>
      <w:r w:rsidR="001C7DED" w:rsidRPr="00E14D8C">
        <w:rPr>
          <w:lang w:val="en-US"/>
        </w:rPr>
        <w:t>involving a</w:t>
      </w:r>
      <w:r w:rsidR="00EA2C4D" w:rsidRPr="00E14D8C">
        <w:rPr>
          <w:lang w:val="en-US"/>
        </w:rPr>
        <w:t xml:space="preserve"> human driver.</w:t>
      </w:r>
      <w:r w:rsidR="0053669E" w:rsidRPr="00E14D8C">
        <w:rPr>
          <w:lang w:val="en-US"/>
        </w:rPr>
        <w:t xml:space="preserve"> </w:t>
      </w:r>
      <w:r w:rsidRPr="00E14D8C">
        <w:rPr>
          <w:lang w:val="en-US"/>
        </w:rPr>
        <w:t>Indeed, a</w:t>
      </w:r>
      <w:r w:rsidR="00E0363D" w:rsidRPr="00E14D8C">
        <w:rPr>
          <w:lang w:val="en-US"/>
        </w:rPr>
        <w:t xml:space="preserve">lthough such </w:t>
      </w:r>
      <w:r w:rsidR="0053669E" w:rsidRPr="00E14D8C">
        <w:rPr>
          <w:lang w:val="en-US"/>
        </w:rPr>
        <w:t>cars</w:t>
      </w:r>
      <w:r w:rsidR="00E0363D" w:rsidRPr="00E14D8C">
        <w:rPr>
          <w:lang w:val="en-US"/>
        </w:rPr>
        <w:t xml:space="preserve"> </w:t>
      </w:r>
      <w:proofErr w:type="spellStart"/>
      <w:r w:rsidR="0053669E" w:rsidRPr="00E14D8C">
        <w:rPr>
          <w:lang w:val="en-US"/>
        </w:rPr>
        <w:t>endeavour</w:t>
      </w:r>
      <w:proofErr w:type="spellEnd"/>
      <w:r w:rsidR="00E0363D" w:rsidRPr="00E14D8C">
        <w:rPr>
          <w:lang w:val="en-US"/>
        </w:rPr>
        <w:t xml:space="preserve"> to reduce accidents, fatalities caused by the failure of the system in these vehicles to detect objects around them have been well-documented.</w:t>
      </w:r>
      <w:r w:rsidR="0053669E" w:rsidRPr="00E14D8C">
        <w:rPr>
          <w:lang w:val="en-US"/>
        </w:rPr>
        <w:t xml:space="preserve"> </w:t>
      </w:r>
      <w:r w:rsidR="00E0363D" w:rsidRPr="00E14D8C">
        <w:rPr>
          <w:lang w:val="en-US"/>
        </w:rPr>
        <w:t xml:space="preserve">The fatal crash of the driver in March 2018 caused by the failure of </w:t>
      </w:r>
      <w:r w:rsidR="0041674D" w:rsidRPr="00E14D8C">
        <w:rPr>
          <w:lang w:val="en-US"/>
        </w:rPr>
        <w:t>Tesla’s</w:t>
      </w:r>
      <w:r w:rsidR="00E0363D" w:rsidRPr="00E14D8C">
        <w:rPr>
          <w:lang w:val="en-US"/>
        </w:rPr>
        <w:t xml:space="preserve"> Autopilot to locate a barrier</w:t>
      </w:r>
      <w:r w:rsidR="00E0363D" w:rsidRPr="00E14D8C">
        <w:rPr>
          <w:rStyle w:val="FootnoteReference"/>
          <w:lang w:val="en-US"/>
        </w:rPr>
        <w:footnoteReference w:id="11"/>
      </w:r>
      <w:r w:rsidR="00E0363D" w:rsidRPr="00E14D8C">
        <w:rPr>
          <w:lang w:val="en-US"/>
        </w:rPr>
        <w:t xml:space="preserve"> for the second time in a row since 2016</w:t>
      </w:r>
      <w:r w:rsidR="00E0363D" w:rsidRPr="00E14D8C">
        <w:rPr>
          <w:rStyle w:val="FootnoteReference"/>
          <w:lang w:val="en-US"/>
        </w:rPr>
        <w:footnoteReference w:id="12"/>
      </w:r>
      <w:r w:rsidR="00E0363D" w:rsidRPr="00E14D8C">
        <w:rPr>
          <w:lang w:val="en-US"/>
        </w:rPr>
        <w:t xml:space="preserve"> or the death of a pedestrian during the test run of </w:t>
      </w:r>
      <w:r w:rsidR="0053669E" w:rsidRPr="00E14D8C">
        <w:rPr>
          <w:lang w:val="en-US"/>
        </w:rPr>
        <w:t xml:space="preserve">the </w:t>
      </w:r>
      <w:r w:rsidR="00E0363D" w:rsidRPr="00E14D8C">
        <w:rPr>
          <w:lang w:val="en-US"/>
        </w:rPr>
        <w:t>Volvo SUV in March 2019</w:t>
      </w:r>
      <w:r w:rsidR="00E0363D" w:rsidRPr="00E14D8C">
        <w:rPr>
          <w:rStyle w:val="FootnoteReference"/>
          <w:lang w:val="en-US"/>
        </w:rPr>
        <w:footnoteReference w:id="13"/>
      </w:r>
      <w:r w:rsidR="00E0363D" w:rsidRPr="00E14D8C">
        <w:rPr>
          <w:lang w:val="en-US"/>
        </w:rPr>
        <w:t xml:space="preserve"> </w:t>
      </w:r>
      <w:r w:rsidR="0053669E" w:rsidRPr="00E14D8C">
        <w:rPr>
          <w:lang w:val="en-US"/>
        </w:rPr>
        <w:t>is</w:t>
      </w:r>
      <w:r w:rsidR="00E0363D" w:rsidRPr="00E14D8C">
        <w:rPr>
          <w:lang w:val="en-US"/>
        </w:rPr>
        <w:t xml:space="preserve"> illustrative of the safety hazards involved in the use of such vehicles. </w:t>
      </w:r>
    </w:p>
    <w:p w14:paraId="1BD3FBFB" w14:textId="146B6A47" w:rsidR="00EA2C4D" w:rsidRPr="00E14D8C" w:rsidRDefault="00810AF3" w:rsidP="00A34E89">
      <w:pPr>
        <w:spacing w:line="360" w:lineRule="auto"/>
        <w:jc w:val="both"/>
        <w:rPr>
          <w:lang w:val="en-US"/>
        </w:rPr>
      </w:pPr>
      <w:r w:rsidRPr="00E14D8C">
        <w:rPr>
          <w:lang w:val="en-US"/>
        </w:rPr>
        <w:t xml:space="preserve">       </w:t>
      </w:r>
      <w:r w:rsidR="00EA2C4D" w:rsidRPr="00E14D8C">
        <w:rPr>
          <w:lang w:val="en-US"/>
        </w:rPr>
        <w:t>Apart from the adaptation of the existing infrastructure to accommodate their operation on public roads, the deployment of such vehicles has necessitated an overhaul of the legal regulations in countries desirous of introducing their operation.</w:t>
      </w:r>
      <w:r w:rsidR="0053669E" w:rsidRPr="00E14D8C">
        <w:rPr>
          <w:lang w:val="en-US"/>
        </w:rPr>
        <w:t xml:space="preserve"> Determining</w:t>
      </w:r>
      <w:r w:rsidR="00EA2C4D" w:rsidRPr="00E14D8C">
        <w:rPr>
          <w:lang w:val="en-US"/>
        </w:rPr>
        <w:t xml:space="preserve"> the rights and liabilities of the users and third parties such as the pedestrians and non-autonomous vehicles </w:t>
      </w:r>
      <w:r w:rsidR="00EA2C4D" w:rsidRPr="00E14D8C">
        <w:rPr>
          <w:i/>
          <w:lang w:val="en-US"/>
        </w:rPr>
        <w:t>vis-à-vis</w:t>
      </w:r>
      <w:r w:rsidR="00EA2C4D" w:rsidRPr="00E14D8C">
        <w:rPr>
          <w:lang w:val="en-US"/>
        </w:rPr>
        <w:t xml:space="preserve"> other stakeholders such as the owners, manufacturers and system developers for harm caused by </w:t>
      </w:r>
      <w:r w:rsidR="0053669E" w:rsidRPr="00E14D8C">
        <w:rPr>
          <w:lang w:val="en-US"/>
        </w:rPr>
        <w:t>such vehicles has</w:t>
      </w:r>
      <w:r w:rsidR="00EA2C4D" w:rsidRPr="00E14D8C">
        <w:rPr>
          <w:lang w:val="en-US"/>
        </w:rPr>
        <w:t xml:space="preserve"> remained crucial in the regulatory reformations of several countries.</w:t>
      </w:r>
      <w:r w:rsidR="00EA2C4D" w:rsidRPr="00E14D8C">
        <w:rPr>
          <w:rStyle w:val="FootnoteReference"/>
          <w:lang w:val="en-US"/>
        </w:rPr>
        <w:footnoteReference w:id="14"/>
      </w:r>
      <w:r w:rsidR="00EA2C4D" w:rsidRPr="00E14D8C">
        <w:rPr>
          <w:lang w:val="en-US"/>
        </w:rPr>
        <w:t xml:space="preserve"> </w:t>
      </w:r>
      <w:r w:rsidR="001C7DED" w:rsidRPr="00E14D8C">
        <w:rPr>
          <w:lang w:val="en-US"/>
        </w:rPr>
        <w:t>The nuances involved in disputes arising from their use are likely to be manifold</w:t>
      </w:r>
      <w:r w:rsidR="0053669E" w:rsidRPr="00E14D8C">
        <w:rPr>
          <w:lang w:val="en-US"/>
        </w:rPr>
        <w:t>,</w:t>
      </w:r>
      <w:r w:rsidR="001C7DED" w:rsidRPr="00E14D8C">
        <w:rPr>
          <w:lang w:val="en-US"/>
        </w:rPr>
        <w:t xml:space="preserve"> </w:t>
      </w:r>
      <w:r w:rsidR="00857F9E" w:rsidRPr="00E14D8C">
        <w:rPr>
          <w:lang w:val="en-US"/>
        </w:rPr>
        <w:t xml:space="preserve">especially </w:t>
      </w:r>
      <w:r w:rsidR="001C7DED" w:rsidRPr="00E14D8C">
        <w:rPr>
          <w:lang w:val="en-US"/>
        </w:rPr>
        <w:t>if</w:t>
      </w:r>
      <w:r w:rsidR="00EE4AC5" w:rsidRPr="00E14D8C">
        <w:rPr>
          <w:lang w:val="en-US"/>
        </w:rPr>
        <w:t xml:space="preserve"> </w:t>
      </w:r>
      <w:r w:rsidR="0053669E" w:rsidRPr="00E14D8C">
        <w:rPr>
          <w:lang w:val="en-US"/>
        </w:rPr>
        <w:t xml:space="preserve">the </w:t>
      </w:r>
      <w:r w:rsidR="00EE4AC5" w:rsidRPr="00E14D8C">
        <w:rPr>
          <w:lang w:val="en-US"/>
        </w:rPr>
        <w:t>claim</w:t>
      </w:r>
      <w:r w:rsidR="00857F9E" w:rsidRPr="00E14D8C">
        <w:rPr>
          <w:lang w:val="en-US"/>
        </w:rPr>
        <w:t xml:space="preserve"> in question</w:t>
      </w:r>
      <w:r w:rsidR="00EE4AC5" w:rsidRPr="00E14D8C">
        <w:rPr>
          <w:lang w:val="en-US"/>
        </w:rPr>
        <w:t xml:space="preserve"> </w:t>
      </w:r>
      <w:r w:rsidR="001C7DED" w:rsidRPr="00E14D8C">
        <w:rPr>
          <w:lang w:val="en-US"/>
        </w:rPr>
        <w:t xml:space="preserve">comprises </w:t>
      </w:r>
      <w:r w:rsidR="00EE4AC5" w:rsidRPr="00E14D8C">
        <w:rPr>
          <w:lang w:val="en-US"/>
        </w:rPr>
        <w:t>a foreign element</w:t>
      </w:r>
      <w:r w:rsidR="001C7DED" w:rsidRPr="00E14D8C">
        <w:rPr>
          <w:lang w:val="en-US"/>
        </w:rPr>
        <w:t>, for instance</w:t>
      </w:r>
      <w:r w:rsidR="0053669E" w:rsidRPr="00E14D8C">
        <w:rPr>
          <w:lang w:val="en-US"/>
        </w:rPr>
        <w:t>,</w:t>
      </w:r>
      <w:r w:rsidR="001C7DED" w:rsidRPr="00E14D8C">
        <w:rPr>
          <w:lang w:val="en-US"/>
        </w:rPr>
        <w:t xml:space="preserve"> when they arise in relation to </w:t>
      </w:r>
      <w:r w:rsidR="000C3357">
        <w:rPr>
          <w:lang w:val="en-US"/>
        </w:rPr>
        <w:t>self-driving</w:t>
      </w:r>
      <w:r w:rsidR="00857F9E" w:rsidRPr="00E14D8C">
        <w:rPr>
          <w:lang w:val="en-US"/>
        </w:rPr>
        <w:t xml:space="preserve"> cars</w:t>
      </w:r>
      <w:r w:rsidR="00EE4AC5" w:rsidRPr="00E14D8C">
        <w:rPr>
          <w:lang w:val="en-US"/>
        </w:rPr>
        <w:t xml:space="preserve"> </w:t>
      </w:r>
      <w:r w:rsidR="00857F9E" w:rsidRPr="00E14D8C">
        <w:rPr>
          <w:lang w:val="en-US"/>
        </w:rPr>
        <w:t xml:space="preserve">that </w:t>
      </w:r>
      <w:r w:rsidR="001C7DED" w:rsidRPr="00E14D8C">
        <w:rPr>
          <w:lang w:val="en-US"/>
        </w:rPr>
        <w:t>are being operated in a country other than their place of production.</w:t>
      </w:r>
      <w:r w:rsidR="0053669E" w:rsidRPr="00E14D8C">
        <w:rPr>
          <w:lang w:val="en-US"/>
        </w:rPr>
        <w:t xml:space="preserve"> </w:t>
      </w:r>
      <w:r w:rsidR="006E02C4" w:rsidRPr="00E14D8C">
        <w:rPr>
          <w:lang w:val="en-US"/>
        </w:rPr>
        <w:t>The operation of autonomous vehicles has consequently been aptly described</w:t>
      </w:r>
      <w:r w:rsidR="006F1D11" w:rsidRPr="00E14D8C">
        <w:rPr>
          <w:lang w:val="en-US"/>
        </w:rPr>
        <w:t xml:space="preserve"> as a </w:t>
      </w:r>
      <w:r w:rsidR="0041674D" w:rsidRPr="00E14D8C">
        <w:rPr>
          <w:lang w:val="en-US"/>
        </w:rPr>
        <w:lastRenderedPageBreak/>
        <w:t>‘</w:t>
      </w:r>
      <w:r w:rsidR="006F1D11" w:rsidRPr="00E14D8C">
        <w:rPr>
          <w:lang w:val="en-US"/>
        </w:rPr>
        <w:t xml:space="preserve">problem of </w:t>
      </w:r>
      <w:r w:rsidR="0041674D" w:rsidRPr="00E14D8C">
        <w:rPr>
          <w:lang w:val="en-US"/>
        </w:rPr>
        <w:t>“</w:t>
      </w:r>
      <w:r w:rsidR="006F1D11" w:rsidRPr="00E14D8C">
        <w:rPr>
          <w:lang w:val="en-US"/>
        </w:rPr>
        <w:t>many hands</w:t>
      </w:r>
      <w:r w:rsidR="0041674D" w:rsidRPr="00E14D8C">
        <w:rPr>
          <w:lang w:val="en-US"/>
        </w:rPr>
        <w:t>”’</w:t>
      </w:r>
      <w:r w:rsidR="006F1D11" w:rsidRPr="00E14D8C">
        <w:rPr>
          <w:rStyle w:val="FootnoteReference"/>
          <w:lang w:val="en-US"/>
        </w:rPr>
        <w:footnoteReference w:id="15"/>
      </w:r>
      <w:r w:rsidR="006E02C4" w:rsidRPr="00E14D8C">
        <w:rPr>
          <w:lang w:val="en-US"/>
        </w:rPr>
        <w:t xml:space="preserve"> and</w:t>
      </w:r>
      <w:r w:rsidR="006F1D11" w:rsidRPr="00E14D8C">
        <w:rPr>
          <w:lang w:val="en-US"/>
        </w:rPr>
        <w:t xml:space="preserve"> </w:t>
      </w:r>
      <w:r w:rsidR="0041674D" w:rsidRPr="00E14D8C">
        <w:rPr>
          <w:lang w:val="en-US"/>
        </w:rPr>
        <w:t>’a</w:t>
      </w:r>
      <w:r w:rsidR="006F1D11" w:rsidRPr="00E14D8C">
        <w:rPr>
          <w:lang w:val="en-US"/>
        </w:rPr>
        <w:t xml:space="preserve"> future that </w:t>
      </w:r>
      <w:r w:rsidR="0041674D" w:rsidRPr="00E14D8C">
        <w:rPr>
          <w:lang w:val="en-US"/>
        </w:rPr>
        <w:t>won’t</w:t>
      </w:r>
      <w:r w:rsidR="006F1D11" w:rsidRPr="00E14D8C">
        <w:rPr>
          <w:lang w:val="en-US"/>
        </w:rPr>
        <w:t xml:space="preserve"> </w:t>
      </w:r>
      <w:r w:rsidR="00F03653">
        <w:rPr>
          <w:lang w:val="en-US"/>
        </w:rPr>
        <w:t>materialize</w:t>
      </w:r>
      <w:r w:rsidR="006F1D11" w:rsidRPr="00E14D8C">
        <w:rPr>
          <w:lang w:val="en-US"/>
        </w:rPr>
        <w:t>…unless legislators around the world create a new legal framework</w:t>
      </w:r>
      <w:r w:rsidR="0041674D" w:rsidRPr="00E14D8C">
        <w:rPr>
          <w:lang w:val="en-US"/>
        </w:rPr>
        <w:t>’</w:t>
      </w:r>
      <w:r w:rsidR="006F1D11" w:rsidRPr="00E14D8C">
        <w:rPr>
          <w:lang w:val="en-US"/>
        </w:rPr>
        <w:t>.</w:t>
      </w:r>
      <w:r w:rsidR="006F1D11" w:rsidRPr="00E14D8C">
        <w:rPr>
          <w:rStyle w:val="FootnoteReference"/>
          <w:lang w:val="en-US"/>
        </w:rPr>
        <w:footnoteReference w:id="16"/>
      </w:r>
      <w:r w:rsidR="006F1D11" w:rsidRPr="00E14D8C">
        <w:rPr>
          <w:lang w:val="en-US"/>
        </w:rPr>
        <w:t xml:space="preserve"> </w:t>
      </w:r>
      <w:r w:rsidRPr="00E14D8C">
        <w:rPr>
          <w:lang w:val="en-US"/>
        </w:rPr>
        <w:t xml:space="preserve"> </w:t>
      </w:r>
    </w:p>
    <w:p w14:paraId="1FB5F1EB" w14:textId="33D58266" w:rsidR="008D466C" w:rsidRPr="00E14D8C" w:rsidRDefault="00EA2C4D" w:rsidP="00A34E89">
      <w:pPr>
        <w:spacing w:line="360" w:lineRule="auto"/>
        <w:jc w:val="both"/>
        <w:rPr>
          <w:lang w:val="en-US"/>
        </w:rPr>
      </w:pPr>
      <w:r w:rsidRPr="00E14D8C">
        <w:rPr>
          <w:lang w:val="en-US"/>
        </w:rPr>
        <w:t xml:space="preserve">      </w:t>
      </w:r>
      <w:r w:rsidR="001C7DED" w:rsidRPr="00E14D8C">
        <w:rPr>
          <w:lang w:val="en-US"/>
        </w:rPr>
        <w:t>To date, there is no</w:t>
      </w:r>
      <w:r w:rsidR="000928FF" w:rsidRPr="00E14D8C">
        <w:rPr>
          <w:lang w:val="en-US"/>
        </w:rPr>
        <w:t xml:space="preserve"> treaty or convention that </w:t>
      </w:r>
      <w:r w:rsidR="00F03653">
        <w:rPr>
          <w:lang w:val="en-US"/>
        </w:rPr>
        <w:t>harmonizes</w:t>
      </w:r>
      <w:r w:rsidR="000928FF" w:rsidRPr="00E14D8C">
        <w:rPr>
          <w:lang w:val="en-US"/>
        </w:rPr>
        <w:t xml:space="preserve"> the rules concerning the operation </w:t>
      </w:r>
      <w:r w:rsidR="0053669E" w:rsidRPr="00E14D8C">
        <w:rPr>
          <w:lang w:val="en-US"/>
        </w:rPr>
        <w:t xml:space="preserve">of </w:t>
      </w:r>
      <w:r w:rsidR="000C3357">
        <w:rPr>
          <w:lang w:val="en-US"/>
        </w:rPr>
        <w:t>self-driving</w:t>
      </w:r>
      <w:r w:rsidR="001C7DED" w:rsidRPr="00E14D8C">
        <w:rPr>
          <w:lang w:val="en-US"/>
        </w:rPr>
        <w:t xml:space="preserve"> cars</w:t>
      </w:r>
      <w:r w:rsidR="000928FF" w:rsidRPr="00E14D8C">
        <w:rPr>
          <w:lang w:val="en-US"/>
        </w:rPr>
        <w:t xml:space="preserve"> in the territories of the Contracting Parties</w:t>
      </w:r>
      <w:r w:rsidR="001C7DED" w:rsidRPr="00E14D8C">
        <w:rPr>
          <w:lang w:val="en-US"/>
        </w:rPr>
        <w:t>.</w:t>
      </w:r>
      <w:r w:rsidR="0053669E" w:rsidRPr="00E14D8C">
        <w:rPr>
          <w:lang w:val="en-US"/>
        </w:rPr>
        <w:t xml:space="preserve"> Thus</w:t>
      </w:r>
      <w:r w:rsidR="001C7DED" w:rsidRPr="00E14D8C">
        <w:rPr>
          <w:lang w:val="en-US"/>
        </w:rPr>
        <w:t xml:space="preserve">, several jurisdictions have attempted to develop the </w:t>
      </w:r>
      <w:r w:rsidR="007D5C58" w:rsidRPr="00E14D8C">
        <w:rPr>
          <w:lang w:val="en-US"/>
        </w:rPr>
        <w:t>legal regulations</w:t>
      </w:r>
      <w:r w:rsidR="001C7DED" w:rsidRPr="00E14D8C">
        <w:rPr>
          <w:lang w:val="en-US"/>
        </w:rPr>
        <w:t xml:space="preserve"> on the subject</w:t>
      </w:r>
      <w:r w:rsidR="0041674D" w:rsidRPr="00E14D8C">
        <w:rPr>
          <w:lang w:val="en-US"/>
        </w:rPr>
        <w:t>, particularly</w:t>
      </w:r>
      <w:r w:rsidR="001C7DED" w:rsidRPr="00E14D8C">
        <w:rPr>
          <w:lang w:val="en-US"/>
        </w:rPr>
        <w:t xml:space="preserve"> those </w:t>
      </w:r>
      <w:r w:rsidR="001C7DED" w:rsidRPr="00E14D8C">
        <w:rPr>
          <w:lang w:val="en-US"/>
        </w:rPr>
        <w:t>concerning the determination of liability for injuries</w:t>
      </w:r>
      <w:r w:rsidR="001C7DED" w:rsidRPr="00E14D8C">
        <w:rPr>
          <w:lang w:val="en-US"/>
        </w:rPr>
        <w:t>,</w:t>
      </w:r>
      <w:r w:rsidR="001C7DED" w:rsidRPr="00E14D8C">
        <w:rPr>
          <w:lang w:val="en-US"/>
        </w:rPr>
        <w:t xml:space="preserve"> </w:t>
      </w:r>
      <w:r w:rsidR="007D5C58" w:rsidRPr="00E14D8C">
        <w:rPr>
          <w:lang w:val="en-US"/>
        </w:rPr>
        <w:t xml:space="preserve">in tandem with </w:t>
      </w:r>
      <w:r w:rsidR="0053669E" w:rsidRPr="00E14D8C">
        <w:rPr>
          <w:lang w:val="en-US"/>
        </w:rPr>
        <w:t xml:space="preserve">the </w:t>
      </w:r>
      <w:r w:rsidR="001C7DED" w:rsidRPr="00E14D8C">
        <w:rPr>
          <w:lang w:val="en-US"/>
        </w:rPr>
        <w:t>introduction</w:t>
      </w:r>
      <w:r w:rsidR="007D5C58" w:rsidRPr="00E14D8C">
        <w:rPr>
          <w:lang w:val="en-US"/>
        </w:rPr>
        <w:t xml:space="preserve"> of </w:t>
      </w:r>
      <w:r w:rsidR="001C7DED" w:rsidRPr="00E14D8C">
        <w:rPr>
          <w:lang w:val="en-US"/>
        </w:rPr>
        <w:t>such vehicles</w:t>
      </w:r>
      <w:r w:rsidR="007D5C58" w:rsidRPr="00E14D8C">
        <w:rPr>
          <w:lang w:val="en-US"/>
        </w:rPr>
        <w:t xml:space="preserve"> on </w:t>
      </w:r>
      <w:r w:rsidR="001C7DED" w:rsidRPr="00E14D8C">
        <w:rPr>
          <w:lang w:val="en-US"/>
        </w:rPr>
        <w:t>public</w:t>
      </w:r>
      <w:r w:rsidR="007D5C58" w:rsidRPr="00E14D8C">
        <w:rPr>
          <w:lang w:val="en-US"/>
        </w:rPr>
        <w:t xml:space="preserve"> roads.</w:t>
      </w:r>
      <w:r w:rsidR="0053669E" w:rsidRPr="00E14D8C">
        <w:rPr>
          <w:lang w:val="en-US"/>
        </w:rPr>
        <w:t xml:space="preserve"> </w:t>
      </w:r>
      <w:r w:rsidR="007D5C58" w:rsidRPr="00E14D8C">
        <w:rPr>
          <w:lang w:val="en-US"/>
        </w:rPr>
        <w:t>France,</w:t>
      </w:r>
      <w:r w:rsidR="004C4CD9" w:rsidRPr="00E14D8C">
        <w:rPr>
          <w:rStyle w:val="FootnoteReference"/>
          <w:lang w:val="en-US"/>
        </w:rPr>
        <w:footnoteReference w:id="17"/>
      </w:r>
      <w:r w:rsidR="007D5C58" w:rsidRPr="00E14D8C">
        <w:rPr>
          <w:lang w:val="en-US"/>
        </w:rPr>
        <w:t xml:space="preserve"> Germany,</w:t>
      </w:r>
      <w:r w:rsidR="004C4CD9" w:rsidRPr="00E14D8C">
        <w:rPr>
          <w:rStyle w:val="FootnoteReference"/>
          <w:lang w:val="en-US"/>
        </w:rPr>
        <w:footnoteReference w:id="18"/>
      </w:r>
      <w:r w:rsidR="007D5C58" w:rsidRPr="00E14D8C">
        <w:rPr>
          <w:lang w:val="en-US"/>
        </w:rPr>
        <w:t xml:space="preserve"> the </w:t>
      </w:r>
      <w:r w:rsidR="00F03653">
        <w:rPr>
          <w:lang w:val="en-US"/>
        </w:rPr>
        <w:t>UK</w:t>
      </w:r>
      <w:r w:rsidR="00267C90" w:rsidRPr="00E14D8C">
        <w:rPr>
          <w:rStyle w:val="FootnoteReference"/>
          <w:lang w:val="en-US"/>
        </w:rPr>
        <w:footnoteReference w:id="19"/>
      </w:r>
      <w:r w:rsidR="007D5C58" w:rsidRPr="00E14D8C">
        <w:rPr>
          <w:lang w:val="en-US"/>
        </w:rPr>
        <w:t xml:space="preserve"> </w:t>
      </w:r>
      <w:r w:rsidR="00810AF3" w:rsidRPr="00E14D8C">
        <w:rPr>
          <w:lang w:val="en-US"/>
        </w:rPr>
        <w:t xml:space="preserve">and </w:t>
      </w:r>
      <w:r w:rsidR="007D5C58" w:rsidRPr="00E14D8C">
        <w:rPr>
          <w:lang w:val="en-US"/>
        </w:rPr>
        <w:t>China</w:t>
      </w:r>
      <w:r w:rsidR="00751F3C" w:rsidRPr="00E14D8C">
        <w:rPr>
          <w:rStyle w:val="FootnoteReference"/>
          <w:lang w:val="en-US"/>
        </w:rPr>
        <w:footnoteReference w:id="20"/>
      </w:r>
      <w:r w:rsidR="007D5C58" w:rsidRPr="00E14D8C">
        <w:rPr>
          <w:lang w:val="en-US"/>
        </w:rPr>
        <w:t xml:space="preserve"> </w:t>
      </w:r>
      <w:r w:rsidR="001C7DED" w:rsidRPr="00E14D8C">
        <w:rPr>
          <w:lang w:val="en-US"/>
        </w:rPr>
        <w:t>are some</w:t>
      </w:r>
      <w:r w:rsidR="007D5C58" w:rsidRPr="00E14D8C">
        <w:rPr>
          <w:lang w:val="en-US"/>
        </w:rPr>
        <w:t xml:space="preserve"> examples</w:t>
      </w:r>
      <w:r w:rsidR="001C7DED" w:rsidRPr="00E14D8C">
        <w:rPr>
          <w:lang w:val="en-US"/>
        </w:rPr>
        <w:t>.</w:t>
      </w:r>
      <w:r w:rsidR="0053669E" w:rsidRPr="00E14D8C">
        <w:rPr>
          <w:lang w:val="en-US"/>
        </w:rPr>
        <w:t xml:space="preserve"> Therefore, it is not surprising</w:t>
      </w:r>
      <w:r w:rsidR="00EE4AC5" w:rsidRPr="00E14D8C">
        <w:rPr>
          <w:lang w:val="en-US"/>
        </w:rPr>
        <w:t xml:space="preserve"> that</w:t>
      </w:r>
      <w:r w:rsidR="00AE7D02" w:rsidRPr="00E14D8C">
        <w:rPr>
          <w:lang w:val="en-US"/>
        </w:rPr>
        <w:t xml:space="preserve"> consumer acceptance in </w:t>
      </w:r>
      <w:proofErr w:type="spellStart"/>
      <w:r w:rsidR="00AE7D02" w:rsidRPr="00E14D8C">
        <w:rPr>
          <w:lang w:val="en-US"/>
        </w:rPr>
        <w:t>favour</w:t>
      </w:r>
      <w:proofErr w:type="spellEnd"/>
      <w:r w:rsidR="00AE7D02" w:rsidRPr="00E14D8C">
        <w:rPr>
          <w:lang w:val="en-US"/>
        </w:rPr>
        <w:t xml:space="preserve"> of </w:t>
      </w:r>
      <w:r w:rsidR="00EE4AC5" w:rsidRPr="00E14D8C">
        <w:rPr>
          <w:lang w:val="en-US"/>
        </w:rPr>
        <w:t>such cars</w:t>
      </w:r>
      <w:r w:rsidR="00AE7D02" w:rsidRPr="00E14D8C">
        <w:rPr>
          <w:lang w:val="en-US"/>
        </w:rPr>
        <w:t xml:space="preserve"> has generally be</w:t>
      </w:r>
      <w:r w:rsidR="001B6955" w:rsidRPr="00E14D8C">
        <w:rPr>
          <w:lang w:val="en-US"/>
        </w:rPr>
        <w:t>en</w:t>
      </w:r>
      <w:r w:rsidR="00AE7D02" w:rsidRPr="00E14D8C">
        <w:rPr>
          <w:lang w:val="en-US"/>
        </w:rPr>
        <w:t xml:space="preserve"> </w:t>
      </w:r>
      <w:r w:rsidR="001B6955" w:rsidRPr="00E14D8C">
        <w:rPr>
          <w:lang w:val="en-US"/>
        </w:rPr>
        <w:t>escalating</w:t>
      </w:r>
      <w:r w:rsidR="00AE7D02" w:rsidRPr="00E14D8C">
        <w:rPr>
          <w:lang w:val="en-US"/>
        </w:rPr>
        <w:t xml:space="preserve"> </w:t>
      </w:r>
      <w:r w:rsidR="0053669E" w:rsidRPr="00E14D8C">
        <w:rPr>
          <w:lang w:val="en-US"/>
        </w:rPr>
        <w:t>steadily</w:t>
      </w:r>
      <w:r w:rsidR="00AE7D02" w:rsidRPr="00E14D8C">
        <w:rPr>
          <w:lang w:val="en-US"/>
        </w:rPr>
        <w:t xml:space="preserve"> in such jurisdictions.</w:t>
      </w:r>
      <w:r w:rsidR="00707F26" w:rsidRPr="00E14D8C">
        <w:rPr>
          <w:rStyle w:val="FootnoteReference"/>
          <w:lang w:val="en-US"/>
        </w:rPr>
        <w:footnoteReference w:id="21"/>
      </w:r>
      <w:r w:rsidR="00AE7D02" w:rsidRPr="00E14D8C">
        <w:rPr>
          <w:lang w:val="en-US"/>
        </w:rPr>
        <w:t xml:space="preserve"> </w:t>
      </w:r>
      <w:r w:rsidR="000F2904" w:rsidRPr="00E14D8C">
        <w:rPr>
          <w:lang w:val="en-US"/>
        </w:rPr>
        <w:t>Although some Asian countries such as China,</w:t>
      </w:r>
      <w:r w:rsidR="000F2904" w:rsidRPr="00E14D8C">
        <w:rPr>
          <w:rStyle w:val="FootnoteReference"/>
          <w:lang w:val="en-US"/>
        </w:rPr>
        <w:footnoteReference w:id="22"/>
      </w:r>
      <w:r w:rsidR="000F2904" w:rsidRPr="00E14D8C">
        <w:rPr>
          <w:lang w:val="en-US"/>
        </w:rPr>
        <w:t xml:space="preserve"> South Korea</w:t>
      </w:r>
      <w:r w:rsidR="000F2904" w:rsidRPr="00E14D8C">
        <w:rPr>
          <w:rStyle w:val="FootnoteReference"/>
          <w:lang w:val="en-US"/>
        </w:rPr>
        <w:footnoteReference w:id="23"/>
      </w:r>
      <w:r w:rsidR="000F2904" w:rsidRPr="00E14D8C">
        <w:rPr>
          <w:lang w:val="en-US"/>
        </w:rPr>
        <w:t xml:space="preserve"> and Japan</w:t>
      </w:r>
      <w:r w:rsidR="000F2904" w:rsidRPr="00E14D8C">
        <w:rPr>
          <w:rStyle w:val="FootnoteReference"/>
          <w:lang w:val="en-US"/>
        </w:rPr>
        <w:footnoteReference w:id="24"/>
      </w:r>
      <w:r w:rsidR="000F2904" w:rsidRPr="00E14D8C">
        <w:rPr>
          <w:lang w:val="en-US"/>
        </w:rPr>
        <w:t xml:space="preserve"> have</w:t>
      </w:r>
      <w:r w:rsidR="00846BF1" w:rsidRPr="00E14D8C">
        <w:rPr>
          <w:lang w:val="en-US"/>
        </w:rPr>
        <w:t xml:space="preserve"> demonstrated the highest consumer acceptance in </w:t>
      </w:r>
      <w:proofErr w:type="spellStart"/>
      <w:r w:rsidR="00846BF1" w:rsidRPr="00E14D8C">
        <w:rPr>
          <w:lang w:val="en-US"/>
        </w:rPr>
        <w:t>favour</w:t>
      </w:r>
      <w:proofErr w:type="spellEnd"/>
      <w:r w:rsidR="00846BF1" w:rsidRPr="00E14D8C">
        <w:rPr>
          <w:lang w:val="en-US"/>
        </w:rPr>
        <w:t xml:space="preserve"> of such vehicles, others such as Germany</w:t>
      </w:r>
      <w:r w:rsidR="000F2904" w:rsidRPr="00E14D8C">
        <w:rPr>
          <w:rStyle w:val="FootnoteReference"/>
          <w:lang w:val="en-US"/>
        </w:rPr>
        <w:footnoteReference w:id="25"/>
      </w:r>
      <w:r w:rsidR="00846BF1" w:rsidRPr="00E14D8C">
        <w:rPr>
          <w:lang w:val="en-US"/>
        </w:rPr>
        <w:t xml:space="preserve"> </w:t>
      </w:r>
      <w:r w:rsidR="00707F26" w:rsidRPr="00E14D8C">
        <w:rPr>
          <w:lang w:val="en-US"/>
        </w:rPr>
        <w:t xml:space="preserve">and the </w:t>
      </w:r>
      <w:r w:rsidR="00F03653">
        <w:rPr>
          <w:lang w:val="en-US"/>
        </w:rPr>
        <w:t>US</w:t>
      </w:r>
      <w:r w:rsidR="000F2904" w:rsidRPr="00E14D8C">
        <w:rPr>
          <w:rStyle w:val="FootnoteReference"/>
          <w:lang w:val="en-US"/>
        </w:rPr>
        <w:footnoteReference w:id="26"/>
      </w:r>
      <w:r w:rsidR="00707F26" w:rsidRPr="00E14D8C">
        <w:rPr>
          <w:lang w:val="en-US"/>
        </w:rPr>
        <w:t xml:space="preserve"> </w:t>
      </w:r>
      <w:r w:rsidR="00846BF1" w:rsidRPr="00E14D8C">
        <w:rPr>
          <w:lang w:val="en-US"/>
        </w:rPr>
        <w:t>have exhibited a similar trend.</w:t>
      </w:r>
      <w:r w:rsidR="0053669E" w:rsidRPr="00E14D8C">
        <w:rPr>
          <w:lang w:val="en-US"/>
        </w:rPr>
        <w:t xml:space="preserve"> </w:t>
      </w:r>
      <w:r w:rsidR="00790E93" w:rsidRPr="00E14D8C">
        <w:rPr>
          <w:lang w:val="en-US"/>
        </w:rPr>
        <w:t xml:space="preserve">Attempts to stipulate </w:t>
      </w:r>
      <w:r w:rsidR="00AB0FAD" w:rsidRPr="00E14D8C">
        <w:rPr>
          <w:lang w:val="en-US"/>
        </w:rPr>
        <w:t>predictable, clear rules on the adjudication of claims arising from the operation of such vehicles may have been a significant</w:t>
      </w:r>
      <w:r w:rsidR="008D466C" w:rsidRPr="00E14D8C">
        <w:rPr>
          <w:lang w:val="en-US"/>
        </w:rPr>
        <w:t xml:space="preserve"> contributor </w:t>
      </w:r>
      <w:r w:rsidR="0053669E" w:rsidRPr="00E14D8C">
        <w:rPr>
          <w:lang w:val="en-US"/>
        </w:rPr>
        <w:t>to</w:t>
      </w:r>
      <w:r w:rsidR="008D466C" w:rsidRPr="00E14D8C">
        <w:rPr>
          <w:lang w:val="en-US"/>
        </w:rPr>
        <w:t xml:space="preserve"> increasing consumer acceptance in these jurisdictions. </w:t>
      </w:r>
    </w:p>
    <w:p w14:paraId="754D5CE4" w14:textId="41DD8BE5" w:rsidR="00810AF3" w:rsidRPr="00E14D8C" w:rsidRDefault="001C2866" w:rsidP="00A34E89">
      <w:pPr>
        <w:spacing w:line="360" w:lineRule="auto"/>
        <w:jc w:val="both"/>
        <w:rPr>
          <w:lang w:val="en-US"/>
        </w:rPr>
      </w:pPr>
      <w:r w:rsidRPr="00E14D8C">
        <w:rPr>
          <w:lang w:val="en-US"/>
        </w:rPr>
        <w:lastRenderedPageBreak/>
        <w:t xml:space="preserve">        In contrast, </w:t>
      </w:r>
      <w:r w:rsidR="00707F26" w:rsidRPr="00E14D8C">
        <w:rPr>
          <w:lang w:val="en-US"/>
        </w:rPr>
        <w:t>autonomous</w:t>
      </w:r>
      <w:r w:rsidRPr="00E14D8C">
        <w:rPr>
          <w:lang w:val="en-US"/>
        </w:rPr>
        <w:t xml:space="preserve"> cars have </w:t>
      </w:r>
      <w:r w:rsidR="00E27B65" w:rsidRPr="00E14D8C">
        <w:rPr>
          <w:lang w:val="en-US"/>
        </w:rPr>
        <w:t xml:space="preserve">generally </w:t>
      </w:r>
      <w:r w:rsidRPr="00E14D8C">
        <w:rPr>
          <w:lang w:val="en-US"/>
        </w:rPr>
        <w:t xml:space="preserve">not found </w:t>
      </w:r>
      <w:proofErr w:type="spellStart"/>
      <w:r w:rsidRPr="00E14D8C">
        <w:rPr>
          <w:lang w:val="en-US"/>
        </w:rPr>
        <w:t>favour</w:t>
      </w:r>
      <w:proofErr w:type="spellEnd"/>
      <w:r w:rsidRPr="00E14D8C">
        <w:rPr>
          <w:lang w:val="en-US"/>
        </w:rPr>
        <w:t xml:space="preserve"> in India</w:t>
      </w:r>
      <w:r w:rsidR="009F52C6" w:rsidRPr="00E14D8C">
        <w:rPr>
          <w:lang w:val="en-US"/>
        </w:rPr>
        <w:t xml:space="preserve">, and </w:t>
      </w:r>
      <w:r w:rsidR="002D31BE" w:rsidRPr="00E14D8C">
        <w:rPr>
          <w:lang w:val="en-US"/>
        </w:rPr>
        <w:t>the operation of such vehicles has been</w:t>
      </w:r>
      <w:r w:rsidR="001D7BBB" w:rsidRPr="00E14D8C">
        <w:rPr>
          <w:lang w:val="en-US"/>
        </w:rPr>
        <w:t xml:space="preserve"> </w:t>
      </w:r>
      <w:r w:rsidR="0006426A" w:rsidRPr="00E14D8C">
        <w:rPr>
          <w:lang w:val="en-US"/>
        </w:rPr>
        <w:t>banned</w:t>
      </w:r>
      <w:r w:rsidR="002D31BE" w:rsidRPr="00E14D8C">
        <w:rPr>
          <w:lang w:val="en-US"/>
        </w:rPr>
        <w:t xml:space="preserve"> on public roads</w:t>
      </w:r>
      <w:r w:rsidR="009F52C6" w:rsidRPr="00E14D8C">
        <w:rPr>
          <w:lang w:val="en-US"/>
        </w:rPr>
        <w:t xml:space="preserve"> in the country</w:t>
      </w:r>
      <w:r w:rsidRPr="00E14D8C">
        <w:rPr>
          <w:lang w:val="en-US"/>
        </w:rPr>
        <w:t>.</w:t>
      </w:r>
      <w:r w:rsidR="001D7BBB" w:rsidRPr="00E14D8C">
        <w:rPr>
          <w:rStyle w:val="FootnoteReference"/>
          <w:lang w:val="en-US"/>
        </w:rPr>
        <w:footnoteReference w:id="27"/>
      </w:r>
      <w:r w:rsidR="003F2792" w:rsidRPr="00E14D8C">
        <w:rPr>
          <w:lang w:val="en-US"/>
        </w:rPr>
        <w:t xml:space="preserve"> </w:t>
      </w:r>
      <w:r w:rsidR="00D45FAA" w:rsidRPr="00E14D8C">
        <w:rPr>
          <w:lang w:val="en-US"/>
        </w:rPr>
        <w:t>T</w:t>
      </w:r>
      <w:r w:rsidR="00845E88" w:rsidRPr="00E14D8C">
        <w:rPr>
          <w:lang w:val="en-US"/>
        </w:rPr>
        <w:t xml:space="preserve">he </w:t>
      </w:r>
      <w:r w:rsidR="002D31BE" w:rsidRPr="00E14D8C">
        <w:rPr>
          <w:lang w:val="en-US"/>
        </w:rPr>
        <w:t xml:space="preserve">Republic </w:t>
      </w:r>
      <w:r w:rsidR="00845E88" w:rsidRPr="00E14D8C">
        <w:rPr>
          <w:lang w:val="en-US"/>
        </w:rPr>
        <w:t xml:space="preserve">is considered </w:t>
      </w:r>
      <w:r w:rsidR="002D31BE" w:rsidRPr="00E14D8C">
        <w:rPr>
          <w:lang w:val="en-US"/>
        </w:rPr>
        <w:t xml:space="preserve">among </w:t>
      </w:r>
      <w:r w:rsidRPr="00E14D8C">
        <w:rPr>
          <w:lang w:val="en-US"/>
        </w:rPr>
        <w:t xml:space="preserve">the </w:t>
      </w:r>
      <w:r w:rsidR="0053669E" w:rsidRPr="00E14D8C">
        <w:rPr>
          <w:lang w:val="en-US"/>
        </w:rPr>
        <w:t>worst-performing</w:t>
      </w:r>
      <w:r w:rsidRPr="00E14D8C">
        <w:rPr>
          <w:lang w:val="en-US"/>
        </w:rPr>
        <w:t xml:space="preserve"> countries </w:t>
      </w:r>
      <w:r w:rsidR="0053669E" w:rsidRPr="00E14D8C">
        <w:rPr>
          <w:lang w:val="en-US"/>
        </w:rPr>
        <w:t>globally</w:t>
      </w:r>
      <w:r w:rsidR="0006426A" w:rsidRPr="00E14D8C">
        <w:rPr>
          <w:lang w:val="en-US"/>
        </w:rPr>
        <w:t xml:space="preserve"> in terms of preparedness </w:t>
      </w:r>
      <w:r w:rsidR="0053669E" w:rsidRPr="00E14D8C">
        <w:rPr>
          <w:lang w:val="en-US"/>
        </w:rPr>
        <w:t>for</w:t>
      </w:r>
      <w:r w:rsidR="0006426A" w:rsidRPr="00E14D8C">
        <w:rPr>
          <w:lang w:val="en-US"/>
        </w:rPr>
        <w:t xml:space="preserve"> the operation of such </w:t>
      </w:r>
      <w:r w:rsidR="0068370C" w:rsidRPr="00E14D8C">
        <w:rPr>
          <w:lang w:val="en-US"/>
        </w:rPr>
        <w:t>vehicles</w:t>
      </w:r>
      <w:r w:rsidR="002D31BE" w:rsidRPr="00E14D8C">
        <w:rPr>
          <w:lang w:val="en-US"/>
        </w:rPr>
        <w:t>.</w:t>
      </w:r>
      <w:r w:rsidR="00707F26" w:rsidRPr="00E14D8C">
        <w:rPr>
          <w:rStyle w:val="FootnoteReference"/>
          <w:lang w:val="en-US"/>
        </w:rPr>
        <w:footnoteReference w:id="28"/>
      </w:r>
      <w:r w:rsidRPr="00E14D8C">
        <w:rPr>
          <w:lang w:val="en-US"/>
        </w:rPr>
        <w:t xml:space="preserve"> </w:t>
      </w:r>
      <w:r w:rsidR="002D31BE" w:rsidRPr="00E14D8C">
        <w:rPr>
          <w:lang w:val="en-US"/>
        </w:rPr>
        <w:t>C</w:t>
      </w:r>
      <w:r w:rsidRPr="00E14D8C">
        <w:rPr>
          <w:lang w:val="en-US"/>
        </w:rPr>
        <w:t xml:space="preserve">onsumer acceptance in </w:t>
      </w:r>
      <w:proofErr w:type="spellStart"/>
      <w:r w:rsidRPr="00E14D8C">
        <w:rPr>
          <w:lang w:val="en-US"/>
        </w:rPr>
        <w:t>favour</w:t>
      </w:r>
      <w:proofErr w:type="spellEnd"/>
      <w:r w:rsidRPr="00E14D8C">
        <w:rPr>
          <w:lang w:val="en-US"/>
        </w:rPr>
        <w:t xml:space="preserve"> of such vehicles has </w:t>
      </w:r>
      <w:r w:rsidR="00AB0FAD" w:rsidRPr="00E14D8C">
        <w:rPr>
          <w:lang w:val="en-US"/>
        </w:rPr>
        <w:t xml:space="preserve">not merely </w:t>
      </w:r>
      <w:r w:rsidR="00707F26" w:rsidRPr="00E14D8C">
        <w:rPr>
          <w:lang w:val="en-US"/>
        </w:rPr>
        <w:t>demonstrated a declining trend over the years</w:t>
      </w:r>
      <w:r w:rsidR="00E27B65" w:rsidRPr="00E14D8C">
        <w:rPr>
          <w:lang w:val="en-US"/>
        </w:rPr>
        <w:t xml:space="preserve"> </w:t>
      </w:r>
      <w:r w:rsidR="0053669E" w:rsidRPr="00E14D8C">
        <w:rPr>
          <w:lang w:val="en-US"/>
        </w:rPr>
        <w:t>compared to</w:t>
      </w:r>
      <w:r w:rsidR="0006426A" w:rsidRPr="00E14D8C">
        <w:rPr>
          <w:lang w:val="en-US"/>
        </w:rPr>
        <w:t xml:space="preserve"> </w:t>
      </w:r>
      <w:r w:rsidR="00E27B65" w:rsidRPr="00E14D8C">
        <w:rPr>
          <w:lang w:val="en-US"/>
        </w:rPr>
        <w:t>other countries such as China, Japan or Germany</w:t>
      </w:r>
      <w:r w:rsidR="00AB0FAD" w:rsidRPr="00E14D8C">
        <w:rPr>
          <w:lang w:val="en-US"/>
        </w:rPr>
        <w:t xml:space="preserve"> - but has also been the lowest.</w:t>
      </w:r>
      <w:r w:rsidR="0006426A" w:rsidRPr="00E14D8C">
        <w:rPr>
          <w:rStyle w:val="FootnoteReference"/>
          <w:lang w:val="en-US"/>
        </w:rPr>
        <w:footnoteReference w:id="29"/>
      </w:r>
      <w:r w:rsidR="00AB0FAD" w:rsidRPr="00E14D8C">
        <w:rPr>
          <w:lang w:val="en-US"/>
        </w:rPr>
        <w:t xml:space="preserve"> Research </w:t>
      </w:r>
      <w:r w:rsidR="0053669E" w:rsidRPr="00E14D8C">
        <w:rPr>
          <w:lang w:val="en-US"/>
        </w:rPr>
        <w:t>indicates</w:t>
      </w:r>
      <w:r w:rsidR="00AB0FAD" w:rsidRPr="00E14D8C">
        <w:rPr>
          <w:lang w:val="en-US"/>
        </w:rPr>
        <w:t xml:space="preserve"> that </w:t>
      </w:r>
      <w:r w:rsidR="00305DDB" w:rsidRPr="00E14D8C">
        <w:rPr>
          <w:lang w:val="en-US"/>
        </w:rPr>
        <w:t xml:space="preserve">consumer concerns </w:t>
      </w:r>
      <w:r w:rsidR="001C7DED" w:rsidRPr="00E14D8C">
        <w:rPr>
          <w:lang w:val="en-US"/>
        </w:rPr>
        <w:t>questioning the</w:t>
      </w:r>
      <w:r w:rsidR="00305DDB" w:rsidRPr="00E14D8C">
        <w:rPr>
          <w:lang w:val="en-US"/>
        </w:rPr>
        <w:t xml:space="preserve"> safety of such vehicles have increased.</w:t>
      </w:r>
      <w:r w:rsidR="0053669E" w:rsidRPr="00E14D8C">
        <w:rPr>
          <w:lang w:val="en-US"/>
        </w:rPr>
        <w:t xml:space="preserve"> </w:t>
      </w:r>
      <w:r w:rsidR="00305DDB" w:rsidRPr="00E14D8C">
        <w:rPr>
          <w:lang w:val="en-US"/>
        </w:rPr>
        <w:t xml:space="preserve">Injuries attributable to their use have particularly had a </w:t>
      </w:r>
      <w:r w:rsidR="0053669E" w:rsidRPr="00E14D8C">
        <w:rPr>
          <w:lang w:val="en-US"/>
        </w:rPr>
        <w:t>significant impact in</w:t>
      </w:r>
      <w:r w:rsidR="00305DDB" w:rsidRPr="00E14D8C">
        <w:rPr>
          <w:lang w:val="en-US"/>
        </w:rPr>
        <w:t xml:space="preserve"> shaping the consumer acceptance of autonomous cars in India</w:t>
      </w:r>
      <w:r w:rsidR="00305DDB" w:rsidRPr="00E14D8C">
        <w:rPr>
          <w:rStyle w:val="FootnoteReference"/>
          <w:lang w:val="en-US"/>
        </w:rPr>
        <w:footnoteReference w:id="30"/>
      </w:r>
      <w:r w:rsidR="00305DDB" w:rsidRPr="00E14D8C">
        <w:rPr>
          <w:lang w:val="en-US"/>
        </w:rPr>
        <w:t xml:space="preserve"> – causing the population to be (very) concerned about the testing of such vehicles on public roads.</w:t>
      </w:r>
      <w:r w:rsidR="00305DDB" w:rsidRPr="00E14D8C">
        <w:rPr>
          <w:rStyle w:val="FootnoteReference"/>
          <w:lang w:val="en-US"/>
        </w:rPr>
        <w:footnoteReference w:id="31"/>
      </w:r>
      <w:r w:rsidR="00305DDB" w:rsidRPr="00E14D8C">
        <w:rPr>
          <w:lang w:val="en-US"/>
        </w:rPr>
        <w:t xml:space="preserve"> </w:t>
      </w:r>
      <w:r w:rsidR="00EB47E2" w:rsidRPr="00E14D8C">
        <w:rPr>
          <w:lang w:val="en-US"/>
        </w:rPr>
        <w:t>As such</w:t>
      </w:r>
      <w:r w:rsidR="00305DDB" w:rsidRPr="00E14D8C">
        <w:rPr>
          <w:lang w:val="en-US"/>
        </w:rPr>
        <w:t xml:space="preserve">, </w:t>
      </w:r>
      <w:r w:rsidR="00AB0FAD" w:rsidRPr="00E14D8C">
        <w:rPr>
          <w:lang w:val="en-US"/>
        </w:rPr>
        <w:t xml:space="preserve">merely 42 </w:t>
      </w:r>
      <w:r w:rsidR="0053669E" w:rsidRPr="00E14D8C">
        <w:rPr>
          <w:lang w:val="en-US"/>
        </w:rPr>
        <w:t>per cent</w:t>
      </w:r>
      <w:r w:rsidR="00AB0FAD" w:rsidRPr="00E14D8C">
        <w:rPr>
          <w:lang w:val="en-US"/>
        </w:rPr>
        <w:t xml:space="preserve"> of consumers have considered the operation of such </w:t>
      </w:r>
      <w:r w:rsidR="0053669E" w:rsidRPr="00E14D8C">
        <w:rPr>
          <w:lang w:val="en-US"/>
        </w:rPr>
        <w:t>cars</w:t>
      </w:r>
      <w:r w:rsidR="00AB0FAD" w:rsidRPr="00E14D8C">
        <w:rPr>
          <w:lang w:val="en-US"/>
        </w:rPr>
        <w:t xml:space="preserve"> as safe in </w:t>
      </w:r>
      <w:r w:rsidR="001C7DED" w:rsidRPr="00E14D8C">
        <w:rPr>
          <w:lang w:val="en-US"/>
        </w:rPr>
        <w:t xml:space="preserve">the last report of </w:t>
      </w:r>
      <w:r w:rsidR="00AB0FAD" w:rsidRPr="00E14D8C">
        <w:rPr>
          <w:lang w:val="en-US"/>
        </w:rPr>
        <w:t xml:space="preserve">2020, compared to 52 and 53 </w:t>
      </w:r>
      <w:r w:rsidR="0053669E" w:rsidRPr="00E14D8C">
        <w:rPr>
          <w:lang w:val="en-US"/>
        </w:rPr>
        <w:t>per cent</w:t>
      </w:r>
      <w:r w:rsidR="00AB0FAD" w:rsidRPr="00E14D8C">
        <w:rPr>
          <w:lang w:val="en-US"/>
        </w:rPr>
        <w:t xml:space="preserve"> in the preceding two </w:t>
      </w:r>
      <w:r w:rsidR="00261799" w:rsidRPr="00E14D8C">
        <w:rPr>
          <w:lang w:val="en-US"/>
        </w:rPr>
        <w:t>years</w:t>
      </w:r>
      <w:r w:rsidR="00305DDB" w:rsidRPr="00E14D8C">
        <w:rPr>
          <w:lang w:val="en-US"/>
        </w:rPr>
        <w:t>.</w:t>
      </w:r>
      <w:r w:rsidR="00261799" w:rsidRPr="00E14D8C">
        <w:rPr>
          <w:lang w:val="en-US"/>
        </w:rPr>
        <w:t xml:space="preserve"> </w:t>
      </w:r>
    </w:p>
    <w:p w14:paraId="26631025" w14:textId="3E287C8D" w:rsidR="00845E88" w:rsidRPr="00E14D8C" w:rsidRDefault="00810AF3" w:rsidP="00A34E89">
      <w:pPr>
        <w:spacing w:line="360" w:lineRule="auto"/>
        <w:jc w:val="both"/>
        <w:rPr>
          <w:lang w:val="en-US"/>
        </w:rPr>
      </w:pPr>
      <w:r w:rsidRPr="00E14D8C">
        <w:rPr>
          <w:lang w:val="en-US"/>
        </w:rPr>
        <w:t xml:space="preserve">       </w:t>
      </w:r>
      <w:r w:rsidR="00305DDB" w:rsidRPr="00E14D8C">
        <w:rPr>
          <w:lang w:val="en-US"/>
        </w:rPr>
        <w:t xml:space="preserve">The present legal framework on the ascertainment of liability for </w:t>
      </w:r>
      <w:r w:rsidRPr="00E14D8C">
        <w:rPr>
          <w:lang w:val="en-US"/>
        </w:rPr>
        <w:t xml:space="preserve">harm caused by motor vehicles </w:t>
      </w:r>
      <w:r w:rsidR="00305DDB" w:rsidRPr="00E14D8C">
        <w:rPr>
          <w:lang w:val="en-US"/>
        </w:rPr>
        <w:t xml:space="preserve">appears to have directly influenced </w:t>
      </w:r>
      <w:r w:rsidR="0041674D" w:rsidRPr="00E14D8C">
        <w:rPr>
          <w:lang w:val="en-US"/>
        </w:rPr>
        <w:t>how potential users perceive</w:t>
      </w:r>
      <w:r w:rsidR="00305DDB" w:rsidRPr="00E14D8C">
        <w:rPr>
          <w:lang w:val="en-US"/>
        </w:rPr>
        <w:t xml:space="preserve"> self-driving cars in India.</w:t>
      </w:r>
      <w:r w:rsidR="0053669E" w:rsidRPr="00E14D8C">
        <w:rPr>
          <w:lang w:val="en-US"/>
        </w:rPr>
        <w:t xml:space="preserve"> </w:t>
      </w:r>
      <w:r w:rsidR="00C175D4" w:rsidRPr="00E14D8C">
        <w:rPr>
          <w:lang w:val="en-US"/>
        </w:rPr>
        <w:t xml:space="preserve">Predictable rules </w:t>
      </w:r>
      <w:r w:rsidRPr="00E14D8C">
        <w:rPr>
          <w:lang w:val="en-US"/>
        </w:rPr>
        <w:t>on</w:t>
      </w:r>
      <w:r w:rsidR="00C175D4" w:rsidRPr="00E14D8C">
        <w:rPr>
          <w:lang w:val="en-US"/>
        </w:rPr>
        <w:t xml:space="preserve"> the determination of liability could, thus, potentially play a </w:t>
      </w:r>
      <w:r w:rsidRPr="00E14D8C">
        <w:rPr>
          <w:lang w:val="en-US"/>
        </w:rPr>
        <w:t>crucial</w:t>
      </w:r>
      <w:r w:rsidR="00C175D4" w:rsidRPr="00E14D8C">
        <w:rPr>
          <w:lang w:val="en-US"/>
        </w:rPr>
        <w:t xml:space="preserve"> role in influencing consumer attitudes if </w:t>
      </w:r>
      <w:r w:rsidRPr="00E14D8C">
        <w:rPr>
          <w:lang w:val="en-US"/>
        </w:rPr>
        <w:t>India</w:t>
      </w:r>
      <w:r w:rsidR="0068370C" w:rsidRPr="00E14D8C">
        <w:rPr>
          <w:lang w:val="en-US"/>
        </w:rPr>
        <w:t>, akin to some other jurisdictions,</w:t>
      </w:r>
      <w:r w:rsidR="00C175D4" w:rsidRPr="00E14D8C">
        <w:rPr>
          <w:lang w:val="en-US"/>
        </w:rPr>
        <w:t xml:space="preserve"> decides to </w:t>
      </w:r>
      <w:r w:rsidR="00F03653">
        <w:rPr>
          <w:lang w:val="en-US"/>
        </w:rPr>
        <w:t>authorize</w:t>
      </w:r>
      <w:r w:rsidR="0068370C" w:rsidRPr="00E14D8C">
        <w:rPr>
          <w:lang w:val="en-US"/>
        </w:rPr>
        <w:t xml:space="preserve"> the commercial operation of such vehicles</w:t>
      </w:r>
      <w:r w:rsidRPr="00E14D8C">
        <w:rPr>
          <w:lang w:val="en-US"/>
        </w:rPr>
        <w:t xml:space="preserve"> in the future</w:t>
      </w:r>
      <w:r w:rsidR="00C175D4" w:rsidRPr="00E14D8C">
        <w:rPr>
          <w:lang w:val="en-US"/>
        </w:rPr>
        <w:t>.</w:t>
      </w:r>
      <w:r w:rsidR="00566DA6" w:rsidRPr="00E14D8C">
        <w:rPr>
          <w:lang w:val="en-US"/>
        </w:rPr>
        <w:t xml:space="preserve"> </w:t>
      </w:r>
    </w:p>
    <w:p w14:paraId="41E14295" w14:textId="50B60DEB" w:rsidR="001C2866" w:rsidRPr="00E14D8C" w:rsidRDefault="00845E88" w:rsidP="00A34E89">
      <w:pPr>
        <w:spacing w:line="360" w:lineRule="auto"/>
        <w:jc w:val="both"/>
        <w:rPr>
          <w:lang w:val="en-US"/>
        </w:rPr>
      </w:pPr>
      <w:r w:rsidRPr="00E14D8C">
        <w:rPr>
          <w:lang w:val="en-US"/>
        </w:rPr>
        <w:t xml:space="preserve">       Against this backdrop</w:t>
      </w:r>
      <w:r w:rsidR="00566DA6" w:rsidRPr="00E14D8C">
        <w:rPr>
          <w:lang w:val="en-US"/>
        </w:rPr>
        <w:t xml:space="preserve">, </w:t>
      </w:r>
      <w:r w:rsidR="001C7DED" w:rsidRPr="00E14D8C">
        <w:rPr>
          <w:lang w:val="en-US"/>
        </w:rPr>
        <w:t>the paper</w:t>
      </w:r>
      <w:r w:rsidR="00566DA6" w:rsidRPr="00E14D8C">
        <w:rPr>
          <w:lang w:val="en-US"/>
        </w:rPr>
        <w:t xml:space="preserve"> examine</w:t>
      </w:r>
      <w:r w:rsidR="001C7DED" w:rsidRPr="00E14D8C">
        <w:rPr>
          <w:lang w:val="en-US"/>
        </w:rPr>
        <w:t>s</w:t>
      </w:r>
      <w:r w:rsidR="00566DA6" w:rsidRPr="00E14D8C">
        <w:rPr>
          <w:lang w:val="en-US"/>
        </w:rPr>
        <w:t xml:space="preserve"> the </w:t>
      </w:r>
      <w:r w:rsidRPr="00E14D8C">
        <w:rPr>
          <w:lang w:val="en-US"/>
        </w:rPr>
        <w:t xml:space="preserve">extent to which the current </w:t>
      </w:r>
      <w:r w:rsidR="00AB79DF" w:rsidRPr="00E14D8C">
        <w:rPr>
          <w:lang w:val="en-US"/>
        </w:rPr>
        <w:t>liability laws in India</w:t>
      </w:r>
      <w:r w:rsidRPr="00E14D8C">
        <w:rPr>
          <w:lang w:val="en-US"/>
        </w:rPr>
        <w:t xml:space="preserve"> </w:t>
      </w:r>
      <w:r w:rsidR="001C7DED" w:rsidRPr="00E14D8C">
        <w:rPr>
          <w:lang w:val="en-US"/>
        </w:rPr>
        <w:t>have been detrimental</w:t>
      </w:r>
      <w:r w:rsidRPr="00E14D8C">
        <w:rPr>
          <w:lang w:val="en-US"/>
        </w:rPr>
        <w:t xml:space="preserve"> in facilitating the introduction of </w:t>
      </w:r>
      <w:r w:rsidR="000C3357">
        <w:rPr>
          <w:lang w:val="en-US"/>
        </w:rPr>
        <w:t>self-driving</w:t>
      </w:r>
      <w:r w:rsidR="00810AF3" w:rsidRPr="00E14D8C">
        <w:rPr>
          <w:lang w:val="en-US"/>
        </w:rPr>
        <w:t xml:space="preserve"> cars</w:t>
      </w:r>
      <w:r w:rsidR="00566DA6" w:rsidRPr="00E14D8C">
        <w:rPr>
          <w:lang w:val="en-US"/>
        </w:rPr>
        <w:t>.</w:t>
      </w:r>
      <w:r w:rsidR="0053669E" w:rsidRPr="00E14D8C">
        <w:rPr>
          <w:lang w:val="en-US"/>
        </w:rPr>
        <w:t xml:space="preserve"> </w:t>
      </w:r>
      <w:r w:rsidR="00810AF3" w:rsidRPr="00E14D8C">
        <w:rPr>
          <w:lang w:val="en-US"/>
        </w:rPr>
        <w:t>The paper is divided into four parts.</w:t>
      </w:r>
      <w:r w:rsidR="0053669E" w:rsidRPr="00E14D8C">
        <w:rPr>
          <w:lang w:val="en-US"/>
        </w:rPr>
        <w:t xml:space="preserve"> </w:t>
      </w:r>
      <w:r w:rsidR="00E16031" w:rsidRPr="00E14D8C">
        <w:rPr>
          <w:lang w:val="en-US"/>
        </w:rPr>
        <w:t xml:space="preserve">Part Two of the paper (Part One being the Introduction) provides an overview of the complexities involved in </w:t>
      </w:r>
      <w:r w:rsidR="0053669E" w:rsidRPr="00E14D8C">
        <w:rPr>
          <w:lang w:val="en-US"/>
        </w:rPr>
        <w:t>adjudicating</w:t>
      </w:r>
      <w:r w:rsidR="00E16031" w:rsidRPr="00E14D8C">
        <w:rPr>
          <w:lang w:val="en-US"/>
        </w:rPr>
        <w:t xml:space="preserve"> such claims</w:t>
      </w:r>
      <w:r w:rsidR="00AB79DF" w:rsidRPr="00E14D8C">
        <w:rPr>
          <w:lang w:val="en-US"/>
        </w:rPr>
        <w:t xml:space="preserve"> -</w:t>
      </w:r>
      <w:r w:rsidR="00E16031" w:rsidRPr="00E14D8C">
        <w:rPr>
          <w:lang w:val="en-US"/>
        </w:rPr>
        <w:t xml:space="preserve"> particularly when they involve a foreign element</w:t>
      </w:r>
      <w:r w:rsidR="001356B9" w:rsidRPr="00E14D8C">
        <w:rPr>
          <w:lang w:val="en-US"/>
        </w:rPr>
        <w:t>.</w:t>
      </w:r>
      <w:r w:rsidR="0053669E" w:rsidRPr="00E14D8C">
        <w:rPr>
          <w:lang w:val="en-US"/>
        </w:rPr>
        <w:t xml:space="preserve"> </w:t>
      </w:r>
      <w:r w:rsidR="001356B9" w:rsidRPr="00E14D8C">
        <w:rPr>
          <w:lang w:val="en-US"/>
        </w:rPr>
        <w:t xml:space="preserve">In doing so, this part demonstrates the role </w:t>
      </w:r>
      <w:r w:rsidR="0053669E" w:rsidRPr="00E14D8C">
        <w:rPr>
          <w:lang w:val="en-US"/>
        </w:rPr>
        <w:t>of</w:t>
      </w:r>
      <w:r w:rsidR="001C7DED" w:rsidRPr="00E14D8C">
        <w:rPr>
          <w:lang w:val="en-US"/>
        </w:rPr>
        <w:t xml:space="preserve"> </w:t>
      </w:r>
      <w:r w:rsidR="001356B9" w:rsidRPr="00E14D8C">
        <w:rPr>
          <w:lang w:val="en-US"/>
        </w:rPr>
        <w:t xml:space="preserve">conflict of laws in </w:t>
      </w:r>
      <w:r w:rsidR="0053669E" w:rsidRPr="00E14D8C">
        <w:rPr>
          <w:lang w:val="en-US"/>
        </w:rPr>
        <w:t>determining</w:t>
      </w:r>
      <w:r w:rsidR="001356B9" w:rsidRPr="00E14D8C">
        <w:rPr>
          <w:lang w:val="en-US"/>
        </w:rPr>
        <w:t xml:space="preserve"> liabilities for injuries sustained by the operation of such </w:t>
      </w:r>
      <w:r w:rsidR="001C7DED" w:rsidRPr="00E14D8C">
        <w:rPr>
          <w:lang w:val="en-US"/>
        </w:rPr>
        <w:t>vehicles</w:t>
      </w:r>
      <w:r w:rsidR="00E16031" w:rsidRPr="00E14D8C">
        <w:rPr>
          <w:lang w:val="en-US"/>
        </w:rPr>
        <w:t xml:space="preserve"> and how </w:t>
      </w:r>
      <w:r w:rsidR="001C7DED" w:rsidRPr="00E14D8C">
        <w:rPr>
          <w:lang w:val="en-US"/>
        </w:rPr>
        <w:t xml:space="preserve">some </w:t>
      </w:r>
      <w:r w:rsidR="00E16031" w:rsidRPr="00E14D8C">
        <w:rPr>
          <w:lang w:val="en-US"/>
        </w:rPr>
        <w:t>major legal systems across the globe</w:t>
      </w:r>
      <w:r w:rsidR="001C7DED" w:rsidRPr="00E14D8C">
        <w:rPr>
          <w:lang w:val="en-US"/>
        </w:rPr>
        <w:t xml:space="preserve"> have addressed these challenges</w:t>
      </w:r>
      <w:r w:rsidR="00E16031" w:rsidRPr="00E14D8C">
        <w:rPr>
          <w:lang w:val="en-US"/>
        </w:rPr>
        <w:t>.</w:t>
      </w:r>
      <w:r w:rsidR="0053669E" w:rsidRPr="00E14D8C">
        <w:rPr>
          <w:lang w:val="en-US"/>
        </w:rPr>
        <w:t xml:space="preserve"> </w:t>
      </w:r>
      <w:r w:rsidR="00E16031" w:rsidRPr="00E14D8C">
        <w:rPr>
          <w:lang w:val="en-US"/>
        </w:rPr>
        <w:t>Part Three</w:t>
      </w:r>
      <w:r w:rsidR="001B1420" w:rsidRPr="00E14D8C">
        <w:rPr>
          <w:lang w:val="en-US"/>
        </w:rPr>
        <w:t xml:space="preserve"> </w:t>
      </w:r>
      <w:r w:rsidR="00617C29" w:rsidRPr="00E14D8C">
        <w:rPr>
          <w:lang w:val="en-US"/>
        </w:rPr>
        <w:t xml:space="preserve">critically </w:t>
      </w:r>
      <w:r w:rsidR="009F470B" w:rsidRPr="00E14D8C">
        <w:rPr>
          <w:lang w:val="en-US"/>
        </w:rPr>
        <w:t>evaluates</w:t>
      </w:r>
      <w:r w:rsidR="00E16031" w:rsidRPr="00E14D8C">
        <w:rPr>
          <w:lang w:val="en-US"/>
        </w:rPr>
        <w:t xml:space="preserve"> </w:t>
      </w:r>
      <w:r w:rsidR="001356B9" w:rsidRPr="00E14D8C">
        <w:rPr>
          <w:lang w:val="en-US"/>
        </w:rPr>
        <w:t xml:space="preserve">the </w:t>
      </w:r>
      <w:r w:rsidR="00EA2C4D" w:rsidRPr="00E14D8C">
        <w:rPr>
          <w:lang w:val="en-US"/>
        </w:rPr>
        <w:t xml:space="preserve">general </w:t>
      </w:r>
      <w:r w:rsidR="001356B9" w:rsidRPr="00E14D8C">
        <w:rPr>
          <w:lang w:val="en-US"/>
        </w:rPr>
        <w:t xml:space="preserve">principles of Indian law </w:t>
      </w:r>
      <w:r w:rsidR="001356B9" w:rsidRPr="00E14D8C">
        <w:rPr>
          <w:i/>
          <w:lang w:val="en-US"/>
        </w:rPr>
        <w:t>vis-à-vis</w:t>
      </w:r>
      <w:r w:rsidR="001356B9" w:rsidRPr="00E14D8C">
        <w:rPr>
          <w:lang w:val="en-US"/>
        </w:rPr>
        <w:t xml:space="preserve"> </w:t>
      </w:r>
      <w:r w:rsidR="00E16031" w:rsidRPr="00E14D8C">
        <w:rPr>
          <w:lang w:val="en-US"/>
        </w:rPr>
        <w:t xml:space="preserve">the </w:t>
      </w:r>
      <w:r w:rsidR="001B1420" w:rsidRPr="00E14D8C">
        <w:rPr>
          <w:lang w:val="en-US"/>
        </w:rPr>
        <w:t xml:space="preserve">determination of liability for damage caused </w:t>
      </w:r>
      <w:r w:rsidR="0053669E" w:rsidRPr="00E14D8C">
        <w:rPr>
          <w:lang w:val="en-US"/>
        </w:rPr>
        <w:t>by</w:t>
      </w:r>
      <w:r w:rsidR="001B1420" w:rsidRPr="00E14D8C">
        <w:rPr>
          <w:lang w:val="en-US"/>
        </w:rPr>
        <w:t xml:space="preserve"> motor vehicles</w:t>
      </w:r>
      <w:r w:rsidR="00EA2C4D" w:rsidRPr="00E14D8C">
        <w:rPr>
          <w:lang w:val="en-US"/>
        </w:rPr>
        <w:t xml:space="preserve"> and assesses the </w:t>
      </w:r>
      <w:r w:rsidR="00EA2C4D" w:rsidRPr="00E14D8C">
        <w:rPr>
          <w:lang w:val="en-US"/>
        </w:rPr>
        <w:t xml:space="preserve">predicaments that are likely to arise if </w:t>
      </w:r>
      <w:r w:rsidR="0041674D" w:rsidRPr="00E14D8C">
        <w:rPr>
          <w:lang w:val="en-US"/>
        </w:rPr>
        <w:t xml:space="preserve">these are </w:t>
      </w:r>
      <w:r w:rsidR="00EA2C4D" w:rsidRPr="00E14D8C">
        <w:rPr>
          <w:lang w:val="en-US"/>
        </w:rPr>
        <w:t xml:space="preserve">extended to </w:t>
      </w:r>
      <w:r w:rsidR="00EA2C4D" w:rsidRPr="00E14D8C">
        <w:rPr>
          <w:lang w:val="en-US"/>
        </w:rPr>
        <w:t xml:space="preserve">disputes </w:t>
      </w:r>
      <w:r w:rsidR="00EA2C4D" w:rsidRPr="00E14D8C">
        <w:rPr>
          <w:lang w:val="en-US"/>
        </w:rPr>
        <w:t xml:space="preserve">involving </w:t>
      </w:r>
      <w:r w:rsidR="000C3357">
        <w:rPr>
          <w:lang w:val="en-US"/>
        </w:rPr>
        <w:t>self-driving</w:t>
      </w:r>
      <w:r w:rsidR="00EA2C4D" w:rsidRPr="00E14D8C">
        <w:rPr>
          <w:lang w:val="en-US"/>
        </w:rPr>
        <w:t xml:space="preserve"> cars</w:t>
      </w:r>
      <w:r w:rsidR="00810AF3" w:rsidRPr="00E14D8C">
        <w:rPr>
          <w:lang w:val="en-US"/>
        </w:rPr>
        <w:t>.</w:t>
      </w:r>
      <w:r w:rsidR="0053669E" w:rsidRPr="00E14D8C">
        <w:rPr>
          <w:lang w:val="en-US"/>
        </w:rPr>
        <w:t xml:space="preserve"> </w:t>
      </w:r>
      <w:r w:rsidR="001C7DED" w:rsidRPr="00E14D8C">
        <w:rPr>
          <w:lang w:val="en-US"/>
        </w:rPr>
        <w:t>Accordingly, this part</w:t>
      </w:r>
      <w:r w:rsidR="001356B9" w:rsidRPr="00E14D8C">
        <w:rPr>
          <w:lang w:val="en-US"/>
        </w:rPr>
        <w:t xml:space="preserve"> </w:t>
      </w:r>
      <w:r w:rsidR="009F470B" w:rsidRPr="00E14D8C">
        <w:rPr>
          <w:lang w:val="en-US"/>
        </w:rPr>
        <w:t>examines</w:t>
      </w:r>
      <w:r w:rsidR="001356B9" w:rsidRPr="00E14D8C">
        <w:rPr>
          <w:lang w:val="en-US"/>
        </w:rPr>
        <w:t xml:space="preserve"> the </w:t>
      </w:r>
      <w:r w:rsidR="009F470B" w:rsidRPr="00E14D8C">
        <w:rPr>
          <w:lang w:val="en-US"/>
        </w:rPr>
        <w:lastRenderedPageBreak/>
        <w:t>circumstances in which courts in India may adjudicate claims in such matters in the first place</w:t>
      </w:r>
      <w:r w:rsidR="001356B9" w:rsidRPr="00E14D8C">
        <w:rPr>
          <w:lang w:val="en-US"/>
        </w:rPr>
        <w:t xml:space="preserve"> </w:t>
      </w:r>
      <w:r w:rsidR="009F470B" w:rsidRPr="00E14D8C">
        <w:rPr>
          <w:lang w:val="en-US"/>
        </w:rPr>
        <w:t xml:space="preserve">and the rules </w:t>
      </w:r>
      <w:r w:rsidR="0098783B" w:rsidRPr="00E14D8C">
        <w:rPr>
          <w:lang w:val="en-US"/>
        </w:rPr>
        <w:t>that would be applicable to</w:t>
      </w:r>
      <w:r w:rsidR="00197361" w:rsidRPr="00E14D8C">
        <w:rPr>
          <w:lang w:val="en-US"/>
        </w:rPr>
        <w:t xml:space="preserve"> determine</w:t>
      </w:r>
      <w:r w:rsidR="001356B9" w:rsidRPr="00E14D8C">
        <w:rPr>
          <w:lang w:val="en-US"/>
        </w:rPr>
        <w:t xml:space="preserve"> the rights and liabilities of the parties</w:t>
      </w:r>
      <w:r w:rsidR="0098783B" w:rsidRPr="00E14D8C">
        <w:rPr>
          <w:lang w:val="en-US"/>
        </w:rPr>
        <w:t xml:space="preserve"> in domestic and transnational matters</w:t>
      </w:r>
      <w:r w:rsidR="001356B9" w:rsidRPr="00E14D8C">
        <w:rPr>
          <w:lang w:val="en-US"/>
        </w:rPr>
        <w:t>.</w:t>
      </w:r>
      <w:r w:rsidR="0053669E" w:rsidRPr="00E14D8C">
        <w:rPr>
          <w:lang w:val="en-US"/>
        </w:rPr>
        <w:t xml:space="preserve"> </w:t>
      </w:r>
      <w:r w:rsidR="001D3A6D" w:rsidRPr="00E14D8C">
        <w:rPr>
          <w:lang w:val="en-US"/>
        </w:rPr>
        <w:t xml:space="preserve">Part </w:t>
      </w:r>
      <w:r w:rsidR="00810AF3" w:rsidRPr="00E14D8C">
        <w:rPr>
          <w:lang w:val="en-US"/>
        </w:rPr>
        <w:t>Four</w:t>
      </w:r>
      <w:r w:rsidR="001D3A6D" w:rsidRPr="00E14D8C">
        <w:rPr>
          <w:lang w:val="en-US"/>
        </w:rPr>
        <w:t xml:space="preserve"> provides the concluding remarks</w:t>
      </w:r>
      <w:r w:rsidR="00AB79DF" w:rsidRPr="00E14D8C">
        <w:rPr>
          <w:lang w:val="en-US"/>
        </w:rPr>
        <w:t xml:space="preserve"> </w:t>
      </w:r>
      <w:r w:rsidR="00810AF3" w:rsidRPr="00E14D8C">
        <w:rPr>
          <w:lang w:val="en-US"/>
        </w:rPr>
        <w:t xml:space="preserve">and </w:t>
      </w:r>
      <w:r w:rsidR="00AB79DF" w:rsidRPr="00E14D8C">
        <w:rPr>
          <w:lang w:val="en-US"/>
        </w:rPr>
        <w:t xml:space="preserve">identifies </w:t>
      </w:r>
      <w:r w:rsidR="005A388F" w:rsidRPr="00E14D8C">
        <w:rPr>
          <w:lang w:val="en-US"/>
        </w:rPr>
        <w:t>the need for special principles to determine the liability in disputes involving driverless cars in India.</w:t>
      </w:r>
      <w:r w:rsidR="0053669E" w:rsidRPr="00E14D8C">
        <w:rPr>
          <w:lang w:val="en-US"/>
        </w:rPr>
        <w:t xml:space="preserve"> </w:t>
      </w:r>
      <w:r w:rsidR="005A388F" w:rsidRPr="00E14D8C">
        <w:rPr>
          <w:lang w:val="en-US"/>
        </w:rPr>
        <w:t xml:space="preserve">Accordingly, it devises </w:t>
      </w:r>
      <w:r w:rsidR="00AB79DF" w:rsidRPr="00E14D8C">
        <w:rPr>
          <w:lang w:val="en-US"/>
        </w:rPr>
        <w:t xml:space="preserve">some workable solutions </w:t>
      </w:r>
      <w:r w:rsidR="005A388F" w:rsidRPr="00E14D8C">
        <w:rPr>
          <w:lang w:val="en-US"/>
        </w:rPr>
        <w:t>that</w:t>
      </w:r>
      <w:r w:rsidR="00AB79DF" w:rsidRPr="00E14D8C">
        <w:rPr>
          <w:lang w:val="en-US"/>
        </w:rPr>
        <w:t xml:space="preserve"> Indian lawmakers </w:t>
      </w:r>
      <w:r w:rsidR="005A388F" w:rsidRPr="00E14D8C">
        <w:rPr>
          <w:lang w:val="en-US"/>
        </w:rPr>
        <w:t xml:space="preserve">may consider </w:t>
      </w:r>
      <w:r w:rsidR="00B10020" w:rsidRPr="00E14D8C">
        <w:rPr>
          <w:lang w:val="en-US"/>
        </w:rPr>
        <w:t>adopting if</w:t>
      </w:r>
      <w:r w:rsidR="005A388F" w:rsidRPr="00E14D8C">
        <w:rPr>
          <w:lang w:val="en-US"/>
        </w:rPr>
        <w:t xml:space="preserve"> the ban on </w:t>
      </w:r>
      <w:r w:rsidR="000C3357">
        <w:rPr>
          <w:lang w:val="en-US"/>
        </w:rPr>
        <w:t xml:space="preserve">such </w:t>
      </w:r>
      <w:r w:rsidR="005A388F" w:rsidRPr="00E14D8C">
        <w:rPr>
          <w:lang w:val="en-US"/>
        </w:rPr>
        <w:t>car</w:t>
      </w:r>
      <w:r w:rsidR="0053669E" w:rsidRPr="00E14D8C">
        <w:rPr>
          <w:lang w:val="en-US"/>
        </w:rPr>
        <w:t>s</w:t>
      </w:r>
      <w:r w:rsidR="005A388F" w:rsidRPr="00E14D8C">
        <w:rPr>
          <w:lang w:val="en-US"/>
        </w:rPr>
        <w:t xml:space="preserve"> </w:t>
      </w:r>
      <w:r w:rsidR="00B10020" w:rsidRPr="00E14D8C">
        <w:rPr>
          <w:lang w:val="en-US"/>
        </w:rPr>
        <w:t>i</w:t>
      </w:r>
      <w:r w:rsidR="00E4215F" w:rsidRPr="00E14D8C">
        <w:rPr>
          <w:lang w:val="en-US"/>
        </w:rPr>
        <w:t>s</w:t>
      </w:r>
      <w:r w:rsidR="005A388F" w:rsidRPr="00E14D8C">
        <w:rPr>
          <w:lang w:val="en-US"/>
        </w:rPr>
        <w:t xml:space="preserve"> eventually lifted</w:t>
      </w:r>
      <w:r w:rsidR="001D3A6D" w:rsidRPr="00E14D8C">
        <w:rPr>
          <w:lang w:val="en-US"/>
        </w:rPr>
        <w:t xml:space="preserve">. </w:t>
      </w:r>
    </w:p>
    <w:p w14:paraId="0AD93BB2" w14:textId="4AD3DD73" w:rsidR="002F0F26" w:rsidRPr="00E14D8C" w:rsidRDefault="002F0F26" w:rsidP="00A34E89">
      <w:pPr>
        <w:spacing w:line="360" w:lineRule="auto"/>
        <w:jc w:val="both"/>
        <w:rPr>
          <w:lang w:val="en-US"/>
        </w:rPr>
      </w:pPr>
    </w:p>
    <w:p w14:paraId="7F0B7239" w14:textId="4E09907A" w:rsidR="00A064EC" w:rsidRPr="00E14D8C" w:rsidRDefault="00B25AF2" w:rsidP="003B0A61">
      <w:pPr>
        <w:spacing w:line="360" w:lineRule="auto"/>
        <w:jc w:val="both"/>
        <w:rPr>
          <w:b/>
          <w:lang w:val="en-US"/>
        </w:rPr>
      </w:pPr>
      <w:r w:rsidRPr="00E14D8C">
        <w:rPr>
          <w:b/>
          <w:lang w:val="en-US"/>
        </w:rPr>
        <w:t xml:space="preserve">2. </w:t>
      </w:r>
      <w:r w:rsidR="001F5599" w:rsidRPr="00E14D8C">
        <w:rPr>
          <w:b/>
          <w:lang w:val="en-US"/>
        </w:rPr>
        <w:t xml:space="preserve">   </w:t>
      </w:r>
      <w:r w:rsidR="001D3A6D" w:rsidRPr="00E14D8C">
        <w:rPr>
          <w:b/>
          <w:lang w:val="en-US"/>
        </w:rPr>
        <w:t>The Adjudication of Claims Arising from the Operation of Autonomous Cars and the Determination of Liability for Injuries</w:t>
      </w:r>
    </w:p>
    <w:p w14:paraId="32CA30D7" w14:textId="77777777" w:rsidR="003B0A61" w:rsidRPr="00E14D8C" w:rsidRDefault="003B0A61" w:rsidP="003B0A61">
      <w:pPr>
        <w:spacing w:line="360" w:lineRule="auto"/>
        <w:jc w:val="both"/>
        <w:rPr>
          <w:lang w:val="en-US"/>
        </w:rPr>
      </w:pPr>
    </w:p>
    <w:p w14:paraId="4E268760" w14:textId="59800D1F" w:rsidR="003335FA" w:rsidRPr="00E14D8C" w:rsidRDefault="00B25AF2" w:rsidP="003B0A61">
      <w:pPr>
        <w:spacing w:line="360" w:lineRule="auto"/>
        <w:jc w:val="both"/>
        <w:rPr>
          <w:b/>
          <w:lang w:val="en-US"/>
        </w:rPr>
      </w:pPr>
      <w:r w:rsidRPr="00E14D8C">
        <w:rPr>
          <w:b/>
          <w:lang w:val="en-US"/>
        </w:rPr>
        <w:t xml:space="preserve">2.1 </w:t>
      </w:r>
      <w:r w:rsidR="001F5599" w:rsidRPr="00E14D8C">
        <w:rPr>
          <w:b/>
          <w:lang w:val="en-US"/>
        </w:rPr>
        <w:t xml:space="preserve">  </w:t>
      </w:r>
      <w:r w:rsidR="00664644" w:rsidRPr="00E14D8C">
        <w:rPr>
          <w:b/>
          <w:lang w:val="en-US"/>
        </w:rPr>
        <w:t>Issues Involved and Challenges Faced</w:t>
      </w:r>
    </w:p>
    <w:p w14:paraId="5757F81C" w14:textId="1849A367" w:rsidR="00F05DFA" w:rsidRPr="00E14D8C" w:rsidRDefault="001C7DED" w:rsidP="00A34E89">
      <w:pPr>
        <w:spacing w:line="360" w:lineRule="auto"/>
        <w:jc w:val="both"/>
        <w:rPr>
          <w:lang w:val="en-US"/>
        </w:rPr>
      </w:pPr>
      <w:r w:rsidRPr="00E14D8C">
        <w:rPr>
          <w:lang w:val="en-US"/>
        </w:rPr>
        <w:t>As indicated previously</w:t>
      </w:r>
      <w:r w:rsidR="00B10E5C" w:rsidRPr="00E14D8C">
        <w:rPr>
          <w:lang w:val="en-US"/>
        </w:rPr>
        <w:t xml:space="preserve">, the rules on which disputes involving </w:t>
      </w:r>
      <w:r w:rsidR="000C3357">
        <w:rPr>
          <w:lang w:val="en-US"/>
        </w:rPr>
        <w:t>self-driving</w:t>
      </w:r>
      <w:r w:rsidR="000C3357" w:rsidRPr="00E14D8C">
        <w:rPr>
          <w:lang w:val="en-US"/>
        </w:rPr>
        <w:t xml:space="preserve"> </w:t>
      </w:r>
      <w:r w:rsidR="00B10E5C" w:rsidRPr="00E14D8C">
        <w:rPr>
          <w:lang w:val="en-US"/>
        </w:rPr>
        <w:t xml:space="preserve">cars may be adjudicated have not been </w:t>
      </w:r>
      <w:r w:rsidR="00F03653">
        <w:rPr>
          <w:lang w:val="en-US"/>
        </w:rPr>
        <w:t>harmonized</w:t>
      </w:r>
      <w:r w:rsidR="005C779D" w:rsidRPr="00E14D8C">
        <w:rPr>
          <w:lang w:val="en-US"/>
        </w:rPr>
        <w:t>.</w:t>
      </w:r>
      <w:r w:rsidR="0053669E" w:rsidRPr="00E14D8C">
        <w:rPr>
          <w:lang w:val="en-US"/>
        </w:rPr>
        <w:t xml:space="preserve"> </w:t>
      </w:r>
      <w:r w:rsidR="00F05DFA" w:rsidRPr="00E14D8C">
        <w:rPr>
          <w:lang w:val="en-US"/>
        </w:rPr>
        <w:t xml:space="preserve">Apart from the fact that such vehicles are a relatively new facet </w:t>
      </w:r>
      <w:r w:rsidR="0053669E" w:rsidRPr="00E14D8C">
        <w:rPr>
          <w:lang w:val="en-US"/>
        </w:rPr>
        <w:t>of</w:t>
      </w:r>
      <w:r w:rsidR="00F05DFA" w:rsidRPr="00E14D8C">
        <w:rPr>
          <w:lang w:val="en-US"/>
        </w:rPr>
        <w:t xml:space="preserve"> public life, the complex nature of such disputes may </w:t>
      </w:r>
      <w:r w:rsidR="00B75FC3" w:rsidRPr="00E14D8C">
        <w:rPr>
          <w:lang w:val="en-US"/>
        </w:rPr>
        <w:t>have compelled such</w:t>
      </w:r>
      <w:r w:rsidR="00F05DFA" w:rsidRPr="00E14D8C">
        <w:rPr>
          <w:lang w:val="en-US"/>
        </w:rPr>
        <w:t xml:space="preserve"> claims </w:t>
      </w:r>
      <w:r w:rsidR="00B75FC3" w:rsidRPr="00E14D8C">
        <w:rPr>
          <w:lang w:val="en-US"/>
        </w:rPr>
        <w:t>to be regulated in</w:t>
      </w:r>
      <w:r w:rsidR="00F05DFA" w:rsidRPr="00E14D8C">
        <w:rPr>
          <w:lang w:val="en-US"/>
        </w:rPr>
        <w:t xml:space="preserve"> a piecemeal manner.</w:t>
      </w:r>
      <w:r w:rsidR="0053669E" w:rsidRPr="00E14D8C">
        <w:rPr>
          <w:lang w:val="en-US"/>
        </w:rPr>
        <w:t xml:space="preserve"> </w:t>
      </w:r>
      <w:r w:rsidR="00F256BC" w:rsidRPr="00E14D8C">
        <w:rPr>
          <w:lang w:val="en-US"/>
        </w:rPr>
        <w:t>M</w:t>
      </w:r>
      <w:r w:rsidR="00F8610A" w:rsidRPr="00E14D8C">
        <w:rPr>
          <w:lang w:val="en-US"/>
        </w:rPr>
        <w:t xml:space="preserve">ost legal systems are likely to hold the owners of such vehicles primarily responsible </w:t>
      </w:r>
      <w:r w:rsidR="00F256BC" w:rsidRPr="00E14D8C">
        <w:rPr>
          <w:lang w:val="en-US"/>
        </w:rPr>
        <w:t xml:space="preserve">in the interest of </w:t>
      </w:r>
      <w:r w:rsidR="0053669E" w:rsidRPr="00E14D8C">
        <w:rPr>
          <w:lang w:val="en-US"/>
        </w:rPr>
        <w:t xml:space="preserve">a </w:t>
      </w:r>
      <w:r w:rsidR="00F256BC" w:rsidRPr="00E14D8C">
        <w:rPr>
          <w:lang w:val="en-US"/>
        </w:rPr>
        <w:t>speedier dispensation of justice to the victims.</w:t>
      </w:r>
      <w:r w:rsidR="0053669E" w:rsidRPr="00E14D8C">
        <w:rPr>
          <w:lang w:val="en-US"/>
        </w:rPr>
        <w:t xml:space="preserve"> </w:t>
      </w:r>
      <w:r w:rsidR="00F256BC" w:rsidRPr="00E14D8C">
        <w:rPr>
          <w:lang w:val="en-US"/>
        </w:rPr>
        <w:t>Owners may then be</w:t>
      </w:r>
      <w:r w:rsidR="00F8610A" w:rsidRPr="00E14D8C">
        <w:rPr>
          <w:lang w:val="en-US"/>
        </w:rPr>
        <w:t xml:space="preserve"> required to sue </w:t>
      </w:r>
      <w:r w:rsidR="00F256BC" w:rsidRPr="00E14D8C">
        <w:rPr>
          <w:lang w:val="en-US"/>
        </w:rPr>
        <w:t>the manufacturer in separate legal proceedings upon demonstrating that the damage was</w:t>
      </w:r>
      <w:r w:rsidR="004E49A2" w:rsidRPr="00E14D8C">
        <w:rPr>
          <w:lang w:val="en-US"/>
        </w:rPr>
        <w:t xml:space="preserve"> attributable to </w:t>
      </w:r>
      <w:r w:rsidR="0053669E" w:rsidRPr="00E14D8C">
        <w:rPr>
          <w:lang w:val="en-US"/>
        </w:rPr>
        <w:t>inevitable</w:t>
      </w:r>
      <w:r w:rsidR="00F05DFA" w:rsidRPr="00E14D8C">
        <w:rPr>
          <w:lang w:val="en-US"/>
        </w:rPr>
        <w:t xml:space="preserve"> </w:t>
      </w:r>
      <w:r w:rsidR="004E49A2" w:rsidRPr="00E14D8C">
        <w:rPr>
          <w:lang w:val="en-US"/>
        </w:rPr>
        <w:t xml:space="preserve">technical failures in the ADS </w:t>
      </w:r>
      <w:r w:rsidR="00F256BC" w:rsidRPr="00E14D8C">
        <w:rPr>
          <w:lang w:val="en-US"/>
        </w:rPr>
        <w:t>that caused</w:t>
      </w:r>
      <w:r w:rsidR="004E49A2" w:rsidRPr="00E14D8C">
        <w:rPr>
          <w:lang w:val="en-US"/>
        </w:rPr>
        <w:t xml:space="preserve"> the software, hardware or the infrastructure of the vehicle</w:t>
      </w:r>
      <w:r w:rsidR="00F05DFA" w:rsidRPr="00E14D8C">
        <w:rPr>
          <w:lang w:val="en-US"/>
        </w:rPr>
        <w:t xml:space="preserve"> to malfunction</w:t>
      </w:r>
      <w:r w:rsidR="004E49A2" w:rsidRPr="00E14D8C">
        <w:rPr>
          <w:lang w:val="en-US"/>
        </w:rPr>
        <w:t>.</w:t>
      </w:r>
      <w:r w:rsidR="00242E8D" w:rsidRPr="00E14D8C">
        <w:rPr>
          <w:rStyle w:val="FootnoteReference"/>
          <w:lang w:val="en-US"/>
        </w:rPr>
        <w:footnoteReference w:id="32"/>
      </w:r>
      <w:r w:rsidR="004E49A2" w:rsidRPr="00E14D8C">
        <w:rPr>
          <w:lang w:val="en-US"/>
        </w:rPr>
        <w:t xml:space="preserve"> </w:t>
      </w:r>
      <w:r w:rsidR="00BA695B" w:rsidRPr="00E14D8C">
        <w:rPr>
          <w:lang w:val="en-US"/>
        </w:rPr>
        <w:t>Claims against manufacturers are additionally</w:t>
      </w:r>
      <w:r w:rsidR="00890504" w:rsidRPr="00E14D8C">
        <w:rPr>
          <w:lang w:val="en-US"/>
        </w:rPr>
        <w:t xml:space="preserve"> likely to</w:t>
      </w:r>
      <w:r w:rsidR="00334273" w:rsidRPr="00E14D8C">
        <w:rPr>
          <w:lang w:val="en-US"/>
        </w:rPr>
        <w:t xml:space="preserve"> </w:t>
      </w:r>
      <w:r w:rsidR="00810AF3" w:rsidRPr="00E14D8C">
        <w:rPr>
          <w:lang w:val="en-US"/>
        </w:rPr>
        <w:t>comprise</w:t>
      </w:r>
      <w:r w:rsidR="00334273" w:rsidRPr="00E14D8C">
        <w:rPr>
          <w:lang w:val="en-US"/>
        </w:rPr>
        <w:t xml:space="preserve"> </w:t>
      </w:r>
      <w:r w:rsidR="00890504" w:rsidRPr="00E14D8C">
        <w:rPr>
          <w:lang w:val="en-US"/>
        </w:rPr>
        <w:t>a plethora of</w:t>
      </w:r>
      <w:r w:rsidR="00334273" w:rsidRPr="00E14D8C">
        <w:rPr>
          <w:lang w:val="en-US"/>
        </w:rPr>
        <w:t xml:space="preserve"> nuances</w:t>
      </w:r>
      <w:r w:rsidR="0053669E" w:rsidRPr="00E14D8C">
        <w:rPr>
          <w:lang w:val="en-US"/>
        </w:rPr>
        <w:t>,</w:t>
      </w:r>
      <w:r w:rsidR="004E49A2" w:rsidRPr="00E14D8C">
        <w:rPr>
          <w:lang w:val="en-US"/>
        </w:rPr>
        <w:t xml:space="preserve"> </w:t>
      </w:r>
      <w:r w:rsidR="00810AF3" w:rsidRPr="00E14D8C">
        <w:rPr>
          <w:lang w:val="en-US"/>
        </w:rPr>
        <w:t xml:space="preserve">especially </w:t>
      </w:r>
      <w:r w:rsidR="00BA695B" w:rsidRPr="00E14D8C">
        <w:rPr>
          <w:lang w:val="en-US"/>
        </w:rPr>
        <w:t>in situations where they</w:t>
      </w:r>
      <w:r w:rsidR="004E49A2" w:rsidRPr="00E14D8C">
        <w:rPr>
          <w:lang w:val="en-US"/>
        </w:rPr>
        <w:t xml:space="preserve"> involve a foreign element</w:t>
      </w:r>
      <w:r w:rsidR="0053669E" w:rsidRPr="00E14D8C">
        <w:rPr>
          <w:lang w:val="en-US"/>
        </w:rPr>
        <w:t>,</w:t>
      </w:r>
      <w:r w:rsidR="00810AF3" w:rsidRPr="00E14D8C">
        <w:rPr>
          <w:lang w:val="en-US"/>
        </w:rPr>
        <w:t xml:space="preserve"> thus, necessitating the application of the relevant conflict of law rules of the forum</w:t>
      </w:r>
      <w:r w:rsidR="00451212" w:rsidRPr="00E14D8C">
        <w:rPr>
          <w:lang w:val="en-US"/>
        </w:rPr>
        <w:t>.</w:t>
      </w:r>
      <w:r w:rsidR="0053669E" w:rsidRPr="00E14D8C">
        <w:rPr>
          <w:lang w:val="en-US"/>
        </w:rPr>
        <w:t xml:space="preserve"> </w:t>
      </w:r>
      <w:r w:rsidR="00810AF3" w:rsidRPr="00E14D8C">
        <w:rPr>
          <w:lang w:val="en-US"/>
        </w:rPr>
        <w:t>How is the tortfeasor identified</w:t>
      </w:r>
      <w:r w:rsidRPr="00E14D8C">
        <w:rPr>
          <w:lang w:val="en-US"/>
        </w:rPr>
        <w:t>,</w:t>
      </w:r>
      <w:r w:rsidR="00810AF3" w:rsidRPr="00E14D8C">
        <w:rPr>
          <w:lang w:val="en-US"/>
        </w:rPr>
        <w:t xml:space="preserve"> and w</w:t>
      </w:r>
      <w:r w:rsidR="00451212" w:rsidRPr="00E14D8C">
        <w:rPr>
          <w:lang w:val="en-US"/>
        </w:rPr>
        <w:t xml:space="preserve">here </w:t>
      </w:r>
      <w:r w:rsidR="00810AF3" w:rsidRPr="00E14D8C">
        <w:rPr>
          <w:lang w:val="en-US"/>
        </w:rPr>
        <w:t>is the aggrieved party expected to initiate the proceedings against such persons</w:t>
      </w:r>
      <w:r w:rsidR="00451212" w:rsidRPr="00E14D8C">
        <w:rPr>
          <w:lang w:val="en-US"/>
        </w:rPr>
        <w:t>?</w:t>
      </w:r>
      <w:r w:rsidR="0053669E" w:rsidRPr="00E14D8C">
        <w:rPr>
          <w:lang w:val="en-US"/>
        </w:rPr>
        <w:t xml:space="preserve"> </w:t>
      </w:r>
      <w:r w:rsidR="00810AF3" w:rsidRPr="00E14D8C">
        <w:rPr>
          <w:lang w:val="en-US"/>
        </w:rPr>
        <w:t>To what extent will adjudicators be expected to apply foreign law to disputes arising from harm caused by the use of such vehicles</w:t>
      </w:r>
      <w:r w:rsidR="00451212" w:rsidRPr="00E14D8C">
        <w:rPr>
          <w:lang w:val="en-US"/>
        </w:rPr>
        <w:t>?</w:t>
      </w:r>
      <w:r w:rsidR="0053669E" w:rsidRPr="00E14D8C">
        <w:rPr>
          <w:lang w:val="en-US"/>
        </w:rPr>
        <w:t xml:space="preserve"> </w:t>
      </w:r>
      <w:r w:rsidR="00451212" w:rsidRPr="00E14D8C">
        <w:rPr>
          <w:lang w:val="en-US"/>
        </w:rPr>
        <w:t xml:space="preserve">These are some facets whose consideration is indispensable </w:t>
      </w:r>
      <w:r w:rsidR="00EF7335" w:rsidRPr="00E14D8C">
        <w:rPr>
          <w:lang w:val="en-US"/>
        </w:rPr>
        <w:t>to</w:t>
      </w:r>
      <w:r w:rsidR="00451212" w:rsidRPr="00E14D8C">
        <w:rPr>
          <w:lang w:val="en-US"/>
        </w:rPr>
        <w:t xml:space="preserve"> ensure the successful deployment of such (driverless) cars on public roads. </w:t>
      </w:r>
    </w:p>
    <w:p w14:paraId="3F4C7A3F" w14:textId="77777777" w:rsidR="00A064EC" w:rsidRPr="00E14D8C" w:rsidRDefault="00A064EC" w:rsidP="00A34E89">
      <w:pPr>
        <w:spacing w:line="360" w:lineRule="auto"/>
        <w:jc w:val="both"/>
        <w:rPr>
          <w:lang w:val="en-US"/>
        </w:rPr>
      </w:pPr>
    </w:p>
    <w:p w14:paraId="13242D66" w14:textId="5906E327" w:rsidR="00A064EC" w:rsidRPr="00E14D8C" w:rsidRDefault="00B25AF2" w:rsidP="002469C2">
      <w:pPr>
        <w:spacing w:line="360" w:lineRule="auto"/>
        <w:jc w:val="both"/>
        <w:rPr>
          <w:b/>
          <w:lang w:val="en-US"/>
        </w:rPr>
      </w:pPr>
      <w:r w:rsidRPr="00E14D8C">
        <w:rPr>
          <w:b/>
          <w:lang w:val="en-US"/>
        </w:rPr>
        <w:t xml:space="preserve">2.1.1. </w:t>
      </w:r>
      <w:r w:rsidR="001F5599" w:rsidRPr="00E14D8C">
        <w:rPr>
          <w:b/>
          <w:lang w:val="en-US"/>
        </w:rPr>
        <w:t xml:space="preserve">  </w:t>
      </w:r>
      <w:r w:rsidR="00A064EC" w:rsidRPr="00E14D8C">
        <w:rPr>
          <w:b/>
          <w:lang w:val="en-US"/>
        </w:rPr>
        <w:t xml:space="preserve">The Initiation of Claims and the Determination of the </w:t>
      </w:r>
      <w:r w:rsidR="0041674D" w:rsidRPr="00E14D8C">
        <w:rPr>
          <w:b/>
          <w:lang w:val="en-US"/>
        </w:rPr>
        <w:t>Court’s</w:t>
      </w:r>
      <w:r w:rsidR="00A064EC" w:rsidRPr="00E14D8C">
        <w:rPr>
          <w:b/>
          <w:lang w:val="en-US"/>
        </w:rPr>
        <w:t xml:space="preserve"> Jurisdiction</w:t>
      </w:r>
    </w:p>
    <w:p w14:paraId="683CE404" w14:textId="211295C6" w:rsidR="007C2DA7" w:rsidRPr="00E14D8C" w:rsidRDefault="007C2DA7" w:rsidP="00A34E89">
      <w:pPr>
        <w:spacing w:line="360" w:lineRule="auto"/>
        <w:jc w:val="both"/>
        <w:rPr>
          <w:lang w:val="en-US"/>
        </w:rPr>
      </w:pPr>
      <w:r w:rsidRPr="00E14D8C">
        <w:rPr>
          <w:lang w:val="en-US"/>
        </w:rPr>
        <w:t xml:space="preserve">Akin to all other </w:t>
      </w:r>
      <w:r w:rsidR="0053669E" w:rsidRPr="00E14D8C">
        <w:rPr>
          <w:lang w:val="en-US"/>
        </w:rPr>
        <w:t>domestic or transnational disputes</w:t>
      </w:r>
      <w:r w:rsidRPr="00E14D8C">
        <w:rPr>
          <w:lang w:val="en-US"/>
        </w:rPr>
        <w:t xml:space="preserve">, the establishment of the </w:t>
      </w:r>
      <w:r w:rsidR="0041674D" w:rsidRPr="00E14D8C">
        <w:rPr>
          <w:lang w:val="en-US"/>
        </w:rPr>
        <w:t>court’s</w:t>
      </w:r>
      <w:r w:rsidR="0053669E" w:rsidRPr="00E14D8C">
        <w:rPr>
          <w:lang w:val="en-US"/>
        </w:rPr>
        <w:t xml:space="preserve"> jurisdiction</w:t>
      </w:r>
      <w:r w:rsidRPr="00E14D8C">
        <w:rPr>
          <w:lang w:val="en-US"/>
        </w:rPr>
        <w:t xml:space="preserve"> remains at the forefront while adjudicating claims involving self-driving cars.</w:t>
      </w:r>
      <w:r w:rsidR="0053669E" w:rsidRPr="00E14D8C">
        <w:rPr>
          <w:lang w:val="en-US"/>
        </w:rPr>
        <w:t xml:space="preserve"> </w:t>
      </w:r>
      <w:r w:rsidRPr="00E14D8C">
        <w:rPr>
          <w:lang w:val="en-US"/>
        </w:rPr>
        <w:t xml:space="preserve">However, unlike </w:t>
      </w:r>
      <w:r w:rsidR="009F38F0" w:rsidRPr="00E14D8C">
        <w:rPr>
          <w:lang w:val="en-US"/>
        </w:rPr>
        <w:lastRenderedPageBreak/>
        <w:t xml:space="preserve">the principles to ascertain the governing law and </w:t>
      </w:r>
      <w:r w:rsidRPr="00E14D8C">
        <w:rPr>
          <w:lang w:val="en-US"/>
        </w:rPr>
        <w:t xml:space="preserve">the determination of the liability for </w:t>
      </w:r>
      <w:r w:rsidR="009F38F0" w:rsidRPr="00E14D8C">
        <w:rPr>
          <w:lang w:val="en-US"/>
        </w:rPr>
        <w:t xml:space="preserve">harm caused by </w:t>
      </w:r>
      <w:r w:rsidRPr="00E14D8C">
        <w:rPr>
          <w:lang w:val="en-US"/>
        </w:rPr>
        <w:t xml:space="preserve">the use of such vehicles, </w:t>
      </w:r>
      <w:r w:rsidR="009F38F0" w:rsidRPr="00E14D8C">
        <w:rPr>
          <w:lang w:val="en-US"/>
        </w:rPr>
        <w:t>s</w:t>
      </w:r>
      <w:r w:rsidRPr="00E14D8C">
        <w:rPr>
          <w:lang w:val="en-US"/>
        </w:rPr>
        <w:t xml:space="preserve">tate practices on the grounds on which the courts </w:t>
      </w:r>
      <w:r w:rsidR="006B2C09" w:rsidRPr="00E14D8C">
        <w:rPr>
          <w:lang w:val="en-US"/>
        </w:rPr>
        <w:t>situated within its territorial limits</w:t>
      </w:r>
      <w:r w:rsidRPr="00E14D8C">
        <w:rPr>
          <w:lang w:val="en-US"/>
        </w:rPr>
        <w:t xml:space="preserve"> may assume jurisdiction over such matters have more or less been uniform.</w:t>
      </w:r>
      <w:r w:rsidR="0053669E" w:rsidRPr="00E14D8C">
        <w:rPr>
          <w:lang w:val="en-US"/>
        </w:rPr>
        <w:t xml:space="preserve"> </w:t>
      </w:r>
      <w:r w:rsidR="009F38F0" w:rsidRPr="00E14D8C">
        <w:rPr>
          <w:lang w:val="en-US"/>
        </w:rPr>
        <w:t>Accordingly</w:t>
      </w:r>
      <w:r w:rsidR="006B2C09" w:rsidRPr="00E14D8C">
        <w:rPr>
          <w:lang w:val="en-US"/>
        </w:rPr>
        <w:t xml:space="preserve">, courts in </w:t>
      </w:r>
      <w:r w:rsidR="005D0788" w:rsidRPr="00E14D8C">
        <w:rPr>
          <w:lang w:val="en-US"/>
        </w:rPr>
        <w:t>several</w:t>
      </w:r>
      <w:r w:rsidR="006B2C09" w:rsidRPr="00E14D8C">
        <w:rPr>
          <w:lang w:val="en-US"/>
        </w:rPr>
        <w:t xml:space="preserve"> parts of the world have, as a general rule</w:t>
      </w:r>
      <w:r w:rsidR="009F38F0" w:rsidRPr="00E14D8C">
        <w:rPr>
          <w:lang w:val="en-US"/>
        </w:rPr>
        <w:t>,</w:t>
      </w:r>
      <w:r w:rsidR="006B2C09" w:rsidRPr="00E14D8C">
        <w:rPr>
          <w:lang w:val="en-US"/>
        </w:rPr>
        <w:t xml:space="preserve"> been empowered to adjudicate </w:t>
      </w:r>
      <w:r w:rsidR="009F38F0" w:rsidRPr="00E14D8C">
        <w:rPr>
          <w:lang w:val="en-US"/>
        </w:rPr>
        <w:t>such matters</w:t>
      </w:r>
      <w:r w:rsidR="006B2C09" w:rsidRPr="00E14D8C">
        <w:rPr>
          <w:lang w:val="en-US"/>
        </w:rPr>
        <w:t xml:space="preserve"> if </w:t>
      </w:r>
      <w:r w:rsidR="009F38F0" w:rsidRPr="00E14D8C">
        <w:rPr>
          <w:lang w:val="en-US"/>
        </w:rPr>
        <w:t xml:space="preserve">the defendant was residing, domiciled or carrying on business within its territorial limits at the time of the initiation of proceedings or when </w:t>
      </w:r>
      <w:r w:rsidR="006B2C09" w:rsidRPr="00E14D8C">
        <w:rPr>
          <w:lang w:val="en-US"/>
        </w:rPr>
        <w:t xml:space="preserve">the damage occurred </w:t>
      </w:r>
      <w:r w:rsidR="009F38F0" w:rsidRPr="00E14D8C">
        <w:rPr>
          <w:lang w:val="en-US"/>
        </w:rPr>
        <w:t>in its jurisdiction</w:t>
      </w:r>
      <w:r w:rsidR="006B2C09" w:rsidRPr="00E14D8C">
        <w:rPr>
          <w:lang w:val="en-US"/>
        </w:rPr>
        <w:t>.</w:t>
      </w:r>
      <w:r w:rsidR="004124F3" w:rsidRPr="00E14D8C">
        <w:rPr>
          <w:rStyle w:val="FootnoteReference"/>
          <w:lang w:val="en-US"/>
        </w:rPr>
        <w:footnoteReference w:id="33"/>
      </w:r>
      <w:r w:rsidR="006B2C09" w:rsidRPr="00E14D8C">
        <w:rPr>
          <w:lang w:val="en-US"/>
        </w:rPr>
        <w:t xml:space="preserve"> </w:t>
      </w:r>
    </w:p>
    <w:p w14:paraId="729D233F" w14:textId="77777777" w:rsidR="00A064EC" w:rsidRPr="00E14D8C" w:rsidRDefault="008F5EFD" w:rsidP="00A34E89">
      <w:pPr>
        <w:spacing w:line="360" w:lineRule="auto"/>
        <w:jc w:val="both"/>
        <w:rPr>
          <w:lang w:val="en-US"/>
        </w:rPr>
      </w:pPr>
      <w:r w:rsidRPr="00E14D8C">
        <w:rPr>
          <w:lang w:val="en-US"/>
        </w:rPr>
        <w:t xml:space="preserve">       </w:t>
      </w:r>
    </w:p>
    <w:p w14:paraId="0EC5C36F" w14:textId="110C3A59" w:rsidR="00C53541" w:rsidRPr="00E14D8C" w:rsidRDefault="00B25AF2" w:rsidP="002469C2">
      <w:pPr>
        <w:spacing w:line="360" w:lineRule="auto"/>
        <w:jc w:val="both"/>
        <w:rPr>
          <w:b/>
          <w:lang w:val="en-US"/>
        </w:rPr>
      </w:pPr>
      <w:r w:rsidRPr="00E14D8C">
        <w:rPr>
          <w:b/>
          <w:lang w:val="en-US"/>
        </w:rPr>
        <w:t xml:space="preserve">2.1.2. </w:t>
      </w:r>
      <w:r w:rsidR="001F5599" w:rsidRPr="00E14D8C">
        <w:rPr>
          <w:b/>
          <w:lang w:val="en-US"/>
        </w:rPr>
        <w:t xml:space="preserve">  </w:t>
      </w:r>
      <w:r w:rsidR="00C53541" w:rsidRPr="00E14D8C">
        <w:rPr>
          <w:b/>
          <w:lang w:val="en-US"/>
        </w:rPr>
        <w:t>The Determination of Liability</w:t>
      </w:r>
      <w:r w:rsidR="006B1267" w:rsidRPr="00E14D8C">
        <w:rPr>
          <w:b/>
          <w:lang w:val="en-US"/>
        </w:rPr>
        <w:t xml:space="preserve"> for Injuries caused by </w:t>
      </w:r>
      <w:r w:rsidR="00C53541" w:rsidRPr="00E14D8C">
        <w:rPr>
          <w:b/>
          <w:lang w:val="en-US"/>
        </w:rPr>
        <w:t>Self-Driving Cars and t</w:t>
      </w:r>
      <w:r w:rsidR="006F2F7E" w:rsidRPr="00E14D8C">
        <w:rPr>
          <w:b/>
          <w:lang w:val="en-US"/>
        </w:rPr>
        <w:t>he Role of Conflict of Laws</w:t>
      </w:r>
      <w:r w:rsidR="00C53541" w:rsidRPr="00E14D8C">
        <w:rPr>
          <w:b/>
          <w:lang w:val="en-US"/>
        </w:rPr>
        <w:t>: What Law Governs such Disputes?</w:t>
      </w:r>
    </w:p>
    <w:p w14:paraId="1B964AC7" w14:textId="084E434C" w:rsidR="008F5EFD" w:rsidRPr="00E14D8C" w:rsidRDefault="00D24B5E" w:rsidP="00A34E89">
      <w:pPr>
        <w:spacing w:line="360" w:lineRule="auto"/>
        <w:jc w:val="both"/>
        <w:rPr>
          <w:lang w:val="en-US"/>
        </w:rPr>
      </w:pPr>
      <w:r w:rsidRPr="00E14D8C">
        <w:rPr>
          <w:lang w:val="en-US"/>
        </w:rPr>
        <w:t>T</w:t>
      </w:r>
      <w:r w:rsidR="008F5EFD" w:rsidRPr="00E14D8C">
        <w:rPr>
          <w:lang w:val="en-US"/>
        </w:rPr>
        <w:t>he principles on which the governing law in disputes involving self-driving cars would be identified have</w:t>
      </w:r>
      <w:r w:rsidR="001C7DED" w:rsidRPr="00E14D8C">
        <w:rPr>
          <w:lang w:val="en-US"/>
        </w:rPr>
        <w:t xml:space="preserve"> </w:t>
      </w:r>
      <w:r w:rsidR="008F5EFD" w:rsidRPr="00E14D8C">
        <w:rPr>
          <w:lang w:val="en-US"/>
        </w:rPr>
        <w:t xml:space="preserve">not been </w:t>
      </w:r>
      <w:r w:rsidR="001C7DED" w:rsidRPr="00E14D8C">
        <w:rPr>
          <w:lang w:val="en-US"/>
        </w:rPr>
        <w:t>subject</w:t>
      </w:r>
      <w:r w:rsidR="008F5EFD" w:rsidRPr="00E14D8C">
        <w:rPr>
          <w:lang w:val="en-US"/>
        </w:rPr>
        <w:t xml:space="preserve"> to any uniform </w:t>
      </w:r>
      <w:r w:rsidR="0026538A" w:rsidRPr="00E14D8C">
        <w:rPr>
          <w:lang w:val="en-US"/>
        </w:rPr>
        <w:t xml:space="preserve">(or </w:t>
      </w:r>
      <w:r w:rsidR="0053669E" w:rsidRPr="00E14D8C">
        <w:rPr>
          <w:lang w:val="en-US"/>
        </w:rPr>
        <w:t>standard</w:t>
      </w:r>
      <w:r w:rsidR="0026538A" w:rsidRPr="00E14D8C">
        <w:rPr>
          <w:lang w:val="en-US"/>
        </w:rPr>
        <w:t xml:space="preserve">) </w:t>
      </w:r>
      <w:r w:rsidR="008F5EFD" w:rsidRPr="00E14D8C">
        <w:rPr>
          <w:lang w:val="en-US"/>
        </w:rPr>
        <w:t>practice.</w:t>
      </w:r>
      <w:r w:rsidR="0053669E" w:rsidRPr="00E14D8C">
        <w:rPr>
          <w:lang w:val="en-US"/>
        </w:rPr>
        <w:t xml:space="preserve"> </w:t>
      </w:r>
      <w:r w:rsidRPr="00E14D8C">
        <w:rPr>
          <w:lang w:val="en-US"/>
        </w:rPr>
        <w:t>Unlike</w:t>
      </w:r>
      <w:r w:rsidR="00D705C6" w:rsidRPr="00E14D8C">
        <w:rPr>
          <w:lang w:val="en-US"/>
        </w:rPr>
        <w:t xml:space="preserve"> comparatively </w:t>
      </w:r>
      <w:r w:rsidR="0053669E" w:rsidRPr="00E14D8C">
        <w:rPr>
          <w:lang w:val="en-US"/>
        </w:rPr>
        <w:t>straightforward</w:t>
      </w:r>
      <w:r w:rsidR="00D705C6" w:rsidRPr="00E14D8C">
        <w:rPr>
          <w:lang w:val="en-US"/>
        </w:rPr>
        <w:t xml:space="preserve"> transnational disputes </w:t>
      </w:r>
      <w:r w:rsidRPr="00E14D8C">
        <w:rPr>
          <w:lang w:val="en-US"/>
        </w:rPr>
        <w:t>arising from</w:t>
      </w:r>
      <w:r w:rsidR="00D705C6" w:rsidRPr="00E14D8C">
        <w:rPr>
          <w:lang w:val="en-US"/>
        </w:rPr>
        <w:t xml:space="preserve"> road accidents </w:t>
      </w:r>
      <w:r w:rsidRPr="00E14D8C">
        <w:rPr>
          <w:lang w:val="en-US"/>
        </w:rPr>
        <w:t>concerning</w:t>
      </w:r>
      <w:r w:rsidR="00D705C6" w:rsidRPr="00E14D8C">
        <w:rPr>
          <w:lang w:val="en-US"/>
        </w:rPr>
        <w:t xml:space="preserve"> non-autonomous vehicles, the determination of the applicable law in </w:t>
      </w:r>
      <w:r w:rsidRPr="00E14D8C">
        <w:rPr>
          <w:lang w:val="en-US"/>
        </w:rPr>
        <w:t>claims</w:t>
      </w:r>
      <w:r w:rsidR="00D705C6" w:rsidRPr="00E14D8C">
        <w:rPr>
          <w:lang w:val="en-US"/>
        </w:rPr>
        <w:t xml:space="preserve"> involving self-driving cars </w:t>
      </w:r>
      <w:r w:rsidR="0053669E" w:rsidRPr="00E14D8C">
        <w:rPr>
          <w:lang w:val="en-US"/>
        </w:rPr>
        <w:t>is</w:t>
      </w:r>
      <w:r w:rsidR="00D705C6" w:rsidRPr="00E14D8C">
        <w:rPr>
          <w:lang w:val="en-US"/>
        </w:rPr>
        <w:t xml:space="preserve"> likely to involve several complexities</w:t>
      </w:r>
      <w:r w:rsidRPr="00E14D8C">
        <w:rPr>
          <w:lang w:val="en-US"/>
        </w:rPr>
        <w:t>.</w:t>
      </w:r>
      <w:r w:rsidR="0053669E" w:rsidRPr="00E14D8C">
        <w:rPr>
          <w:lang w:val="en-US"/>
        </w:rPr>
        <w:t xml:space="preserve"> </w:t>
      </w:r>
      <w:r w:rsidRPr="00E14D8C">
        <w:rPr>
          <w:lang w:val="en-US"/>
        </w:rPr>
        <w:t>Such disputes are most likely to be</w:t>
      </w:r>
      <w:r w:rsidR="00D705C6" w:rsidRPr="00E14D8C">
        <w:rPr>
          <w:lang w:val="en-US"/>
        </w:rPr>
        <w:t xml:space="preserve"> a product of a </w:t>
      </w:r>
      <w:proofErr w:type="spellStart"/>
      <w:r w:rsidR="00D705C6" w:rsidRPr="00E14D8C">
        <w:rPr>
          <w:lang w:val="en-US"/>
        </w:rPr>
        <w:t>multilocal</w:t>
      </w:r>
      <w:proofErr w:type="spellEnd"/>
      <w:r w:rsidR="00D705C6" w:rsidRPr="00E14D8C">
        <w:rPr>
          <w:lang w:val="en-US"/>
        </w:rPr>
        <w:t xml:space="preserve"> or double </w:t>
      </w:r>
      <w:r w:rsidRPr="00E14D8C">
        <w:rPr>
          <w:lang w:val="en-US"/>
        </w:rPr>
        <w:t>tort due to</w:t>
      </w:r>
      <w:r w:rsidR="00D705C6" w:rsidRPr="00E14D8C">
        <w:rPr>
          <w:lang w:val="en-US"/>
        </w:rPr>
        <w:t xml:space="preserve"> the </w:t>
      </w:r>
      <w:r w:rsidR="0041674D" w:rsidRPr="00E14D8C">
        <w:rPr>
          <w:lang w:val="en-US"/>
        </w:rPr>
        <w:t>‘</w:t>
      </w:r>
      <w:r w:rsidR="00D705C6" w:rsidRPr="00E14D8C">
        <w:rPr>
          <w:lang w:val="en-US"/>
        </w:rPr>
        <w:t xml:space="preserve">separation in time and place between the </w:t>
      </w:r>
      <w:proofErr w:type="spellStart"/>
      <w:r w:rsidR="00D705C6" w:rsidRPr="00E14D8C">
        <w:rPr>
          <w:lang w:val="en-US"/>
        </w:rPr>
        <w:t>behaviour</w:t>
      </w:r>
      <w:proofErr w:type="spellEnd"/>
      <w:r w:rsidR="00D705C6" w:rsidRPr="00E14D8C">
        <w:rPr>
          <w:lang w:val="en-US"/>
        </w:rPr>
        <w:t xml:space="preserve"> of one person and the resultant damage to another</w:t>
      </w:r>
      <w:r w:rsidR="0041674D" w:rsidRPr="00E14D8C">
        <w:rPr>
          <w:lang w:val="en-US"/>
        </w:rPr>
        <w:t>’</w:t>
      </w:r>
      <w:r w:rsidR="00D705C6" w:rsidRPr="00E14D8C">
        <w:rPr>
          <w:lang w:val="en-US"/>
        </w:rPr>
        <w:t>.</w:t>
      </w:r>
      <w:r w:rsidR="00D705C6" w:rsidRPr="00E14D8C">
        <w:rPr>
          <w:vertAlign w:val="superscript"/>
          <w:lang w:val="en-US"/>
        </w:rPr>
        <w:footnoteReference w:id="34"/>
      </w:r>
      <w:r w:rsidR="00D705C6" w:rsidRPr="00E14D8C">
        <w:rPr>
          <w:lang w:val="en-US"/>
        </w:rPr>
        <w:t xml:space="preserve"> The event giving rise to the harmful </w:t>
      </w:r>
      <w:proofErr w:type="spellStart"/>
      <w:r w:rsidR="00D705C6" w:rsidRPr="00E14D8C">
        <w:rPr>
          <w:lang w:val="en-US"/>
        </w:rPr>
        <w:t>behaviour</w:t>
      </w:r>
      <w:proofErr w:type="spellEnd"/>
      <w:r w:rsidR="00D705C6" w:rsidRPr="00E14D8C">
        <w:rPr>
          <w:lang w:val="en-US"/>
        </w:rPr>
        <w:t xml:space="preserve"> and the place where the actual damage occurred may not coincide</w:t>
      </w:r>
      <w:r w:rsidR="0053669E" w:rsidRPr="00E14D8C">
        <w:rPr>
          <w:lang w:val="en-US"/>
        </w:rPr>
        <w:t>, especially</w:t>
      </w:r>
      <w:r w:rsidR="00D705C6" w:rsidRPr="00E14D8C">
        <w:rPr>
          <w:lang w:val="en-US"/>
        </w:rPr>
        <w:t xml:space="preserve"> if the resultant injury is attributable to the failure in </w:t>
      </w:r>
      <w:r w:rsidRPr="00E14D8C">
        <w:rPr>
          <w:lang w:val="en-US"/>
        </w:rPr>
        <w:t>an imported</w:t>
      </w:r>
      <w:r w:rsidR="00D705C6" w:rsidRPr="00E14D8C">
        <w:rPr>
          <w:lang w:val="en-US"/>
        </w:rPr>
        <w:t xml:space="preserve"> software to detect an object around it or sufficiently prevent the </w:t>
      </w:r>
      <w:r w:rsidR="0041674D" w:rsidRPr="00E14D8C">
        <w:rPr>
          <w:lang w:val="en-US"/>
        </w:rPr>
        <w:t>user’s</w:t>
      </w:r>
      <w:r w:rsidR="00D705C6" w:rsidRPr="00E14D8C">
        <w:rPr>
          <w:lang w:val="en-US"/>
        </w:rPr>
        <w:t xml:space="preserve"> data </w:t>
      </w:r>
      <w:r w:rsidR="0053669E" w:rsidRPr="00E14D8C">
        <w:rPr>
          <w:lang w:val="en-US"/>
        </w:rPr>
        <w:t xml:space="preserve">from </w:t>
      </w:r>
      <w:r w:rsidR="00D705C6" w:rsidRPr="00E14D8C">
        <w:rPr>
          <w:lang w:val="en-US"/>
        </w:rPr>
        <w:t>being misused.</w:t>
      </w:r>
      <w:r w:rsidR="00483454" w:rsidRPr="00E14D8C">
        <w:rPr>
          <w:rStyle w:val="FootnoteReference"/>
          <w:lang w:val="en-US"/>
        </w:rPr>
        <w:footnoteReference w:id="35"/>
      </w:r>
    </w:p>
    <w:p w14:paraId="4F567FF5" w14:textId="3F431074" w:rsidR="00C53541" w:rsidRPr="00E14D8C" w:rsidRDefault="0026538A" w:rsidP="00A34E89">
      <w:pPr>
        <w:spacing w:line="360" w:lineRule="auto"/>
        <w:jc w:val="both"/>
        <w:rPr>
          <w:lang w:val="en-US"/>
        </w:rPr>
      </w:pPr>
      <w:r w:rsidRPr="00E14D8C">
        <w:rPr>
          <w:lang w:val="en-US"/>
        </w:rPr>
        <w:t xml:space="preserve">        To date, the need to develop special rules to identify the applicable law in transnational disputes involving </w:t>
      </w:r>
      <w:r w:rsidR="000C3357">
        <w:rPr>
          <w:lang w:val="en-US"/>
        </w:rPr>
        <w:t>self-driving</w:t>
      </w:r>
      <w:r w:rsidRPr="00E14D8C">
        <w:rPr>
          <w:lang w:val="en-US"/>
        </w:rPr>
        <w:t xml:space="preserve"> cars has not been felt.</w:t>
      </w:r>
      <w:r w:rsidR="0053669E" w:rsidRPr="00E14D8C">
        <w:rPr>
          <w:lang w:val="en-US"/>
        </w:rPr>
        <w:t xml:space="preserve"> </w:t>
      </w:r>
      <w:r w:rsidR="003B1517" w:rsidRPr="00E14D8C">
        <w:rPr>
          <w:lang w:val="en-US"/>
        </w:rPr>
        <w:t xml:space="preserve">However, as a general rule, such claims </w:t>
      </w:r>
      <w:r w:rsidR="00D24B5E" w:rsidRPr="00E14D8C">
        <w:rPr>
          <w:lang w:val="en-US"/>
        </w:rPr>
        <w:t xml:space="preserve">are likely to </w:t>
      </w:r>
      <w:r w:rsidR="00E92798" w:rsidRPr="00E14D8C">
        <w:rPr>
          <w:lang w:val="en-US"/>
        </w:rPr>
        <w:t>be</w:t>
      </w:r>
      <w:r w:rsidR="003B1517" w:rsidRPr="00E14D8C">
        <w:rPr>
          <w:lang w:val="en-US"/>
        </w:rPr>
        <w:t xml:space="preserve"> subject to the scission principle – where the liability of the owner and the producer </w:t>
      </w:r>
      <w:r w:rsidR="00D24B5E" w:rsidRPr="00E14D8C">
        <w:rPr>
          <w:lang w:val="en-US"/>
        </w:rPr>
        <w:t>may</w:t>
      </w:r>
      <w:r w:rsidR="003B1517" w:rsidRPr="00E14D8C">
        <w:rPr>
          <w:lang w:val="en-US"/>
        </w:rPr>
        <w:t xml:space="preserve"> </w:t>
      </w:r>
      <w:r w:rsidR="00104485" w:rsidRPr="00E14D8C">
        <w:rPr>
          <w:lang w:val="en-US"/>
        </w:rPr>
        <w:t>necessitate</w:t>
      </w:r>
      <w:r w:rsidR="003B1517" w:rsidRPr="00E14D8C">
        <w:rPr>
          <w:lang w:val="en-US"/>
        </w:rPr>
        <w:t xml:space="preserve"> the application of different laws </w:t>
      </w:r>
      <w:r w:rsidR="00D24B5E" w:rsidRPr="00E14D8C">
        <w:rPr>
          <w:lang w:val="en-US"/>
        </w:rPr>
        <w:t>if the car has been produced overseas</w:t>
      </w:r>
      <w:r w:rsidR="003B1517" w:rsidRPr="00E14D8C">
        <w:rPr>
          <w:lang w:val="en-US"/>
        </w:rPr>
        <w:t>.</w:t>
      </w:r>
      <w:r w:rsidR="0053669E" w:rsidRPr="00E14D8C">
        <w:rPr>
          <w:lang w:val="en-US"/>
        </w:rPr>
        <w:t xml:space="preserve"> </w:t>
      </w:r>
      <w:r w:rsidR="00D24B5E" w:rsidRPr="00E14D8C">
        <w:rPr>
          <w:lang w:val="en-US"/>
        </w:rPr>
        <w:t>T</w:t>
      </w:r>
      <w:r w:rsidR="00E92798" w:rsidRPr="00E14D8C">
        <w:rPr>
          <w:lang w:val="en-US"/>
        </w:rPr>
        <w:t xml:space="preserve">he </w:t>
      </w:r>
      <w:r w:rsidR="0041674D" w:rsidRPr="00E14D8C">
        <w:rPr>
          <w:lang w:val="en-US"/>
        </w:rPr>
        <w:t>owner’s</w:t>
      </w:r>
      <w:r w:rsidR="0053669E" w:rsidRPr="00E14D8C">
        <w:rPr>
          <w:lang w:val="en-US"/>
        </w:rPr>
        <w:t xml:space="preserve"> liability</w:t>
      </w:r>
      <w:r w:rsidR="00E92798" w:rsidRPr="00E14D8C">
        <w:rPr>
          <w:lang w:val="en-US"/>
        </w:rPr>
        <w:t xml:space="preserve"> </w:t>
      </w:r>
      <w:r w:rsidR="00D24B5E" w:rsidRPr="00E14D8C">
        <w:rPr>
          <w:lang w:val="en-US"/>
        </w:rPr>
        <w:t>may, thus,</w:t>
      </w:r>
      <w:r w:rsidR="00E92798" w:rsidRPr="00E14D8C">
        <w:rPr>
          <w:lang w:val="en-US"/>
        </w:rPr>
        <w:t xml:space="preserve"> be determined according to domestic law</w:t>
      </w:r>
      <w:r w:rsidR="0053669E" w:rsidRPr="00E14D8C">
        <w:rPr>
          <w:lang w:val="en-US"/>
        </w:rPr>
        <w:t>,</w:t>
      </w:r>
      <w:r w:rsidR="00E92798" w:rsidRPr="00E14D8C">
        <w:rPr>
          <w:lang w:val="en-US"/>
        </w:rPr>
        <w:t xml:space="preserve"> </w:t>
      </w:r>
      <w:r w:rsidR="00D24B5E" w:rsidRPr="00E14D8C">
        <w:rPr>
          <w:lang w:val="en-US"/>
        </w:rPr>
        <w:t>while that of the producer may be subject to foreign law – unless the dispute involves a domestically produced car.</w:t>
      </w:r>
      <w:r w:rsidR="0053669E" w:rsidRPr="00E14D8C">
        <w:rPr>
          <w:lang w:val="en-US"/>
        </w:rPr>
        <w:t xml:space="preserve"> </w:t>
      </w:r>
      <w:r w:rsidR="00D24B5E" w:rsidRPr="00E14D8C">
        <w:rPr>
          <w:lang w:val="en-US"/>
        </w:rPr>
        <w:t xml:space="preserve">Therefore, the court must determine the liabilities of the owner and the </w:t>
      </w:r>
      <w:r w:rsidR="00D24B5E" w:rsidRPr="00E14D8C">
        <w:rPr>
          <w:lang w:val="en-US"/>
        </w:rPr>
        <w:lastRenderedPageBreak/>
        <w:t xml:space="preserve">manufacturer in the first place under the law of the forum – before ascertaining whether </w:t>
      </w:r>
      <w:r w:rsidR="0053669E" w:rsidRPr="00E14D8C">
        <w:rPr>
          <w:lang w:val="en-US"/>
        </w:rPr>
        <w:t xml:space="preserve">the </w:t>
      </w:r>
      <w:r w:rsidR="00D24B5E" w:rsidRPr="00E14D8C">
        <w:rPr>
          <w:lang w:val="en-US"/>
        </w:rPr>
        <w:t xml:space="preserve">claim </w:t>
      </w:r>
      <w:r w:rsidR="00D24B5E" w:rsidRPr="00E14D8C">
        <w:rPr>
          <w:lang w:val="en-US"/>
        </w:rPr>
        <w:t>necessitates</w:t>
      </w:r>
      <w:r w:rsidR="00D24B5E" w:rsidRPr="00E14D8C">
        <w:rPr>
          <w:lang w:val="en-US"/>
        </w:rPr>
        <w:t xml:space="preserve"> the application of foreign law to determine the liability of the producer.</w:t>
      </w:r>
    </w:p>
    <w:p w14:paraId="4CB384E8" w14:textId="77777777" w:rsidR="006D57A0" w:rsidRPr="00E14D8C" w:rsidRDefault="006D57A0" w:rsidP="00A34E89">
      <w:pPr>
        <w:spacing w:line="360" w:lineRule="auto"/>
        <w:jc w:val="both"/>
        <w:rPr>
          <w:lang w:val="en-US"/>
        </w:rPr>
      </w:pPr>
    </w:p>
    <w:p w14:paraId="7A9FBAF7" w14:textId="031486D6" w:rsidR="00422C75" w:rsidRPr="00E14D8C" w:rsidRDefault="00B25AF2" w:rsidP="00F0620D">
      <w:pPr>
        <w:spacing w:line="360" w:lineRule="auto"/>
        <w:jc w:val="both"/>
        <w:rPr>
          <w:b/>
          <w:lang w:val="en-US"/>
        </w:rPr>
      </w:pPr>
      <w:r w:rsidRPr="00E14D8C">
        <w:rPr>
          <w:b/>
          <w:lang w:val="en-US"/>
        </w:rPr>
        <w:t xml:space="preserve">2.1.3. </w:t>
      </w:r>
      <w:r w:rsidR="001F5599" w:rsidRPr="00E14D8C">
        <w:rPr>
          <w:b/>
          <w:lang w:val="en-US"/>
        </w:rPr>
        <w:t xml:space="preserve">  </w:t>
      </w:r>
      <w:r w:rsidR="00422C75" w:rsidRPr="00E14D8C">
        <w:rPr>
          <w:b/>
          <w:lang w:val="en-US"/>
        </w:rPr>
        <w:t>Prescribing the Liability for Injuries</w:t>
      </w:r>
    </w:p>
    <w:p w14:paraId="4049AD48" w14:textId="18E182AA" w:rsidR="00BF0392" w:rsidRPr="00E14D8C" w:rsidRDefault="001A0A03" w:rsidP="00A34E89">
      <w:pPr>
        <w:spacing w:line="360" w:lineRule="auto"/>
        <w:jc w:val="both"/>
        <w:rPr>
          <w:lang w:val="en-US"/>
        </w:rPr>
      </w:pPr>
      <w:r w:rsidRPr="00E14D8C">
        <w:rPr>
          <w:lang w:val="en-US"/>
        </w:rPr>
        <w:t>In the absence of any treaty or Convention</w:t>
      </w:r>
      <w:r w:rsidR="00CB56E4" w:rsidRPr="00E14D8C">
        <w:rPr>
          <w:lang w:val="en-US"/>
        </w:rPr>
        <w:t xml:space="preserve">, the principles on which liability for accidents caused by self-driving cars have not been </w:t>
      </w:r>
      <w:r w:rsidR="00F03653">
        <w:rPr>
          <w:lang w:val="en-US"/>
        </w:rPr>
        <w:t>harmonized</w:t>
      </w:r>
      <w:r w:rsidRPr="00E14D8C">
        <w:rPr>
          <w:lang w:val="en-US"/>
        </w:rPr>
        <w:t>.</w:t>
      </w:r>
      <w:r w:rsidR="0053669E" w:rsidRPr="00E14D8C">
        <w:rPr>
          <w:lang w:val="en-US"/>
        </w:rPr>
        <w:t xml:space="preserve"> </w:t>
      </w:r>
      <w:r w:rsidR="00B86170" w:rsidRPr="00E14D8C">
        <w:rPr>
          <w:lang w:val="en-US"/>
        </w:rPr>
        <w:t>The provisions of the Geneva Convention on Road Traffic, 1949 [the Geneva Convention]</w:t>
      </w:r>
      <w:r w:rsidR="00B86170" w:rsidRPr="00E14D8C">
        <w:rPr>
          <w:rStyle w:val="FootnoteReference"/>
          <w:lang w:val="en-US"/>
        </w:rPr>
        <w:footnoteReference w:id="36"/>
      </w:r>
      <w:r w:rsidR="00B86170" w:rsidRPr="00E14D8C">
        <w:rPr>
          <w:lang w:val="en-US"/>
        </w:rPr>
        <w:t xml:space="preserve"> and the Vienna Convention on Road Traffic, 1968 [Vienna Convention</w:t>
      </w:r>
      <w:r w:rsidR="0053669E" w:rsidRPr="00E14D8C">
        <w:rPr>
          <w:lang w:val="en-US"/>
        </w:rPr>
        <w:t>]</w:t>
      </w:r>
      <w:r w:rsidR="00B86170" w:rsidRPr="00E14D8C">
        <w:rPr>
          <w:rStyle w:val="FootnoteReference"/>
          <w:lang w:val="en-US"/>
        </w:rPr>
        <w:footnoteReference w:id="37"/>
      </w:r>
      <w:r w:rsidR="00B86170" w:rsidRPr="00E14D8C">
        <w:rPr>
          <w:lang w:val="en-US"/>
        </w:rPr>
        <w:t xml:space="preserve"> </w:t>
      </w:r>
      <w:r w:rsidR="00A06E40" w:rsidRPr="00E14D8C">
        <w:rPr>
          <w:lang w:val="en-US"/>
        </w:rPr>
        <w:t>mandate</w:t>
      </w:r>
      <w:r w:rsidR="00B86170" w:rsidRPr="00E14D8C">
        <w:rPr>
          <w:lang w:val="en-US"/>
        </w:rPr>
        <w:t xml:space="preserve"> the presence of a driver to control the vehicle at all times.</w:t>
      </w:r>
      <w:r w:rsidR="00B86170" w:rsidRPr="00E14D8C">
        <w:rPr>
          <w:rStyle w:val="FootnoteReference"/>
          <w:lang w:val="en-US"/>
        </w:rPr>
        <w:footnoteReference w:id="38"/>
      </w:r>
      <w:r w:rsidR="00B86170" w:rsidRPr="00E14D8C">
        <w:rPr>
          <w:lang w:val="en-US"/>
        </w:rPr>
        <w:t xml:space="preserve"> </w:t>
      </w:r>
      <w:r w:rsidR="0053669E" w:rsidRPr="00E14D8C">
        <w:rPr>
          <w:lang w:val="en-US"/>
        </w:rPr>
        <w:t xml:space="preserve">The Conventions are </w:t>
      </w:r>
      <w:r w:rsidR="0053669E" w:rsidRPr="00E14D8C">
        <w:rPr>
          <w:lang w:val="en-US"/>
        </w:rPr>
        <w:t xml:space="preserve">the two significant international conventions that </w:t>
      </w:r>
      <w:proofErr w:type="spellStart"/>
      <w:r w:rsidR="0053669E" w:rsidRPr="00E14D8C">
        <w:rPr>
          <w:lang w:val="en-US"/>
        </w:rPr>
        <w:t>endeavour</w:t>
      </w:r>
      <w:proofErr w:type="spellEnd"/>
      <w:r w:rsidR="0053669E" w:rsidRPr="00E14D8C">
        <w:rPr>
          <w:lang w:val="en-US"/>
        </w:rPr>
        <w:t xml:space="preserve"> to facilitate international road traffic by defining the circumstances in which </w:t>
      </w:r>
      <w:r w:rsidR="0041674D" w:rsidRPr="00E14D8C">
        <w:rPr>
          <w:lang w:val="en-US"/>
        </w:rPr>
        <w:t>cars</w:t>
      </w:r>
      <w:r w:rsidR="0053669E" w:rsidRPr="00E14D8C">
        <w:rPr>
          <w:lang w:val="en-US"/>
        </w:rPr>
        <w:t xml:space="preserve"> from other signatories will be legal</w:t>
      </w:r>
      <w:r w:rsidR="0053669E" w:rsidRPr="00E14D8C">
        <w:rPr>
          <w:lang w:val="en-US"/>
        </w:rPr>
        <w:t xml:space="preserve">. </w:t>
      </w:r>
      <w:r w:rsidR="00B86170" w:rsidRPr="00E14D8C">
        <w:rPr>
          <w:lang w:val="en-US"/>
        </w:rPr>
        <w:t>However, t</w:t>
      </w:r>
      <w:r w:rsidRPr="00E14D8C">
        <w:rPr>
          <w:lang w:val="en-US"/>
        </w:rPr>
        <w:t>he proposed amendment to the Vienna Convention on Road Traffic, 1968 [Vienna Convention]</w:t>
      </w:r>
      <w:r w:rsidRPr="00E14D8C">
        <w:rPr>
          <w:rStyle w:val="FootnoteReference"/>
          <w:lang w:val="en-US"/>
        </w:rPr>
        <w:footnoteReference w:id="39"/>
      </w:r>
      <w:r w:rsidRPr="00E14D8C">
        <w:rPr>
          <w:lang w:val="en-US"/>
        </w:rPr>
        <w:t xml:space="preserve"> in the form of Article 34bis</w:t>
      </w:r>
      <w:r w:rsidR="00CB56E4" w:rsidRPr="00E14D8C">
        <w:rPr>
          <w:lang w:val="en-US"/>
        </w:rPr>
        <w:t xml:space="preserve">, which is </w:t>
      </w:r>
      <w:r w:rsidR="00104485" w:rsidRPr="00E14D8C">
        <w:rPr>
          <w:lang w:val="en-US"/>
        </w:rPr>
        <w:t>likely to come into effect in 2022</w:t>
      </w:r>
      <w:r w:rsidR="00CB56E4" w:rsidRPr="00E14D8C">
        <w:rPr>
          <w:lang w:val="en-US"/>
        </w:rPr>
        <w:t>,</w:t>
      </w:r>
      <w:r w:rsidRPr="00E14D8C">
        <w:rPr>
          <w:lang w:val="en-US"/>
        </w:rPr>
        <w:t xml:space="preserve"> </w:t>
      </w:r>
      <w:r w:rsidR="00F03653">
        <w:rPr>
          <w:lang w:val="en-US"/>
        </w:rPr>
        <w:t>legalizes</w:t>
      </w:r>
      <w:r w:rsidRPr="00E14D8C">
        <w:rPr>
          <w:lang w:val="en-US"/>
        </w:rPr>
        <w:t xml:space="preserve"> the operation of </w:t>
      </w:r>
      <w:r w:rsidR="000C3357">
        <w:rPr>
          <w:lang w:val="en-US"/>
        </w:rPr>
        <w:t>self-driving</w:t>
      </w:r>
      <w:r w:rsidR="000C3357" w:rsidRPr="00E14D8C">
        <w:rPr>
          <w:lang w:val="en-US"/>
        </w:rPr>
        <w:t xml:space="preserve"> </w:t>
      </w:r>
      <w:r w:rsidRPr="00E14D8C">
        <w:rPr>
          <w:lang w:val="en-US"/>
        </w:rPr>
        <w:t>cars (namely, those operating at Levels 4 and 5) by obliviating the need of a human driver</w:t>
      </w:r>
      <w:r w:rsidR="00B86170" w:rsidRPr="00E14D8C">
        <w:rPr>
          <w:lang w:val="en-US"/>
        </w:rPr>
        <w:t>.</w:t>
      </w:r>
      <w:r w:rsidR="00A06E40" w:rsidRPr="00E14D8C">
        <w:rPr>
          <w:rStyle w:val="FootnoteReference"/>
          <w:lang w:val="en-US"/>
        </w:rPr>
        <w:footnoteReference w:id="40"/>
      </w:r>
      <w:r w:rsidR="00B86170" w:rsidRPr="00E14D8C">
        <w:rPr>
          <w:lang w:val="en-US"/>
        </w:rPr>
        <w:t xml:space="preserve"> </w:t>
      </w:r>
      <w:r w:rsidR="00D161D7" w:rsidRPr="00E14D8C">
        <w:rPr>
          <w:lang w:val="en-US"/>
        </w:rPr>
        <w:t xml:space="preserve">The </w:t>
      </w:r>
      <w:r w:rsidR="00231FA2" w:rsidRPr="00E14D8C">
        <w:rPr>
          <w:lang w:val="en-US"/>
        </w:rPr>
        <w:t xml:space="preserve">Contracting States will, thus, be construed to have </w:t>
      </w:r>
      <w:r w:rsidR="0041674D" w:rsidRPr="00E14D8C">
        <w:rPr>
          <w:lang w:val="en-US"/>
        </w:rPr>
        <w:t>‘</w:t>
      </w:r>
      <w:r w:rsidR="00791F5C" w:rsidRPr="00E14D8C">
        <w:rPr>
          <w:lang w:val="en-US"/>
        </w:rPr>
        <w:t xml:space="preserve">deemed </w:t>
      </w:r>
      <w:r w:rsidR="00231FA2" w:rsidRPr="00E14D8C">
        <w:rPr>
          <w:lang w:val="en-US"/>
        </w:rPr>
        <w:t>to have</w:t>
      </w:r>
      <w:r w:rsidR="00791F5C" w:rsidRPr="00E14D8C">
        <w:rPr>
          <w:lang w:val="en-US"/>
        </w:rPr>
        <w:t xml:space="preserve"> satisfied</w:t>
      </w:r>
      <w:r w:rsidR="0041674D" w:rsidRPr="00E14D8C">
        <w:rPr>
          <w:lang w:val="en-US"/>
        </w:rPr>
        <w:t>’</w:t>
      </w:r>
      <w:r w:rsidR="00231FA2" w:rsidRPr="00E14D8C">
        <w:rPr>
          <w:lang w:val="en-US"/>
        </w:rPr>
        <w:t xml:space="preserve"> the requirement of a driver</w:t>
      </w:r>
      <w:r w:rsidR="00791F5C" w:rsidRPr="00E14D8C">
        <w:rPr>
          <w:lang w:val="en-US"/>
        </w:rPr>
        <w:t xml:space="preserve"> in </w:t>
      </w:r>
      <w:r w:rsidR="00D161D7" w:rsidRPr="00E14D8C">
        <w:rPr>
          <w:lang w:val="en-US"/>
        </w:rPr>
        <w:t>an</w:t>
      </w:r>
      <w:r w:rsidR="00231FA2" w:rsidRPr="00E14D8C">
        <w:rPr>
          <w:lang w:val="en-US"/>
        </w:rPr>
        <w:t xml:space="preserve"> autonomous car – including those that are </w:t>
      </w:r>
      <w:r w:rsidR="000C3357">
        <w:rPr>
          <w:lang w:val="en-US"/>
        </w:rPr>
        <w:t>self-driving</w:t>
      </w:r>
      <w:r w:rsidR="000C3357" w:rsidRPr="00E14D8C">
        <w:rPr>
          <w:lang w:val="en-US"/>
        </w:rPr>
        <w:t xml:space="preserve"> </w:t>
      </w:r>
      <w:r w:rsidR="00231FA2" w:rsidRPr="00E14D8C">
        <w:rPr>
          <w:lang w:val="en-US"/>
        </w:rPr>
        <w:t>–</w:t>
      </w:r>
      <w:r w:rsidR="00791F5C" w:rsidRPr="00E14D8C">
        <w:rPr>
          <w:lang w:val="en-US"/>
        </w:rPr>
        <w:t xml:space="preserve"> i</w:t>
      </w:r>
      <w:r w:rsidR="00231FA2" w:rsidRPr="00E14D8C">
        <w:rPr>
          <w:lang w:val="en-US"/>
        </w:rPr>
        <w:t>f such vehicles</w:t>
      </w:r>
      <w:r w:rsidR="00791F5C" w:rsidRPr="00E14D8C">
        <w:rPr>
          <w:lang w:val="en-US"/>
        </w:rPr>
        <w:t xml:space="preserve"> </w:t>
      </w:r>
      <w:r w:rsidR="0041674D" w:rsidRPr="00E14D8C">
        <w:rPr>
          <w:lang w:val="en-US"/>
        </w:rPr>
        <w:t>‘</w:t>
      </w:r>
      <w:r w:rsidR="00791F5C" w:rsidRPr="00E14D8C">
        <w:rPr>
          <w:lang w:val="en-US"/>
        </w:rPr>
        <w:t>comply with the domestic technical regulations and the legal requirements of the country in which they are being operated</w:t>
      </w:r>
      <w:r w:rsidR="0041674D" w:rsidRPr="00E14D8C">
        <w:rPr>
          <w:lang w:val="en-US"/>
        </w:rPr>
        <w:t>’</w:t>
      </w:r>
      <w:r w:rsidR="00791F5C" w:rsidRPr="00E14D8C">
        <w:rPr>
          <w:lang w:val="en-US"/>
        </w:rPr>
        <w:t>.</w:t>
      </w:r>
      <w:r w:rsidR="00791F5C" w:rsidRPr="00E14D8C">
        <w:rPr>
          <w:rStyle w:val="FootnoteReference"/>
          <w:lang w:val="en-US"/>
        </w:rPr>
        <w:footnoteReference w:id="41"/>
      </w:r>
      <w:r w:rsidR="00791F5C" w:rsidRPr="00E14D8C">
        <w:rPr>
          <w:lang w:val="en-US"/>
        </w:rPr>
        <w:t xml:space="preserve"> </w:t>
      </w:r>
      <w:r w:rsidR="00231FA2" w:rsidRPr="00E14D8C">
        <w:rPr>
          <w:lang w:val="en-US"/>
        </w:rPr>
        <w:t>In doing so, the proposed amendment leaves</w:t>
      </w:r>
      <w:r w:rsidR="00791F5C" w:rsidRPr="00E14D8C">
        <w:rPr>
          <w:lang w:val="en-US"/>
        </w:rPr>
        <w:t xml:space="preserve"> </w:t>
      </w:r>
      <w:r w:rsidR="00D161D7" w:rsidRPr="00E14D8C">
        <w:rPr>
          <w:lang w:val="en-US"/>
        </w:rPr>
        <w:t>how</w:t>
      </w:r>
      <w:r w:rsidR="001E3BC1" w:rsidRPr="00E14D8C">
        <w:rPr>
          <w:lang w:val="en-US"/>
        </w:rPr>
        <w:t xml:space="preserve"> </w:t>
      </w:r>
      <w:r w:rsidR="00231FA2" w:rsidRPr="00E14D8C">
        <w:rPr>
          <w:lang w:val="en-US"/>
        </w:rPr>
        <w:t>the liability for injuries</w:t>
      </w:r>
      <w:r w:rsidR="001E3BC1" w:rsidRPr="00E14D8C">
        <w:rPr>
          <w:lang w:val="en-US"/>
        </w:rPr>
        <w:t xml:space="preserve"> in road accidents caused</w:t>
      </w:r>
      <w:r w:rsidR="00231FA2" w:rsidRPr="00E14D8C">
        <w:rPr>
          <w:lang w:val="en-US"/>
        </w:rPr>
        <w:t xml:space="preserve"> </w:t>
      </w:r>
      <w:r w:rsidR="001E3BC1" w:rsidRPr="00E14D8C">
        <w:rPr>
          <w:lang w:val="en-US"/>
        </w:rPr>
        <w:t>by</w:t>
      </w:r>
      <w:r w:rsidR="00231FA2" w:rsidRPr="00E14D8C">
        <w:rPr>
          <w:lang w:val="en-US"/>
        </w:rPr>
        <w:t xml:space="preserve"> </w:t>
      </w:r>
      <w:r w:rsidR="001E3BC1" w:rsidRPr="00E14D8C">
        <w:rPr>
          <w:lang w:val="en-US"/>
        </w:rPr>
        <w:t>such vehicles is determined to the discretion of each Contracting State</w:t>
      </w:r>
      <w:r w:rsidRPr="00E14D8C">
        <w:rPr>
          <w:lang w:val="en-US"/>
        </w:rPr>
        <w:t>.</w:t>
      </w:r>
      <w:r w:rsidR="0053669E" w:rsidRPr="00E14D8C">
        <w:rPr>
          <w:lang w:val="en-US"/>
        </w:rPr>
        <w:t xml:space="preserve"> </w:t>
      </w:r>
      <w:r w:rsidR="00AB17BD" w:rsidRPr="00E14D8C">
        <w:rPr>
          <w:lang w:val="en-US"/>
        </w:rPr>
        <w:t xml:space="preserve">In comparison, the existing provisions of the Geneva Convention continue to (officially) mandate the presence of a driver in every vehicle – and impose no obligation on other signatories to </w:t>
      </w:r>
      <w:r w:rsidR="00F03653">
        <w:rPr>
          <w:lang w:val="en-US"/>
        </w:rPr>
        <w:t>recognize</w:t>
      </w:r>
      <w:r w:rsidR="00AB17BD" w:rsidRPr="00E14D8C">
        <w:rPr>
          <w:lang w:val="en-US"/>
        </w:rPr>
        <w:t xml:space="preserve"> </w:t>
      </w:r>
      <w:r w:rsidR="000C3357">
        <w:rPr>
          <w:lang w:val="en-US"/>
        </w:rPr>
        <w:t>self-driving</w:t>
      </w:r>
      <w:r w:rsidR="000C3357" w:rsidRPr="00E14D8C">
        <w:rPr>
          <w:lang w:val="en-US"/>
        </w:rPr>
        <w:t xml:space="preserve"> </w:t>
      </w:r>
      <w:r w:rsidR="00AB17BD" w:rsidRPr="00E14D8C">
        <w:rPr>
          <w:lang w:val="en-US"/>
        </w:rPr>
        <w:t xml:space="preserve">cars from </w:t>
      </w:r>
      <w:r w:rsidR="00D161D7" w:rsidRPr="00E14D8C">
        <w:rPr>
          <w:lang w:val="en-US"/>
        </w:rPr>
        <w:t xml:space="preserve">the </w:t>
      </w:r>
      <w:r w:rsidR="00AB17BD" w:rsidRPr="00E14D8C">
        <w:rPr>
          <w:lang w:val="en-US"/>
        </w:rPr>
        <w:t>other Contracting States – regardless of whether such vehicles comply with the domestic requirements of that country.</w:t>
      </w:r>
      <w:r w:rsidR="00AB17BD" w:rsidRPr="00E14D8C">
        <w:rPr>
          <w:rStyle w:val="FootnoteReference"/>
          <w:lang w:val="en-US"/>
        </w:rPr>
        <w:footnoteReference w:id="42"/>
      </w:r>
      <w:r w:rsidR="00AB17BD" w:rsidRPr="00E14D8C">
        <w:rPr>
          <w:lang w:val="en-US"/>
        </w:rPr>
        <w:t xml:space="preserve"> An Informal </w:t>
      </w:r>
      <w:r w:rsidR="00AB17BD" w:rsidRPr="00E14D8C">
        <w:rPr>
          <w:lang w:val="en-US"/>
        </w:rPr>
        <w:lastRenderedPageBreak/>
        <w:t xml:space="preserve">Group of Experts on Automated Driving </w:t>
      </w:r>
      <w:r w:rsidR="00D161D7" w:rsidRPr="00E14D8C">
        <w:rPr>
          <w:lang w:val="en-US"/>
        </w:rPr>
        <w:t>has</w:t>
      </w:r>
      <w:r w:rsidR="00AB17BD" w:rsidRPr="00E14D8C">
        <w:rPr>
          <w:lang w:val="en-US"/>
        </w:rPr>
        <w:t xml:space="preserve"> endorsed the extension of the </w:t>
      </w:r>
      <w:r w:rsidR="00D161D7" w:rsidRPr="00E14D8C">
        <w:rPr>
          <w:lang w:val="en-US"/>
        </w:rPr>
        <w:t>provisions</w:t>
      </w:r>
      <w:r w:rsidR="00AB17BD" w:rsidRPr="00E14D8C">
        <w:rPr>
          <w:lang w:val="en-US"/>
        </w:rPr>
        <w:t xml:space="preserve"> of Article 34bis to the Geneva Convention, pending similar amendments.</w:t>
      </w:r>
      <w:r w:rsidR="00AB17BD" w:rsidRPr="00E14D8C">
        <w:rPr>
          <w:rStyle w:val="FootnoteReference"/>
          <w:lang w:val="en-US"/>
        </w:rPr>
        <w:footnoteReference w:id="43"/>
      </w:r>
    </w:p>
    <w:p w14:paraId="32AF6665" w14:textId="48797A89" w:rsidR="00AB17BD" w:rsidRPr="00E14D8C" w:rsidRDefault="00EC6880" w:rsidP="00A34E89">
      <w:pPr>
        <w:spacing w:line="360" w:lineRule="auto"/>
        <w:jc w:val="both"/>
        <w:rPr>
          <w:lang w:val="en-US"/>
        </w:rPr>
      </w:pPr>
      <w:r w:rsidRPr="00E14D8C">
        <w:rPr>
          <w:lang w:val="en-US"/>
        </w:rPr>
        <w:t xml:space="preserve">       </w:t>
      </w:r>
      <w:r w:rsidR="00AB17BD" w:rsidRPr="00E14D8C">
        <w:rPr>
          <w:lang w:val="en-US"/>
        </w:rPr>
        <w:t>Several</w:t>
      </w:r>
      <w:r w:rsidR="00743D3B" w:rsidRPr="00E14D8C">
        <w:rPr>
          <w:lang w:val="en-US"/>
        </w:rPr>
        <w:t xml:space="preserve"> countries such as Germany, France</w:t>
      </w:r>
      <w:r w:rsidR="00AB17BD" w:rsidRPr="00E14D8C">
        <w:rPr>
          <w:lang w:val="en-US"/>
        </w:rPr>
        <w:t>,</w:t>
      </w:r>
      <w:r w:rsidR="00743D3B" w:rsidRPr="00E14D8C">
        <w:rPr>
          <w:lang w:val="en-US"/>
        </w:rPr>
        <w:t xml:space="preserve"> </w:t>
      </w:r>
      <w:r w:rsidR="00AB17BD" w:rsidRPr="00E14D8C">
        <w:rPr>
          <w:lang w:val="en-US"/>
        </w:rPr>
        <w:t xml:space="preserve">China and the </w:t>
      </w:r>
      <w:r w:rsidR="00F03653">
        <w:rPr>
          <w:lang w:val="en-US"/>
        </w:rPr>
        <w:t>US</w:t>
      </w:r>
      <w:r w:rsidR="00AB17BD" w:rsidRPr="00E14D8C">
        <w:rPr>
          <w:lang w:val="en-US"/>
        </w:rPr>
        <w:t xml:space="preserve"> already </w:t>
      </w:r>
      <w:r w:rsidR="00F03653">
        <w:rPr>
          <w:lang w:val="en-US"/>
        </w:rPr>
        <w:t>authorize</w:t>
      </w:r>
      <w:r w:rsidR="00AB17BD" w:rsidRPr="00E14D8C">
        <w:rPr>
          <w:lang w:val="en-US"/>
        </w:rPr>
        <w:t xml:space="preserve"> </w:t>
      </w:r>
      <w:r w:rsidR="000C3357">
        <w:rPr>
          <w:lang w:val="en-US"/>
        </w:rPr>
        <w:t>self-driving</w:t>
      </w:r>
      <w:r w:rsidR="000C3357" w:rsidRPr="00E14D8C">
        <w:rPr>
          <w:lang w:val="en-US"/>
        </w:rPr>
        <w:t xml:space="preserve"> </w:t>
      </w:r>
      <w:r w:rsidR="00AB17BD" w:rsidRPr="00E14D8C">
        <w:rPr>
          <w:lang w:val="en-US"/>
        </w:rPr>
        <w:t>cars within defined operational areas on public roads.</w:t>
      </w:r>
      <w:r w:rsidR="00C82BE3" w:rsidRPr="00E14D8C">
        <w:rPr>
          <w:rStyle w:val="FootnoteReference"/>
          <w:lang w:val="en-US"/>
        </w:rPr>
        <w:footnoteReference w:id="44"/>
      </w:r>
      <w:r w:rsidR="00AB17BD" w:rsidRPr="00E14D8C">
        <w:rPr>
          <w:lang w:val="en-US"/>
        </w:rPr>
        <w:t xml:space="preserve"> Most,</w:t>
      </w:r>
      <w:r w:rsidR="00C82BE3" w:rsidRPr="00E14D8C">
        <w:rPr>
          <w:rStyle w:val="FootnoteReference"/>
          <w:lang w:val="en-US"/>
        </w:rPr>
        <w:footnoteReference w:id="45"/>
      </w:r>
      <w:r w:rsidR="00AB17BD" w:rsidRPr="00E14D8C">
        <w:rPr>
          <w:lang w:val="en-US"/>
        </w:rPr>
        <w:t xml:space="preserve"> if not all,</w:t>
      </w:r>
      <w:r w:rsidR="00AB17BD" w:rsidRPr="00E14D8C">
        <w:rPr>
          <w:rStyle w:val="FootnoteReference"/>
          <w:lang w:val="en-US"/>
        </w:rPr>
        <w:footnoteReference w:id="46"/>
      </w:r>
      <w:r w:rsidR="00AB17BD" w:rsidRPr="00E14D8C">
        <w:rPr>
          <w:lang w:val="en-US"/>
        </w:rPr>
        <w:t xml:space="preserve"> of these legal systems</w:t>
      </w:r>
      <w:r w:rsidR="0041674D" w:rsidRPr="00E14D8C">
        <w:rPr>
          <w:lang w:val="en-US"/>
        </w:rPr>
        <w:t>,</w:t>
      </w:r>
      <w:r w:rsidR="00AB17BD" w:rsidRPr="00E14D8C">
        <w:rPr>
          <w:lang w:val="en-US"/>
        </w:rPr>
        <w:t xml:space="preserve"> have prescribed </w:t>
      </w:r>
      <w:r w:rsidR="00C82BE3" w:rsidRPr="00E14D8C">
        <w:rPr>
          <w:lang w:val="en-US"/>
        </w:rPr>
        <w:t>some rules</w:t>
      </w:r>
      <w:r w:rsidR="00AB17BD" w:rsidRPr="00E14D8C">
        <w:rPr>
          <w:lang w:val="en-US"/>
        </w:rPr>
        <w:t xml:space="preserve"> to</w:t>
      </w:r>
      <w:r w:rsidR="00AB17BD" w:rsidRPr="00E14D8C">
        <w:rPr>
          <w:lang w:val="en-US"/>
        </w:rPr>
        <w:t xml:space="preserve"> clarify the mechanism to determine the liability for </w:t>
      </w:r>
      <w:r w:rsidR="00D161D7" w:rsidRPr="00E14D8C">
        <w:rPr>
          <w:lang w:val="en-US"/>
        </w:rPr>
        <w:t>the harm</w:t>
      </w:r>
      <w:r w:rsidR="00AB17BD" w:rsidRPr="00E14D8C">
        <w:rPr>
          <w:lang w:val="en-US"/>
        </w:rPr>
        <w:t xml:space="preserve"> </w:t>
      </w:r>
      <w:r w:rsidR="00D161D7" w:rsidRPr="00E14D8C">
        <w:rPr>
          <w:lang w:val="en-US"/>
        </w:rPr>
        <w:t>caused by</w:t>
      </w:r>
      <w:r w:rsidR="00AB17BD" w:rsidRPr="00E14D8C">
        <w:rPr>
          <w:lang w:val="en-US"/>
        </w:rPr>
        <w:t xml:space="preserve"> such vehicles.</w:t>
      </w:r>
      <w:r w:rsidR="0053669E" w:rsidRPr="00E14D8C">
        <w:rPr>
          <w:lang w:val="en-US"/>
        </w:rPr>
        <w:t xml:space="preserve"> </w:t>
      </w:r>
      <w:r w:rsidR="00AB17BD" w:rsidRPr="00E14D8C">
        <w:rPr>
          <w:lang w:val="en-US"/>
        </w:rPr>
        <w:t xml:space="preserve">Others, such as the </w:t>
      </w:r>
      <w:r w:rsidR="00F03653">
        <w:rPr>
          <w:lang w:val="en-US"/>
        </w:rPr>
        <w:t>UK</w:t>
      </w:r>
      <w:r w:rsidR="00D161D7" w:rsidRPr="00E14D8C">
        <w:rPr>
          <w:lang w:val="en-US"/>
        </w:rPr>
        <w:t>,</w:t>
      </w:r>
      <w:r w:rsidR="00AB17BD" w:rsidRPr="00E14D8C">
        <w:rPr>
          <w:lang w:val="en-US"/>
        </w:rPr>
        <w:t xml:space="preserve"> </w:t>
      </w:r>
      <w:r w:rsidR="00743D3B" w:rsidRPr="00E14D8C">
        <w:rPr>
          <w:lang w:val="en-US"/>
        </w:rPr>
        <w:t xml:space="preserve">have </w:t>
      </w:r>
      <w:r w:rsidR="00816B5D" w:rsidRPr="00E14D8C">
        <w:rPr>
          <w:lang w:val="en-US"/>
        </w:rPr>
        <w:t>initiated the development of</w:t>
      </w:r>
      <w:r w:rsidR="00743D3B" w:rsidRPr="00E14D8C">
        <w:rPr>
          <w:lang w:val="en-US"/>
        </w:rPr>
        <w:t xml:space="preserve"> their legal principles to facilitate the </w:t>
      </w:r>
      <w:r w:rsidR="000604BD" w:rsidRPr="00E14D8C">
        <w:rPr>
          <w:lang w:val="en-US"/>
        </w:rPr>
        <w:t>operation</w:t>
      </w:r>
      <w:r w:rsidR="00743D3B" w:rsidRPr="00E14D8C">
        <w:rPr>
          <w:lang w:val="en-US"/>
        </w:rPr>
        <w:t xml:space="preserve"> of </w:t>
      </w:r>
      <w:r w:rsidR="000604BD" w:rsidRPr="00E14D8C">
        <w:rPr>
          <w:lang w:val="en-US"/>
        </w:rPr>
        <w:t xml:space="preserve">autonomous vehicles, including </w:t>
      </w:r>
      <w:r w:rsidR="000C3357">
        <w:rPr>
          <w:lang w:val="en-US"/>
        </w:rPr>
        <w:t>self-driving</w:t>
      </w:r>
      <w:r w:rsidR="000C3357" w:rsidRPr="00E14D8C">
        <w:rPr>
          <w:lang w:val="en-US"/>
        </w:rPr>
        <w:t xml:space="preserve"> </w:t>
      </w:r>
      <w:r w:rsidR="00D161D7" w:rsidRPr="00E14D8C">
        <w:rPr>
          <w:lang w:val="en-US"/>
        </w:rPr>
        <w:t>ones,</w:t>
      </w:r>
      <w:r w:rsidR="000604BD" w:rsidRPr="00E14D8C">
        <w:rPr>
          <w:lang w:val="en-US"/>
        </w:rPr>
        <w:t xml:space="preserve"> </w:t>
      </w:r>
      <w:r w:rsidR="00AB17BD" w:rsidRPr="00E14D8C">
        <w:rPr>
          <w:lang w:val="en-US"/>
        </w:rPr>
        <w:t>in the near future</w:t>
      </w:r>
      <w:r w:rsidR="00C57540" w:rsidRPr="00E14D8C">
        <w:rPr>
          <w:lang w:val="en-US"/>
        </w:rPr>
        <w:t>.</w:t>
      </w:r>
      <w:r w:rsidR="00C82BE3" w:rsidRPr="00E14D8C">
        <w:rPr>
          <w:rStyle w:val="FootnoteReference"/>
          <w:lang w:val="en-US"/>
        </w:rPr>
        <w:footnoteReference w:id="47"/>
      </w:r>
      <w:r w:rsidR="00C57540" w:rsidRPr="00E14D8C">
        <w:rPr>
          <w:lang w:val="en-US"/>
        </w:rPr>
        <w:t xml:space="preserve"> </w:t>
      </w:r>
    </w:p>
    <w:p w14:paraId="2AD6F7AA" w14:textId="13E80F6D" w:rsidR="009B7E1E" w:rsidRPr="00E14D8C" w:rsidRDefault="009B7E1E" w:rsidP="00A34E89">
      <w:pPr>
        <w:spacing w:line="360" w:lineRule="auto"/>
        <w:jc w:val="both"/>
        <w:rPr>
          <w:lang w:val="en-US"/>
        </w:rPr>
      </w:pPr>
    </w:p>
    <w:p w14:paraId="48A473D5" w14:textId="2CD2AF50" w:rsidR="009B7E1E" w:rsidRPr="00E14D8C" w:rsidRDefault="00B25AF2" w:rsidP="00280919">
      <w:pPr>
        <w:spacing w:line="360" w:lineRule="auto"/>
        <w:jc w:val="both"/>
        <w:rPr>
          <w:b/>
          <w:lang w:val="en-US"/>
        </w:rPr>
      </w:pPr>
      <w:r w:rsidRPr="00E14D8C">
        <w:rPr>
          <w:b/>
          <w:lang w:val="en-US"/>
        </w:rPr>
        <w:t xml:space="preserve">2.1.3.1 </w:t>
      </w:r>
      <w:r w:rsidR="001F5599" w:rsidRPr="00E14D8C">
        <w:rPr>
          <w:b/>
          <w:lang w:val="en-US"/>
        </w:rPr>
        <w:t xml:space="preserve">  </w:t>
      </w:r>
      <w:r w:rsidR="009B7E1E" w:rsidRPr="00E14D8C">
        <w:rPr>
          <w:b/>
          <w:lang w:val="en-US"/>
        </w:rPr>
        <w:t xml:space="preserve">Determining the Primary and Secondary Liability: </w:t>
      </w:r>
      <w:r w:rsidR="009B7E1E" w:rsidRPr="00E14D8C">
        <w:rPr>
          <w:b/>
          <w:lang w:val="en-US"/>
        </w:rPr>
        <w:t>General Trends</w:t>
      </w:r>
    </w:p>
    <w:p w14:paraId="31E34061" w14:textId="3B627DD6" w:rsidR="009B7E1E" w:rsidRPr="00E14D8C" w:rsidRDefault="00280919" w:rsidP="00280919">
      <w:pPr>
        <w:spacing w:line="360" w:lineRule="auto"/>
        <w:jc w:val="both"/>
        <w:rPr>
          <w:i/>
          <w:lang w:val="en-US"/>
        </w:rPr>
      </w:pPr>
      <w:r w:rsidRPr="00E14D8C">
        <w:rPr>
          <w:i/>
          <w:lang w:val="en-US"/>
        </w:rPr>
        <w:t xml:space="preserve">a. </w:t>
      </w:r>
      <w:r w:rsidR="009B7E1E" w:rsidRPr="00E14D8C">
        <w:rPr>
          <w:i/>
          <w:lang w:val="en-US"/>
        </w:rPr>
        <w:t xml:space="preserve">An </w:t>
      </w:r>
      <w:r w:rsidR="0041674D" w:rsidRPr="00E14D8C">
        <w:rPr>
          <w:i/>
          <w:lang w:val="en-US"/>
        </w:rPr>
        <w:t>Owner’s</w:t>
      </w:r>
      <w:r w:rsidR="009B7E1E" w:rsidRPr="00E14D8C">
        <w:rPr>
          <w:i/>
          <w:lang w:val="en-US"/>
        </w:rPr>
        <w:t xml:space="preserve"> Primary Liability </w:t>
      </w:r>
    </w:p>
    <w:p w14:paraId="5E1E9A00" w14:textId="67A512EB" w:rsidR="001A522A" w:rsidRPr="00E14D8C" w:rsidRDefault="00E757DD" w:rsidP="00A34E89">
      <w:pPr>
        <w:spacing w:line="360" w:lineRule="auto"/>
        <w:jc w:val="both"/>
        <w:rPr>
          <w:lang w:val="en-US"/>
        </w:rPr>
      </w:pPr>
      <w:r w:rsidRPr="00E14D8C">
        <w:rPr>
          <w:lang w:val="en-US"/>
        </w:rPr>
        <w:t>The general principle under the laws of most</w:t>
      </w:r>
      <w:r w:rsidRPr="00E14D8C">
        <w:rPr>
          <w:rStyle w:val="FootnoteReference"/>
          <w:lang w:val="en-US"/>
        </w:rPr>
        <w:footnoteReference w:id="48"/>
      </w:r>
      <w:r w:rsidRPr="00E14D8C">
        <w:rPr>
          <w:lang w:val="en-US"/>
        </w:rPr>
        <w:t xml:space="preserve"> of these legal systems is to hold owners</w:t>
      </w:r>
      <w:r w:rsidR="001A522A" w:rsidRPr="00E14D8C">
        <w:rPr>
          <w:lang w:val="en-US"/>
        </w:rPr>
        <w:t xml:space="preserve"> and, consequently, insurers</w:t>
      </w:r>
      <w:r w:rsidRPr="00E14D8C">
        <w:rPr>
          <w:lang w:val="en-US"/>
        </w:rPr>
        <w:t xml:space="preserve"> of </w:t>
      </w:r>
      <w:r w:rsidR="000C3357">
        <w:rPr>
          <w:lang w:val="en-US"/>
        </w:rPr>
        <w:t>self-driving</w:t>
      </w:r>
      <w:r w:rsidR="000C3357" w:rsidRPr="00E14D8C">
        <w:rPr>
          <w:lang w:val="en-US"/>
        </w:rPr>
        <w:t xml:space="preserve"> </w:t>
      </w:r>
      <w:r w:rsidRPr="00E14D8C">
        <w:rPr>
          <w:lang w:val="en-US"/>
        </w:rPr>
        <w:t>cars strictly liable under</w:t>
      </w:r>
      <w:r w:rsidR="00423580" w:rsidRPr="00E14D8C">
        <w:rPr>
          <w:lang w:val="en-US"/>
        </w:rPr>
        <w:t xml:space="preserve"> </w:t>
      </w:r>
      <w:r w:rsidRPr="00E14D8C">
        <w:rPr>
          <w:lang w:val="en-US"/>
        </w:rPr>
        <w:t xml:space="preserve">civil law for all road accidents caused by the use of </w:t>
      </w:r>
      <w:r w:rsidR="000C3357">
        <w:rPr>
          <w:lang w:val="en-US"/>
        </w:rPr>
        <w:t>self-driving</w:t>
      </w:r>
      <w:r w:rsidR="000C3357" w:rsidRPr="00E14D8C">
        <w:rPr>
          <w:lang w:val="en-US"/>
        </w:rPr>
        <w:t xml:space="preserve"> </w:t>
      </w:r>
      <w:r w:rsidRPr="00E14D8C">
        <w:rPr>
          <w:lang w:val="en-US"/>
        </w:rPr>
        <w:t>cars on public roads.</w:t>
      </w:r>
      <w:r w:rsidR="00C12976" w:rsidRPr="00E14D8C">
        <w:rPr>
          <w:rStyle w:val="FootnoteReference"/>
          <w:lang w:val="en-US"/>
        </w:rPr>
        <w:footnoteReference w:id="49"/>
      </w:r>
      <w:r w:rsidRPr="00E14D8C">
        <w:rPr>
          <w:lang w:val="en-US"/>
        </w:rPr>
        <w:t xml:space="preserve"> The fault or the negligence of the owner is, thus, irrelevant in determining its liability towards third parties for any harm in the form of bodily injuries or damage to property.</w:t>
      </w:r>
      <w:r w:rsidR="0053669E" w:rsidRPr="00E14D8C">
        <w:rPr>
          <w:lang w:val="en-US"/>
        </w:rPr>
        <w:t xml:space="preserve"> </w:t>
      </w:r>
      <w:r w:rsidR="001A522A" w:rsidRPr="00E14D8C">
        <w:rPr>
          <w:lang w:val="en-US"/>
        </w:rPr>
        <w:t>The liability of the producers of such vehicles is, in most circumstances,</w:t>
      </w:r>
      <w:r w:rsidR="001A522A" w:rsidRPr="00E14D8C">
        <w:rPr>
          <w:rStyle w:val="FootnoteReference"/>
          <w:lang w:val="en-US"/>
        </w:rPr>
        <w:footnoteReference w:id="50"/>
      </w:r>
      <w:r w:rsidR="001A522A" w:rsidRPr="00E14D8C">
        <w:rPr>
          <w:lang w:val="en-US"/>
        </w:rPr>
        <w:t xml:space="preserve"> secondary</w:t>
      </w:r>
      <w:r w:rsidR="00D56DAC" w:rsidRPr="00E14D8C">
        <w:rPr>
          <w:lang w:val="en-US"/>
        </w:rPr>
        <w:t>.</w:t>
      </w:r>
      <w:r w:rsidR="0053669E" w:rsidRPr="00E14D8C">
        <w:rPr>
          <w:lang w:val="en-US"/>
        </w:rPr>
        <w:t xml:space="preserve"> </w:t>
      </w:r>
      <w:r w:rsidR="00D56DAC" w:rsidRPr="00E14D8C">
        <w:rPr>
          <w:lang w:val="en-US"/>
        </w:rPr>
        <w:t>Owners may, thus, initiate (separate) proceedings against producers once they have fulfilled their liability towards aggrieved parties</w:t>
      </w:r>
      <w:r w:rsidR="001A522A" w:rsidRPr="00E14D8C">
        <w:t>.</w:t>
      </w:r>
      <w:r w:rsidR="00423580" w:rsidRPr="00E14D8C">
        <w:rPr>
          <w:rStyle w:val="FootnoteReference"/>
        </w:rPr>
        <w:footnoteReference w:id="51"/>
      </w:r>
      <w:r w:rsidR="001A522A" w:rsidRPr="00E14D8C">
        <w:t xml:space="preserve"> The approach is intended to facilitate prompt redress to victims without </w:t>
      </w:r>
      <w:r w:rsidR="00D161D7" w:rsidRPr="00E14D8C">
        <w:t>compelling them</w:t>
      </w:r>
      <w:r w:rsidR="001A522A" w:rsidRPr="00E14D8C">
        <w:t xml:space="preserve"> to deal with technicalities involved in proving the existence of defects in the vehicle. </w:t>
      </w:r>
    </w:p>
    <w:p w14:paraId="30F9C6AB" w14:textId="425143C3" w:rsidR="00AA24CD" w:rsidRPr="00E14D8C" w:rsidRDefault="001A522A" w:rsidP="00A34E89">
      <w:pPr>
        <w:spacing w:line="360" w:lineRule="auto"/>
        <w:jc w:val="both"/>
        <w:rPr>
          <w:lang w:val="en-US"/>
        </w:rPr>
      </w:pPr>
      <w:r w:rsidRPr="00E14D8C">
        <w:rPr>
          <w:lang w:val="en-US"/>
        </w:rPr>
        <w:lastRenderedPageBreak/>
        <w:t xml:space="preserve">      </w:t>
      </w:r>
      <w:r w:rsidR="00D56DAC" w:rsidRPr="00E14D8C">
        <w:rPr>
          <w:lang w:val="en-US"/>
        </w:rPr>
        <w:t>In this respect</w:t>
      </w:r>
      <w:r w:rsidR="00E757DD" w:rsidRPr="00E14D8C">
        <w:rPr>
          <w:lang w:val="en-US"/>
        </w:rPr>
        <w:t>, t</w:t>
      </w:r>
      <w:r w:rsidR="00B67E3F" w:rsidRPr="00E14D8C">
        <w:rPr>
          <w:lang w:val="en-US"/>
        </w:rPr>
        <w:t>he</w:t>
      </w:r>
      <w:r w:rsidR="00AB17BD" w:rsidRPr="00E14D8C">
        <w:rPr>
          <w:lang w:val="en-US"/>
        </w:rPr>
        <w:t xml:space="preserve"> </w:t>
      </w:r>
      <w:r w:rsidR="00B67E3F" w:rsidRPr="00E14D8C">
        <w:rPr>
          <w:lang w:val="en-US"/>
        </w:rPr>
        <w:t>recent</w:t>
      </w:r>
      <w:r w:rsidR="00C9552A" w:rsidRPr="00E14D8C">
        <w:rPr>
          <w:lang w:val="en-US"/>
        </w:rPr>
        <w:t xml:space="preserve"> </w:t>
      </w:r>
      <w:r w:rsidR="00AA24CD" w:rsidRPr="00E14D8C">
        <w:rPr>
          <w:lang w:val="en-US"/>
        </w:rPr>
        <w:t>developments in Germany and China</w:t>
      </w:r>
      <w:r w:rsidR="00C9552A" w:rsidRPr="00E14D8C">
        <w:rPr>
          <w:lang w:val="en-US"/>
        </w:rPr>
        <w:t xml:space="preserve"> </w:t>
      </w:r>
      <w:r w:rsidR="00EC6880" w:rsidRPr="00E14D8C">
        <w:t xml:space="preserve">that </w:t>
      </w:r>
      <w:r w:rsidR="00C9552A" w:rsidRPr="00E14D8C">
        <w:t xml:space="preserve">endeavour to regulate the operation of </w:t>
      </w:r>
      <w:r w:rsidR="00EC6880" w:rsidRPr="00E14D8C">
        <w:t xml:space="preserve">self-driving cars </w:t>
      </w:r>
      <w:r w:rsidR="0041674D" w:rsidRPr="00E14D8C">
        <w:rPr>
          <w:lang w:val="en-US"/>
        </w:rPr>
        <w:t>deserves</w:t>
      </w:r>
      <w:r w:rsidR="00B67E3F" w:rsidRPr="00E14D8C">
        <w:rPr>
          <w:lang w:val="en-US"/>
        </w:rPr>
        <w:t xml:space="preserve"> mention for </w:t>
      </w:r>
      <w:r w:rsidR="00E757DD" w:rsidRPr="00E14D8C">
        <w:rPr>
          <w:lang w:val="en-US"/>
        </w:rPr>
        <w:t>succinctly elaborating</w:t>
      </w:r>
      <w:r w:rsidR="00745468" w:rsidRPr="00E14D8C">
        <w:rPr>
          <w:lang w:val="en-US"/>
        </w:rPr>
        <w:t xml:space="preserve"> the rights and </w:t>
      </w:r>
      <w:r w:rsidR="00E757DD" w:rsidRPr="00E14D8C">
        <w:rPr>
          <w:lang w:val="en-US"/>
        </w:rPr>
        <w:t>obligations</w:t>
      </w:r>
      <w:r w:rsidR="00745468" w:rsidRPr="00E14D8C">
        <w:rPr>
          <w:lang w:val="en-US"/>
        </w:rPr>
        <w:t xml:space="preserve"> of owners and producers </w:t>
      </w:r>
      <w:r w:rsidR="00B67E3F" w:rsidRPr="00E14D8C">
        <w:rPr>
          <w:lang w:val="en-US"/>
        </w:rPr>
        <w:t xml:space="preserve">for any harm caused by </w:t>
      </w:r>
      <w:r w:rsidR="00745468" w:rsidRPr="00E14D8C">
        <w:rPr>
          <w:lang w:val="en-US"/>
        </w:rPr>
        <w:t>such vehicles</w:t>
      </w:r>
      <w:r w:rsidR="00E757DD" w:rsidRPr="00E14D8C">
        <w:rPr>
          <w:lang w:val="en-US"/>
        </w:rPr>
        <w:t xml:space="preserve"> in a holistic manner</w:t>
      </w:r>
      <w:r w:rsidR="00745468" w:rsidRPr="00E14D8C">
        <w:rPr>
          <w:lang w:val="en-US"/>
        </w:rPr>
        <w:t xml:space="preserve">. </w:t>
      </w:r>
      <w:r w:rsidR="00E757DD" w:rsidRPr="00E14D8C">
        <w:rPr>
          <w:lang w:val="en-US"/>
        </w:rPr>
        <w:t xml:space="preserve">Unlike the </w:t>
      </w:r>
      <w:r w:rsidR="00AA24CD" w:rsidRPr="00E14D8C">
        <w:rPr>
          <w:lang w:val="en-US"/>
        </w:rPr>
        <w:t>laws</w:t>
      </w:r>
      <w:r w:rsidR="00E757DD" w:rsidRPr="00E14D8C">
        <w:rPr>
          <w:lang w:val="en-US"/>
        </w:rPr>
        <w:t xml:space="preserve"> of other legal systems such as France</w:t>
      </w:r>
      <w:r w:rsidR="00AA24CD" w:rsidRPr="00E14D8C">
        <w:rPr>
          <w:lang w:val="en-US"/>
        </w:rPr>
        <w:t xml:space="preserve"> and</w:t>
      </w:r>
      <w:r w:rsidR="00E757DD" w:rsidRPr="00E14D8C">
        <w:rPr>
          <w:lang w:val="en-US"/>
        </w:rPr>
        <w:t xml:space="preserve"> the </w:t>
      </w:r>
      <w:r w:rsidR="00F03653">
        <w:rPr>
          <w:lang w:val="en-US"/>
        </w:rPr>
        <w:t>UK</w:t>
      </w:r>
      <w:r w:rsidR="00E757DD" w:rsidRPr="00E14D8C">
        <w:rPr>
          <w:lang w:val="en-US"/>
        </w:rPr>
        <w:t xml:space="preserve"> that necessitate the application of </w:t>
      </w:r>
      <w:r w:rsidR="00A80695" w:rsidRPr="00E14D8C">
        <w:rPr>
          <w:lang w:val="en-US"/>
        </w:rPr>
        <w:t>the general principles of data protection and</w:t>
      </w:r>
      <w:r w:rsidR="00C12976" w:rsidRPr="00E14D8C">
        <w:rPr>
          <w:lang w:val="en-US"/>
        </w:rPr>
        <w:t>/or</w:t>
      </w:r>
      <w:r w:rsidR="00A80695" w:rsidRPr="00E14D8C">
        <w:rPr>
          <w:lang w:val="en-US"/>
        </w:rPr>
        <w:t xml:space="preserve"> product liability to ascertain the </w:t>
      </w:r>
      <w:r w:rsidR="00C12976" w:rsidRPr="00E14D8C">
        <w:rPr>
          <w:lang w:val="en-US"/>
        </w:rPr>
        <w:t xml:space="preserve">liability and </w:t>
      </w:r>
      <w:r w:rsidR="00A80695" w:rsidRPr="00E14D8C">
        <w:rPr>
          <w:lang w:val="en-US"/>
        </w:rPr>
        <w:t xml:space="preserve">consequences of </w:t>
      </w:r>
      <w:r w:rsidR="00C12976" w:rsidRPr="00E14D8C">
        <w:rPr>
          <w:lang w:val="en-US"/>
        </w:rPr>
        <w:t xml:space="preserve">the </w:t>
      </w:r>
      <w:r w:rsidR="00A80695" w:rsidRPr="00E14D8C">
        <w:rPr>
          <w:lang w:val="en-US"/>
        </w:rPr>
        <w:t xml:space="preserve">harm </w:t>
      </w:r>
      <w:r w:rsidR="00C12976" w:rsidRPr="00E14D8C">
        <w:rPr>
          <w:lang w:val="en-US"/>
        </w:rPr>
        <w:t>that any person may have sustained</w:t>
      </w:r>
      <w:r w:rsidR="00A80695" w:rsidRPr="00E14D8C">
        <w:rPr>
          <w:lang w:val="en-US"/>
        </w:rPr>
        <w:t xml:space="preserve"> </w:t>
      </w:r>
      <w:r w:rsidR="00C12976" w:rsidRPr="00E14D8C">
        <w:rPr>
          <w:lang w:val="en-US"/>
        </w:rPr>
        <w:t>due to improper processing of the data</w:t>
      </w:r>
      <w:r w:rsidR="00A80695" w:rsidRPr="00E14D8C">
        <w:rPr>
          <w:lang w:val="en-US"/>
        </w:rPr>
        <w:t xml:space="preserve"> or a defect in the car, </w:t>
      </w:r>
      <w:r w:rsidR="00AA24CD" w:rsidRPr="00E14D8C">
        <w:rPr>
          <w:lang w:val="en-US"/>
        </w:rPr>
        <w:t>the legal principles of Germany</w:t>
      </w:r>
      <w:r w:rsidR="00AA24CD" w:rsidRPr="00E14D8C">
        <w:rPr>
          <w:rStyle w:val="FootnoteReference"/>
          <w:lang w:val="en-US"/>
        </w:rPr>
        <w:footnoteReference w:id="52"/>
      </w:r>
      <w:r w:rsidR="00AA24CD" w:rsidRPr="00E14D8C">
        <w:rPr>
          <w:lang w:val="en-US"/>
        </w:rPr>
        <w:t xml:space="preserve"> and some states in China</w:t>
      </w:r>
      <w:r w:rsidR="00AA24CD" w:rsidRPr="00E14D8C">
        <w:rPr>
          <w:rStyle w:val="FootnoteReference"/>
          <w:lang w:val="en-US"/>
        </w:rPr>
        <w:footnoteReference w:id="53"/>
      </w:r>
      <w:r w:rsidR="00A80695" w:rsidRPr="00E14D8C">
        <w:rPr>
          <w:lang w:val="en-US"/>
        </w:rPr>
        <w:t xml:space="preserve"> clarif</w:t>
      </w:r>
      <w:r w:rsidR="00AA24CD" w:rsidRPr="00E14D8C">
        <w:rPr>
          <w:lang w:val="en-US"/>
        </w:rPr>
        <w:t>y</w:t>
      </w:r>
      <w:r w:rsidR="00A80695" w:rsidRPr="00E14D8C">
        <w:rPr>
          <w:lang w:val="en-US"/>
        </w:rPr>
        <w:t xml:space="preserve"> the nuances of such injuries </w:t>
      </w:r>
      <w:r w:rsidR="00AA24CD" w:rsidRPr="00E14D8C">
        <w:rPr>
          <w:lang w:val="en-US"/>
        </w:rPr>
        <w:t>in a (comparatively) comprehensive manner</w:t>
      </w:r>
      <w:r w:rsidR="00A80695" w:rsidRPr="00E14D8C">
        <w:rPr>
          <w:lang w:val="en-US"/>
        </w:rPr>
        <w:t xml:space="preserve">. </w:t>
      </w:r>
    </w:p>
    <w:p w14:paraId="09CC1013" w14:textId="4C046C22" w:rsidR="00C12976" w:rsidRPr="00E14D8C" w:rsidRDefault="00AA24CD" w:rsidP="00A34E89">
      <w:pPr>
        <w:spacing w:line="360" w:lineRule="auto"/>
        <w:jc w:val="both"/>
      </w:pPr>
      <w:r w:rsidRPr="00E14D8C">
        <w:t xml:space="preserve">       </w:t>
      </w:r>
      <w:r w:rsidR="00D56DAC" w:rsidRPr="00E14D8C">
        <w:t>T</w:t>
      </w:r>
      <w:r w:rsidRPr="00E14D8C">
        <w:t xml:space="preserve">he recent amendments to </w:t>
      </w:r>
      <w:r w:rsidR="0041674D" w:rsidRPr="00E14D8C">
        <w:t>Germany’s</w:t>
      </w:r>
      <w:r w:rsidRPr="00E14D8C">
        <w:t xml:space="preserve"> </w:t>
      </w:r>
      <w:r w:rsidRPr="00E14D8C">
        <w:t xml:space="preserve">Road Traffic Act or the </w:t>
      </w:r>
      <w:proofErr w:type="spellStart"/>
      <w:r w:rsidRPr="00E14D8C">
        <w:t>Straßenverkehrsgesetz</w:t>
      </w:r>
      <w:proofErr w:type="spellEnd"/>
      <w:r w:rsidRPr="00E14D8C">
        <w:t xml:space="preserve"> (</w:t>
      </w:r>
      <w:proofErr w:type="spellStart"/>
      <w:r w:rsidRPr="00E14D8C">
        <w:t>StVG</w:t>
      </w:r>
      <w:proofErr w:type="spellEnd"/>
      <w:r w:rsidRPr="00E14D8C">
        <w:t>)</w:t>
      </w:r>
      <w:r w:rsidR="00D56DAC" w:rsidRPr="00E14D8C">
        <w:t xml:space="preserve"> hold the </w:t>
      </w:r>
      <w:r w:rsidRPr="00E14D8C">
        <w:t>p</w:t>
      </w:r>
      <w:r w:rsidR="001A522A" w:rsidRPr="00E14D8C">
        <w:t xml:space="preserve">roducer </w:t>
      </w:r>
      <w:r w:rsidR="00D56DAC" w:rsidRPr="00E14D8C">
        <w:t>responsible</w:t>
      </w:r>
      <w:r w:rsidRPr="00E14D8C">
        <w:t xml:space="preserve"> for injuries </w:t>
      </w:r>
      <w:r w:rsidR="00D56DAC" w:rsidRPr="00E14D8C">
        <w:t>that are attributable to</w:t>
      </w:r>
      <w:r w:rsidRPr="00E14D8C">
        <w:t xml:space="preserve"> a failure on their part </w:t>
      </w:r>
      <w:r w:rsidR="00C12976" w:rsidRPr="00E14D8C">
        <w:t xml:space="preserve">to </w:t>
      </w:r>
      <w:r w:rsidR="00C12976" w:rsidRPr="00E14D8C">
        <w:rPr>
          <w:lang w:val="en-US"/>
        </w:rPr>
        <w:t xml:space="preserve">train </w:t>
      </w:r>
      <w:r w:rsidR="00D56DAC" w:rsidRPr="00E14D8C">
        <w:rPr>
          <w:lang w:val="en-US"/>
        </w:rPr>
        <w:t xml:space="preserve">the </w:t>
      </w:r>
      <w:r w:rsidR="001A522A" w:rsidRPr="00E14D8C">
        <w:rPr>
          <w:lang w:val="en-US"/>
        </w:rPr>
        <w:t>owner</w:t>
      </w:r>
      <w:r w:rsidR="00C12976" w:rsidRPr="00E14D8C">
        <w:rPr>
          <w:lang w:val="en-US"/>
        </w:rPr>
        <w:t xml:space="preserve"> </w:t>
      </w:r>
      <w:r w:rsidR="001A522A" w:rsidRPr="00E14D8C">
        <w:rPr>
          <w:lang w:val="en-US"/>
        </w:rPr>
        <w:t>regarding</w:t>
      </w:r>
      <w:r w:rsidR="00C12976" w:rsidRPr="00E14D8C">
        <w:rPr>
          <w:lang w:val="en-US"/>
        </w:rPr>
        <w:t xml:space="preserve"> the appropriate</w:t>
      </w:r>
      <w:r w:rsidR="00C12976" w:rsidRPr="00E14D8C">
        <w:rPr>
          <w:lang w:val="en-US"/>
        </w:rPr>
        <w:t xml:space="preserve"> functioning of the vehicle </w:t>
      </w:r>
      <w:r w:rsidR="00C12976" w:rsidRPr="00E14D8C">
        <w:t xml:space="preserve">and the manner in which the </w:t>
      </w:r>
      <w:r w:rsidR="00C12976" w:rsidRPr="00E14D8C">
        <w:t xml:space="preserve">latter may perform the </w:t>
      </w:r>
      <w:r w:rsidR="00C12976" w:rsidRPr="00E14D8C">
        <w:t xml:space="preserve">necessary driving manoeuvres </w:t>
      </w:r>
      <w:r w:rsidR="00C12976" w:rsidRPr="00E14D8C">
        <w:t>when needed</w:t>
      </w:r>
      <w:r w:rsidR="00D56DAC" w:rsidRPr="00E14D8C">
        <w:t>.</w:t>
      </w:r>
      <w:r w:rsidR="00C12976" w:rsidRPr="00E14D8C">
        <w:rPr>
          <w:rStyle w:val="FootnoteReference"/>
          <w:lang w:val="en-US"/>
        </w:rPr>
        <w:footnoteReference w:id="54"/>
      </w:r>
      <w:r w:rsidR="00C12976" w:rsidRPr="00E14D8C">
        <w:t xml:space="preserve"> </w:t>
      </w:r>
      <w:r w:rsidR="00D56DAC" w:rsidRPr="00E14D8C">
        <w:t>Producers must correspondingly</w:t>
      </w:r>
      <w:r w:rsidR="00C12976" w:rsidRPr="00E14D8C">
        <w:t xml:space="preserve"> </w:t>
      </w:r>
      <w:r w:rsidR="00D161D7" w:rsidRPr="00E14D8C">
        <w:t xml:space="preserve">ensure </w:t>
      </w:r>
      <w:r w:rsidR="00C12976" w:rsidRPr="00E14D8C">
        <w:rPr>
          <w:lang w:val="en-US"/>
        </w:rPr>
        <w:t xml:space="preserve">that the </w:t>
      </w:r>
      <w:r w:rsidR="00C12976" w:rsidRPr="00E14D8C">
        <w:rPr>
          <w:lang w:val="en-US"/>
        </w:rPr>
        <w:t>electronic architecture of the car and its technical system</w:t>
      </w:r>
      <w:r w:rsidR="00C12976" w:rsidRPr="00E14D8C">
        <w:rPr>
          <w:lang w:val="en-US"/>
        </w:rPr>
        <w:t xml:space="preserve"> </w:t>
      </w:r>
      <w:r w:rsidR="00D161D7" w:rsidRPr="00E14D8C">
        <w:rPr>
          <w:lang w:val="en-US"/>
        </w:rPr>
        <w:t>have</w:t>
      </w:r>
      <w:r w:rsidR="00C12976" w:rsidRPr="00E14D8C">
        <w:rPr>
          <w:lang w:val="en-US"/>
        </w:rPr>
        <w:t xml:space="preserve"> been secured from potential threats</w:t>
      </w:r>
      <w:r w:rsidR="00D56DAC" w:rsidRPr="00E14D8C">
        <w:rPr>
          <w:lang w:val="en-US"/>
        </w:rPr>
        <w:t xml:space="preserve"> to the privacy of its users.</w:t>
      </w:r>
      <w:r w:rsidR="00C12976" w:rsidRPr="00E14D8C">
        <w:rPr>
          <w:rStyle w:val="FootnoteReference"/>
          <w:lang w:val="en-US"/>
        </w:rPr>
        <w:footnoteReference w:id="55"/>
      </w:r>
      <w:r w:rsidR="00C12976" w:rsidRPr="00E14D8C">
        <w:rPr>
          <w:lang w:val="en-US"/>
        </w:rPr>
        <w:t xml:space="preserve"> </w:t>
      </w:r>
      <w:r w:rsidR="0089757F" w:rsidRPr="00E14D8C">
        <w:rPr>
          <w:lang w:val="en-US"/>
        </w:rPr>
        <w:t>There apart</w:t>
      </w:r>
      <w:r w:rsidR="001A522A" w:rsidRPr="00E14D8C">
        <w:rPr>
          <w:lang w:val="en-US"/>
        </w:rPr>
        <w:t xml:space="preserve">, producers of such vehicles would </w:t>
      </w:r>
      <w:r w:rsidR="0089757F" w:rsidRPr="00E14D8C">
        <w:rPr>
          <w:lang w:val="en-US"/>
        </w:rPr>
        <w:t xml:space="preserve">also </w:t>
      </w:r>
      <w:r w:rsidR="001A522A" w:rsidRPr="00E14D8C">
        <w:rPr>
          <w:lang w:val="en-US"/>
        </w:rPr>
        <w:t xml:space="preserve">be liable </w:t>
      </w:r>
      <w:r w:rsidR="00D56DAC" w:rsidRPr="00E14D8C">
        <w:rPr>
          <w:lang w:val="en-US"/>
        </w:rPr>
        <w:t xml:space="preserve">under German law </w:t>
      </w:r>
      <w:r w:rsidR="001A522A" w:rsidRPr="00E14D8C">
        <w:rPr>
          <w:lang w:val="en-US"/>
        </w:rPr>
        <w:t xml:space="preserve">under the provisions of the Product Liability Directive for all bodily injuries or damage to property caused by a defect in the </w:t>
      </w:r>
      <w:r w:rsidR="000C3357">
        <w:rPr>
          <w:lang w:val="en-US"/>
        </w:rPr>
        <w:t>self-driving</w:t>
      </w:r>
      <w:r w:rsidR="000C3357" w:rsidRPr="00E14D8C">
        <w:rPr>
          <w:lang w:val="en-US"/>
        </w:rPr>
        <w:t xml:space="preserve"> </w:t>
      </w:r>
      <w:r w:rsidR="001A522A" w:rsidRPr="00E14D8C">
        <w:rPr>
          <w:lang w:val="en-US"/>
        </w:rPr>
        <w:t>car or its design.</w:t>
      </w:r>
      <w:r w:rsidR="001A522A" w:rsidRPr="00E14D8C">
        <w:rPr>
          <w:rStyle w:val="FootnoteReference"/>
          <w:lang w:val="en-US"/>
        </w:rPr>
        <w:footnoteReference w:id="56"/>
      </w:r>
      <w:r w:rsidR="001A522A" w:rsidRPr="00E14D8C">
        <w:rPr>
          <w:lang w:val="en-US"/>
        </w:rPr>
        <w:t xml:space="preserve"> </w:t>
      </w:r>
      <w:r w:rsidR="00D56DAC" w:rsidRPr="00E14D8C">
        <w:rPr>
          <w:lang w:val="en-US"/>
        </w:rPr>
        <w:t>Owners are generally liable for all other harm outside these parameters.</w:t>
      </w:r>
      <w:r w:rsidR="0053669E" w:rsidRPr="00E14D8C">
        <w:rPr>
          <w:lang w:val="en-US"/>
        </w:rPr>
        <w:t xml:space="preserve"> </w:t>
      </w:r>
      <w:r w:rsidR="00D56DAC" w:rsidRPr="00E14D8C">
        <w:rPr>
          <w:lang w:val="en-US"/>
        </w:rPr>
        <w:t>Therefore, owners are</w:t>
      </w:r>
      <w:r w:rsidR="00C12976" w:rsidRPr="00E14D8C">
        <w:rPr>
          <w:lang w:val="en-US"/>
        </w:rPr>
        <w:t xml:space="preserve"> </w:t>
      </w:r>
      <w:r w:rsidR="00D161D7" w:rsidRPr="00E14D8C">
        <w:rPr>
          <w:lang w:val="en-US"/>
        </w:rPr>
        <w:t>responsible</w:t>
      </w:r>
      <w:r w:rsidR="00D56DAC" w:rsidRPr="00E14D8C">
        <w:rPr>
          <w:lang w:val="en-US"/>
        </w:rPr>
        <w:t xml:space="preserve"> for any harm as a result of a failure on their part to</w:t>
      </w:r>
      <w:r w:rsidR="00D161D7" w:rsidRPr="00E14D8C">
        <w:rPr>
          <w:lang w:val="en-US"/>
        </w:rPr>
        <w:t>:</w:t>
      </w:r>
      <w:r w:rsidR="00D56DAC" w:rsidRPr="00E14D8C">
        <w:rPr>
          <w:lang w:val="en-US"/>
        </w:rPr>
        <w:t xml:space="preserve"> </w:t>
      </w:r>
      <w:r w:rsidR="00D161D7" w:rsidRPr="00E14D8C">
        <w:rPr>
          <w:lang w:val="en-US"/>
        </w:rPr>
        <w:t xml:space="preserve">a) </w:t>
      </w:r>
      <w:r w:rsidR="00C12976" w:rsidRPr="00E14D8C">
        <w:rPr>
          <w:lang w:val="en-US"/>
        </w:rPr>
        <w:t xml:space="preserve">monitor </w:t>
      </w:r>
      <w:r w:rsidR="00C12976" w:rsidRPr="00E14D8C">
        <w:t xml:space="preserve">the general roadworthiness </w:t>
      </w:r>
      <w:r w:rsidR="00D56DAC" w:rsidRPr="00E14D8C">
        <w:t xml:space="preserve">of the vehicle </w:t>
      </w:r>
      <w:r w:rsidR="00C12976" w:rsidRPr="00E14D8C">
        <w:t xml:space="preserve">through the </w:t>
      </w:r>
      <w:r w:rsidR="00C12976" w:rsidRPr="00E14D8C">
        <w:t>regular maintenance of the autonomous driving systems [ADS]</w:t>
      </w:r>
      <w:r w:rsidR="00C12976" w:rsidRPr="00E14D8C">
        <w:t>;</w:t>
      </w:r>
      <w:r w:rsidR="00C12976" w:rsidRPr="00E14D8C">
        <w:rPr>
          <w:rStyle w:val="FootnoteReference"/>
        </w:rPr>
        <w:footnoteReference w:id="57"/>
      </w:r>
      <w:r w:rsidR="00C12976" w:rsidRPr="00E14D8C">
        <w:t xml:space="preserve"> </w:t>
      </w:r>
      <w:r w:rsidR="00D161D7" w:rsidRPr="00E14D8C">
        <w:t xml:space="preserve">b) </w:t>
      </w:r>
      <w:r w:rsidR="00C12976" w:rsidRPr="00E14D8C">
        <w:t xml:space="preserve">ensure that the data stored in the technical system is </w:t>
      </w:r>
      <w:r w:rsidR="00D161D7" w:rsidRPr="00E14D8C">
        <w:t>appropriately processed</w:t>
      </w:r>
      <w:r w:rsidR="00C12976" w:rsidRPr="00E14D8C">
        <w:t xml:space="preserve"> </w:t>
      </w:r>
      <w:r w:rsidR="00D161D7" w:rsidRPr="00E14D8C">
        <w:t>to</w:t>
      </w:r>
      <w:r w:rsidR="00C12976" w:rsidRPr="00E14D8C">
        <w:t xml:space="preserve"> protect the information stored therein from being misused, lost or stolen;</w:t>
      </w:r>
      <w:r w:rsidR="00C12976" w:rsidRPr="00E14D8C">
        <w:rPr>
          <w:rStyle w:val="FootnoteReference"/>
        </w:rPr>
        <w:footnoteReference w:id="58"/>
      </w:r>
      <w:r w:rsidR="00C12976" w:rsidRPr="00E14D8C">
        <w:t xml:space="preserve"> and </w:t>
      </w:r>
      <w:r w:rsidR="00D161D7" w:rsidRPr="00E14D8C">
        <w:t xml:space="preserve">c) </w:t>
      </w:r>
      <w:r w:rsidR="00C12976" w:rsidRPr="00E14D8C">
        <w:t xml:space="preserve">conduct the necessary technical </w:t>
      </w:r>
      <w:r w:rsidR="00C12976" w:rsidRPr="00E14D8C">
        <w:t>manoeuvres</w:t>
      </w:r>
      <w:r w:rsidR="00C12976" w:rsidRPr="00E14D8C">
        <w:t xml:space="preserve"> that may be necessary to </w:t>
      </w:r>
      <w:r w:rsidR="001A522A" w:rsidRPr="00E14D8C">
        <w:t>safeguard third parties from any risk</w:t>
      </w:r>
      <w:r w:rsidR="00C12976" w:rsidRPr="00E14D8C">
        <w:t>.</w:t>
      </w:r>
      <w:r w:rsidR="00C12976" w:rsidRPr="00E14D8C">
        <w:rPr>
          <w:rStyle w:val="FootnoteReference"/>
        </w:rPr>
        <w:footnoteReference w:id="59"/>
      </w:r>
      <w:r w:rsidR="00C12976" w:rsidRPr="00E14D8C">
        <w:t xml:space="preserve"> </w:t>
      </w:r>
    </w:p>
    <w:p w14:paraId="6B9A4404" w14:textId="5E7BB43D" w:rsidR="00AA24CD" w:rsidRPr="00E14D8C" w:rsidRDefault="00AA24CD" w:rsidP="00A34E89">
      <w:pPr>
        <w:spacing w:line="360" w:lineRule="auto"/>
        <w:jc w:val="both"/>
        <w:rPr>
          <w:lang w:val="en-US"/>
        </w:rPr>
      </w:pPr>
      <w:r w:rsidRPr="00E14D8C">
        <w:rPr>
          <w:lang w:val="en-US"/>
        </w:rPr>
        <w:lastRenderedPageBreak/>
        <w:t xml:space="preserve">        </w:t>
      </w:r>
      <w:r w:rsidRPr="00E14D8C">
        <w:t>In a related vein, in the absence of a coherent national regulation on the subject,</w:t>
      </w:r>
      <w:r w:rsidRPr="00E14D8C">
        <w:rPr>
          <w:rStyle w:val="FootnoteReference"/>
        </w:rPr>
        <w:footnoteReference w:id="60"/>
      </w:r>
      <w:r w:rsidRPr="00E14D8C">
        <w:t xml:space="preserve"> the local standards of some states in China, such as </w:t>
      </w:r>
      <w:r w:rsidRPr="00E14D8C">
        <w:t>Shanghai</w:t>
      </w:r>
      <w:r w:rsidR="00D161D7" w:rsidRPr="00E14D8C">
        <w:t>,</w:t>
      </w:r>
      <w:r w:rsidRPr="00E14D8C">
        <w:t xml:space="preserve"> hold the owners of </w:t>
      </w:r>
      <w:r w:rsidR="0041674D" w:rsidRPr="00E14D8C">
        <w:t>‘</w:t>
      </w:r>
      <w:r w:rsidR="00636ED4" w:rsidRPr="00E14D8C">
        <w:t>intelligently networked vehicles</w:t>
      </w:r>
      <w:r w:rsidR="0041674D" w:rsidRPr="00E14D8C">
        <w:t>’</w:t>
      </w:r>
      <w:r w:rsidRPr="00E14D8C">
        <w:t xml:space="preserve"> as primarily liable under the no-fault liability regime for most </w:t>
      </w:r>
      <w:r w:rsidRPr="00E14D8C">
        <w:t>harm</w:t>
      </w:r>
      <w:r w:rsidRPr="00E14D8C">
        <w:t xml:space="preserve"> attributable to their use</w:t>
      </w:r>
      <w:r w:rsidRPr="00E14D8C">
        <w:t xml:space="preserve"> – including that which may have been caused as a result of a data security breach</w:t>
      </w:r>
      <w:r w:rsidRPr="00E14D8C">
        <w:t>.</w:t>
      </w:r>
      <w:r w:rsidRPr="00E14D8C">
        <w:rPr>
          <w:rStyle w:val="FootnoteReference"/>
        </w:rPr>
        <w:footnoteReference w:id="61"/>
      </w:r>
      <w:r w:rsidRPr="00E14D8C">
        <w:t xml:space="preserve"> </w:t>
      </w:r>
      <w:r w:rsidR="00EF7335" w:rsidRPr="00E14D8C">
        <w:t>However, manufacturers</w:t>
      </w:r>
      <w:r w:rsidRPr="00E14D8C">
        <w:t xml:space="preserve"> of such vehicles would be directly liable for </w:t>
      </w:r>
      <w:r w:rsidR="00636ED4" w:rsidRPr="00E14D8C">
        <w:t>any damage caused by a defect in the vehicle</w:t>
      </w:r>
      <w:r w:rsidRPr="00E14D8C">
        <w:t>.</w:t>
      </w:r>
      <w:r w:rsidRPr="00E14D8C">
        <w:rPr>
          <w:rStyle w:val="FootnoteReference"/>
        </w:rPr>
        <w:footnoteReference w:id="62"/>
      </w:r>
      <w:r w:rsidR="001E3BC1" w:rsidRPr="00E14D8C">
        <w:t xml:space="preserve"> </w:t>
      </w:r>
    </w:p>
    <w:p w14:paraId="41955B5F" w14:textId="2118E6B8" w:rsidR="001A7B6A" w:rsidRPr="00E14D8C" w:rsidRDefault="0018189D" w:rsidP="00A34E89">
      <w:pPr>
        <w:spacing w:line="360" w:lineRule="auto"/>
        <w:jc w:val="both"/>
      </w:pPr>
      <w:r w:rsidRPr="00E14D8C">
        <w:t xml:space="preserve">         </w:t>
      </w:r>
      <w:r w:rsidR="000B24F6" w:rsidRPr="00E14D8C">
        <w:t>F</w:t>
      </w:r>
      <w:r w:rsidR="001A522A" w:rsidRPr="00E14D8C">
        <w:t xml:space="preserve">rench law similarly holds </w:t>
      </w:r>
      <w:r w:rsidR="001A522A" w:rsidRPr="00E14D8C">
        <w:t>owners and, consequently, insurers</w:t>
      </w:r>
      <w:r w:rsidR="001A522A" w:rsidRPr="00E14D8C">
        <w:t xml:space="preserve"> of </w:t>
      </w:r>
      <w:r w:rsidR="000C3357">
        <w:rPr>
          <w:lang w:val="en-US"/>
        </w:rPr>
        <w:t>self-driving</w:t>
      </w:r>
      <w:r w:rsidR="000C3357" w:rsidRPr="00E14D8C">
        <w:rPr>
          <w:lang w:val="en-US"/>
        </w:rPr>
        <w:t xml:space="preserve"> </w:t>
      </w:r>
      <w:r w:rsidR="001A522A" w:rsidRPr="00E14D8C">
        <w:t>cars as strictly liable for all harm caused by the use of such vehicles</w:t>
      </w:r>
      <w:r w:rsidR="000B24F6" w:rsidRPr="00E14D8C">
        <w:t>.</w:t>
      </w:r>
      <w:r w:rsidR="001A522A" w:rsidRPr="00E14D8C">
        <w:rPr>
          <w:rStyle w:val="FootnoteReference"/>
        </w:rPr>
        <w:footnoteReference w:id="63"/>
      </w:r>
      <w:r w:rsidR="0090587C" w:rsidRPr="00E14D8C">
        <w:t xml:space="preserve"> </w:t>
      </w:r>
      <w:r w:rsidR="000B24F6" w:rsidRPr="00E14D8C">
        <w:t>However, there are no</w:t>
      </w:r>
      <w:r w:rsidR="001A522A" w:rsidRPr="00E14D8C">
        <w:t xml:space="preserve"> special principles to </w:t>
      </w:r>
      <w:r w:rsidR="000B24F6" w:rsidRPr="00E14D8C">
        <w:t xml:space="preserve">determine the civil liability of any person in </w:t>
      </w:r>
      <w:r w:rsidR="001A522A" w:rsidRPr="00E14D8C">
        <w:t>such matters.</w:t>
      </w:r>
      <w:r w:rsidR="0053669E" w:rsidRPr="00E14D8C">
        <w:t xml:space="preserve"> </w:t>
      </w:r>
      <w:r w:rsidR="001A522A" w:rsidRPr="00E14D8C">
        <w:t xml:space="preserve">The civil liability for harm caused by the use of motor vehicles </w:t>
      </w:r>
      <w:r w:rsidR="00D161D7" w:rsidRPr="00E14D8C">
        <w:t>continues</w:t>
      </w:r>
      <w:r w:rsidR="001A522A" w:rsidRPr="00E14D8C">
        <w:t xml:space="preserve"> to be governed by</w:t>
      </w:r>
      <w:r w:rsidR="001A522A" w:rsidRPr="00E14D8C">
        <w:t xml:space="preserve"> general principles of </w:t>
      </w:r>
      <w:proofErr w:type="spellStart"/>
      <w:r w:rsidR="001A522A" w:rsidRPr="00E14D8C">
        <w:rPr>
          <w:i/>
        </w:rPr>
        <w:t>Badinter</w:t>
      </w:r>
      <w:proofErr w:type="spellEnd"/>
      <w:r w:rsidR="001A522A" w:rsidRPr="00E14D8C">
        <w:t xml:space="preserve"> Law, which </w:t>
      </w:r>
      <w:r w:rsidR="00D161D7" w:rsidRPr="00E14D8C">
        <w:t>apply</w:t>
      </w:r>
      <w:r w:rsidR="001A522A" w:rsidRPr="00E14D8C">
        <w:t xml:space="preserve"> to </w:t>
      </w:r>
      <w:r w:rsidR="001A522A" w:rsidRPr="00E14D8C">
        <w:t xml:space="preserve">all </w:t>
      </w:r>
      <w:r w:rsidR="001A522A" w:rsidRPr="00E14D8C">
        <w:t>traffic accidents.</w:t>
      </w:r>
      <w:r w:rsidR="001A522A" w:rsidRPr="00E14D8C">
        <w:rPr>
          <w:rStyle w:val="FootnoteReference"/>
        </w:rPr>
        <w:footnoteReference w:id="64"/>
      </w:r>
      <w:r w:rsidR="001A522A" w:rsidRPr="00E14D8C">
        <w:t xml:space="preserve"> </w:t>
      </w:r>
      <w:r w:rsidR="00C8630C" w:rsidRPr="00E14D8C">
        <w:t xml:space="preserve">However, the </w:t>
      </w:r>
      <w:r w:rsidR="00D161D7" w:rsidRPr="00E14D8C">
        <w:t xml:space="preserve">injured </w:t>
      </w:r>
      <w:r w:rsidR="0041674D" w:rsidRPr="00E14D8C">
        <w:t>party’s</w:t>
      </w:r>
      <w:r w:rsidR="00D161D7" w:rsidRPr="00E14D8C">
        <w:t xml:space="preserve"> fault</w:t>
      </w:r>
      <w:r w:rsidR="00C8630C" w:rsidRPr="00E14D8C">
        <w:t xml:space="preserve"> may reduce or eliminate the </w:t>
      </w:r>
      <w:r w:rsidR="0041674D" w:rsidRPr="00E14D8C">
        <w:t>owner’s</w:t>
      </w:r>
      <w:r w:rsidR="00C8630C" w:rsidRPr="00E14D8C">
        <w:t xml:space="preserve"> liability for such accidents.</w:t>
      </w:r>
      <w:r w:rsidR="00C8630C" w:rsidRPr="00E14D8C">
        <w:rPr>
          <w:rStyle w:val="FootnoteReference"/>
        </w:rPr>
        <w:footnoteReference w:id="65"/>
      </w:r>
      <w:r w:rsidR="001A522A" w:rsidRPr="00E14D8C">
        <w:t xml:space="preserve"> </w:t>
      </w:r>
      <w:r w:rsidR="00D161D7" w:rsidRPr="00E14D8C">
        <w:t>The consequences of i</w:t>
      </w:r>
      <w:r w:rsidR="001A522A" w:rsidRPr="00E14D8C">
        <w:t xml:space="preserve">njuries sustained due to an </w:t>
      </w:r>
      <w:r w:rsidR="001A522A" w:rsidRPr="00E14D8C">
        <w:t xml:space="preserve">infringement </w:t>
      </w:r>
      <w:r w:rsidR="001A522A" w:rsidRPr="00E14D8C">
        <w:t>of</w:t>
      </w:r>
      <w:r w:rsidR="001A522A" w:rsidRPr="00E14D8C">
        <w:t xml:space="preserve"> privacy </w:t>
      </w:r>
      <w:r w:rsidR="00D161D7" w:rsidRPr="00E14D8C">
        <w:t xml:space="preserve">due to </w:t>
      </w:r>
      <w:r w:rsidR="001A522A" w:rsidRPr="00E14D8C">
        <w:t xml:space="preserve">the loss, misuse or theft of </w:t>
      </w:r>
      <w:r w:rsidR="00D161D7" w:rsidRPr="00E14D8C">
        <w:t>inadequately processed</w:t>
      </w:r>
      <w:r w:rsidR="001A522A" w:rsidRPr="00E14D8C">
        <w:t xml:space="preserve"> data are regulated by </w:t>
      </w:r>
      <w:r w:rsidR="001A522A" w:rsidRPr="00E14D8C">
        <w:t>the Global Data Protection Regulation [GDPR]</w:t>
      </w:r>
      <w:r w:rsidR="00D161D7" w:rsidRPr="00E14D8C">
        <w:t>.</w:t>
      </w:r>
      <w:r w:rsidR="00D161D7" w:rsidRPr="00E14D8C">
        <w:rPr>
          <w:rStyle w:val="FootnoteReference"/>
        </w:rPr>
        <w:footnoteReference w:id="66"/>
      </w:r>
      <w:r w:rsidR="00D161D7" w:rsidRPr="00E14D8C">
        <w:t xml:space="preserve"> Owners are</w:t>
      </w:r>
      <w:r w:rsidR="001A522A" w:rsidRPr="00E14D8C">
        <w:t xml:space="preserve"> </w:t>
      </w:r>
      <w:r w:rsidR="001A522A" w:rsidRPr="00E14D8C">
        <w:t xml:space="preserve">similarly </w:t>
      </w:r>
      <w:r w:rsidR="00D161D7" w:rsidRPr="00E14D8C">
        <w:t>for such injuries</w:t>
      </w:r>
      <w:r w:rsidRPr="00E14D8C">
        <w:t>.</w:t>
      </w:r>
      <w:r w:rsidRPr="00E14D8C">
        <w:rPr>
          <w:rStyle w:val="FootnoteReference"/>
        </w:rPr>
        <w:footnoteReference w:id="67"/>
      </w:r>
      <w:r w:rsidRPr="00E14D8C">
        <w:t xml:space="preserve"> </w:t>
      </w:r>
      <w:r w:rsidR="001A522A" w:rsidRPr="00E14D8C">
        <w:t>At the same time, whether owners would similarly be liable under civil law for</w:t>
      </w:r>
      <w:r w:rsidRPr="00E14D8C">
        <w:t xml:space="preserve"> injur</w:t>
      </w:r>
      <w:r w:rsidR="001A522A" w:rsidRPr="00E14D8C">
        <w:t>ies</w:t>
      </w:r>
      <w:r w:rsidRPr="00E14D8C">
        <w:t xml:space="preserve"> </w:t>
      </w:r>
      <w:r w:rsidR="001A522A" w:rsidRPr="00E14D8C">
        <w:t xml:space="preserve">due to an infringement of any </w:t>
      </w:r>
      <w:r w:rsidR="0041674D" w:rsidRPr="00E14D8C">
        <w:t>person’s</w:t>
      </w:r>
      <w:r w:rsidR="001A522A" w:rsidRPr="00E14D8C">
        <w:t xml:space="preserve"> privacy </w:t>
      </w:r>
      <w:r w:rsidRPr="00E14D8C">
        <w:t>attributable to the failure of the manufacturer to conduct the necessary risk assessments to prevent the same</w:t>
      </w:r>
      <w:r w:rsidR="001A522A" w:rsidRPr="00E14D8C">
        <w:t xml:space="preserve"> remains unknown</w:t>
      </w:r>
      <w:r w:rsidRPr="00E14D8C">
        <w:t>.</w:t>
      </w:r>
    </w:p>
    <w:p w14:paraId="19B7C39F" w14:textId="6B7EDF33" w:rsidR="000B24F6" w:rsidRPr="00E14D8C" w:rsidRDefault="00021001" w:rsidP="000B24F6">
      <w:pPr>
        <w:spacing w:line="360" w:lineRule="auto"/>
        <w:jc w:val="both"/>
      </w:pPr>
      <w:r w:rsidRPr="00E14D8C">
        <w:t xml:space="preserve">      </w:t>
      </w:r>
      <w:r w:rsidR="000B24F6" w:rsidRPr="00E14D8C">
        <w:t>In contrast, the provisions of the recently amended French Highway Code</w:t>
      </w:r>
      <w:r w:rsidR="000B24F6" w:rsidRPr="00E14D8C">
        <w:rPr>
          <w:rStyle w:val="FootnoteReference"/>
        </w:rPr>
        <w:footnoteReference w:id="68"/>
      </w:r>
      <w:r w:rsidR="000B24F6" w:rsidRPr="00E14D8C">
        <w:t xml:space="preserve"> stipulate special rules to determine the criminal liability for injuries caused by such vehicles.</w:t>
      </w:r>
      <w:r w:rsidR="0053669E" w:rsidRPr="00E14D8C">
        <w:t xml:space="preserve"> </w:t>
      </w:r>
      <w:r w:rsidR="000B24F6" w:rsidRPr="00E14D8C">
        <w:t>An operator</w:t>
      </w:r>
      <w:r w:rsidR="000B24F6" w:rsidRPr="00E14D8C">
        <w:rPr>
          <w:rStyle w:val="FootnoteReference"/>
        </w:rPr>
        <w:footnoteReference w:id="69"/>
      </w:r>
      <w:r w:rsidR="000B24F6" w:rsidRPr="00E14D8C">
        <w:t xml:space="preserve"> of a </w:t>
      </w:r>
      <w:r w:rsidR="000C3357">
        <w:rPr>
          <w:lang w:val="en-US"/>
        </w:rPr>
        <w:t>self-driving</w:t>
      </w:r>
      <w:r w:rsidR="000C3357" w:rsidRPr="00E14D8C">
        <w:rPr>
          <w:lang w:val="en-US"/>
        </w:rPr>
        <w:t xml:space="preserve"> </w:t>
      </w:r>
      <w:r w:rsidR="000B24F6" w:rsidRPr="00E14D8C">
        <w:t xml:space="preserve">car is, consequently, criminally liable for all injuries caused to any person </w:t>
      </w:r>
      <w:r w:rsidR="00D179B9" w:rsidRPr="00E14D8C">
        <w:t>due to</w:t>
      </w:r>
      <w:r w:rsidR="000B24F6" w:rsidRPr="00E14D8C">
        <w:t xml:space="preserve"> the failure to ensure compliance with the conditions of use of the ADS and the </w:t>
      </w:r>
      <w:r w:rsidR="000B24F6" w:rsidRPr="00E14D8C">
        <w:lastRenderedPageBreak/>
        <w:t>maintenance of the general safety of the users, operating personnel and third parties.</w:t>
      </w:r>
      <w:r w:rsidR="000B24F6" w:rsidRPr="00E14D8C">
        <w:rPr>
          <w:rStyle w:val="FootnoteReference"/>
        </w:rPr>
        <w:footnoteReference w:id="70"/>
      </w:r>
      <w:r w:rsidR="000B24F6" w:rsidRPr="00E14D8C">
        <w:t xml:space="preserve"> The liability of the manufacturer, which French law refers to as the </w:t>
      </w:r>
      <w:r w:rsidR="0041674D" w:rsidRPr="00E14D8C">
        <w:t>‘</w:t>
      </w:r>
      <w:r w:rsidR="000B24F6" w:rsidRPr="00E14D8C">
        <w:t>designer of the technical system</w:t>
      </w:r>
      <w:r w:rsidR="0041674D" w:rsidRPr="00E14D8C">
        <w:t>’</w:t>
      </w:r>
      <w:r w:rsidR="00D179B9" w:rsidRPr="00E14D8C">
        <w:t>,</w:t>
      </w:r>
      <w:r w:rsidR="000B24F6" w:rsidRPr="00E14D8C">
        <w:rPr>
          <w:rStyle w:val="FootnoteReference"/>
        </w:rPr>
        <w:footnoteReference w:id="71"/>
      </w:r>
      <w:r w:rsidR="000B24F6" w:rsidRPr="00E14D8C">
        <w:t xml:space="preserve"> is generally limited to</w:t>
      </w:r>
      <w:r w:rsidR="00D179B9" w:rsidRPr="00E14D8C">
        <w:t xml:space="preserve"> </w:t>
      </w:r>
      <w:r w:rsidR="000B24F6" w:rsidRPr="00E14D8C">
        <w:t>injuries that are attributable to the failure to</w:t>
      </w:r>
      <w:r w:rsidR="00D179B9" w:rsidRPr="00E14D8C">
        <w:t>: a)</w:t>
      </w:r>
      <w:r w:rsidR="000B24F6" w:rsidRPr="00E14D8C">
        <w:t xml:space="preserve"> conduct the appropriate risk assessments concerning the potential hazards involved in the use of such vehicles and the means </w:t>
      </w:r>
      <w:r w:rsidR="00D179B9" w:rsidRPr="00E14D8C">
        <w:t>to address these effectively</w:t>
      </w:r>
      <w:r w:rsidR="000B24F6" w:rsidRPr="00E14D8C">
        <w:t xml:space="preserve">, or </w:t>
      </w:r>
      <w:r w:rsidR="00D179B9" w:rsidRPr="00E14D8C">
        <w:t>b)</w:t>
      </w:r>
      <w:r w:rsidR="000B24F6" w:rsidRPr="00E14D8C">
        <w:t xml:space="preserve"> provide the appropriate training concerning the operation of the vehicle, its maintenance and the manner in which </w:t>
      </w:r>
      <w:r w:rsidR="00D179B9" w:rsidRPr="00E14D8C">
        <w:t>owners may conduct the</w:t>
      </w:r>
      <w:r w:rsidR="000B24F6" w:rsidRPr="00E14D8C">
        <w:t xml:space="preserve"> necessary manoeuvres.</w:t>
      </w:r>
      <w:r w:rsidR="000B24F6" w:rsidRPr="00E14D8C">
        <w:rPr>
          <w:rStyle w:val="FootnoteReference"/>
        </w:rPr>
        <w:footnoteReference w:id="72"/>
      </w:r>
      <w:r w:rsidR="000B24F6" w:rsidRPr="00E14D8C">
        <w:t xml:space="preserve"> Defects that have been discovered subsequently but have not been conveyed to </w:t>
      </w:r>
      <w:r w:rsidR="00EC2DAB" w:rsidRPr="00E14D8C">
        <w:t xml:space="preserve">the </w:t>
      </w:r>
      <w:r w:rsidR="000B24F6" w:rsidRPr="00E14D8C">
        <w:t>operator for appropriate action would similarly remain the responsibility of the designer of the technical system.</w:t>
      </w:r>
      <w:r w:rsidR="000B24F6" w:rsidRPr="00E14D8C">
        <w:rPr>
          <w:rStyle w:val="FootnoteReference"/>
        </w:rPr>
        <w:footnoteReference w:id="73"/>
      </w:r>
    </w:p>
    <w:p w14:paraId="2269E08E" w14:textId="33154B84" w:rsidR="0018189D" w:rsidRPr="00E14D8C" w:rsidRDefault="000B24F6" w:rsidP="00A34E89">
      <w:pPr>
        <w:spacing w:line="360" w:lineRule="auto"/>
        <w:jc w:val="both"/>
      </w:pPr>
      <w:r w:rsidRPr="00E14D8C">
        <w:t xml:space="preserve">       </w:t>
      </w:r>
      <w:r w:rsidR="00021001" w:rsidRPr="00E14D8C">
        <w:t xml:space="preserve"> </w:t>
      </w:r>
      <w:r w:rsidR="00AB17BD" w:rsidRPr="00E14D8C">
        <w:t xml:space="preserve">On the other hand, the </w:t>
      </w:r>
      <w:r w:rsidR="00833087" w:rsidRPr="00E14D8C">
        <w:t>provisions of English law</w:t>
      </w:r>
      <w:r w:rsidR="00EC2DAB" w:rsidRPr="00E14D8C">
        <w:t>,</w:t>
      </w:r>
      <w:r w:rsidR="00833087" w:rsidRPr="00E14D8C">
        <w:t xml:space="preserve"> as stipulated under </w:t>
      </w:r>
      <w:r w:rsidR="00833087" w:rsidRPr="00E14D8C">
        <w:t>the Automated and Electrical Vehicles Act 2018 [AEVA]</w:t>
      </w:r>
      <w:r w:rsidR="00833087" w:rsidRPr="00E14D8C">
        <w:t>,</w:t>
      </w:r>
      <w:r w:rsidR="00AB17BD" w:rsidRPr="00E14D8C">
        <w:t xml:space="preserve"> </w:t>
      </w:r>
      <w:r w:rsidR="00EC2DAB" w:rsidRPr="00E14D8C">
        <w:t>hold</w:t>
      </w:r>
      <w:r w:rsidR="00AB17BD" w:rsidRPr="00E14D8C">
        <w:t xml:space="preserve"> i</w:t>
      </w:r>
      <w:r w:rsidR="00C119E3" w:rsidRPr="00E14D8C">
        <w:t xml:space="preserve">nsurers of </w:t>
      </w:r>
      <w:r w:rsidR="000C3357">
        <w:rPr>
          <w:lang w:val="en-US"/>
        </w:rPr>
        <w:t>self-driving</w:t>
      </w:r>
      <w:r w:rsidR="000C3357" w:rsidRPr="00E14D8C">
        <w:rPr>
          <w:lang w:val="en-US"/>
        </w:rPr>
        <w:t xml:space="preserve"> </w:t>
      </w:r>
      <w:r w:rsidR="00B93C2F" w:rsidRPr="00E14D8C">
        <w:t>cars directly liable for</w:t>
      </w:r>
      <w:r w:rsidR="00C119E3" w:rsidRPr="00E14D8C">
        <w:t xml:space="preserve"> damage </w:t>
      </w:r>
      <w:r w:rsidR="00833087" w:rsidRPr="00E14D8C">
        <w:t>resulting from</w:t>
      </w:r>
      <w:r w:rsidR="00AB17BD" w:rsidRPr="00E14D8C">
        <w:t xml:space="preserve"> road</w:t>
      </w:r>
      <w:r w:rsidR="00C119E3" w:rsidRPr="00E14D8C">
        <w:t xml:space="preserve"> accident</w:t>
      </w:r>
      <w:r w:rsidR="00AB17BD" w:rsidRPr="00E14D8C">
        <w:t>s</w:t>
      </w:r>
      <w:r w:rsidR="00C119E3" w:rsidRPr="00E14D8C">
        <w:t xml:space="preserve"> </w:t>
      </w:r>
      <w:r w:rsidR="00833087" w:rsidRPr="00E14D8C">
        <w:t xml:space="preserve">involving </w:t>
      </w:r>
      <w:r w:rsidR="000C3357">
        <w:t>such</w:t>
      </w:r>
      <w:r w:rsidR="00833087" w:rsidRPr="00E14D8C">
        <w:t xml:space="preserve"> </w:t>
      </w:r>
      <w:r w:rsidR="009B4163">
        <w:t>vehicles</w:t>
      </w:r>
      <w:r w:rsidR="00833087" w:rsidRPr="00E14D8C">
        <w:t>.</w:t>
      </w:r>
      <w:r w:rsidR="00833087" w:rsidRPr="00E14D8C">
        <w:rPr>
          <w:rStyle w:val="FootnoteReference"/>
        </w:rPr>
        <w:footnoteReference w:id="74"/>
      </w:r>
      <w:r w:rsidR="001A522A" w:rsidRPr="00E14D8C">
        <w:t xml:space="preserve"> </w:t>
      </w:r>
      <w:r w:rsidR="00833087" w:rsidRPr="00E14D8C">
        <w:t>Damage includes death and other forms of personal injuries as well as damage to the property, but not to the (automated) vehicle itself.</w:t>
      </w:r>
      <w:r w:rsidR="00833087" w:rsidRPr="00E14D8C">
        <w:rPr>
          <w:rStyle w:val="FootnoteReference"/>
        </w:rPr>
        <w:footnoteReference w:id="75"/>
      </w:r>
      <w:r w:rsidR="00833087" w:rsidRPr="00E14D8C">
        <w:t xml:space="preserve"> </w:t>
      </w:r>
      <w:r w:rsidR="001C53EF" w:rsidRPr="00E14D8C">
        <w:t>However, i</w:t>
      </w:r>
      <w:r w:rsidR="00AB17BD" w:rsidRPr="00E14D8C">
        <w:t xml:space="preserve">nsurers </w:t>
      </w:r>
      <w:r w:rsidR="00EC2DAB" w:rsidRPr="00E14D8C">
        <w:t xml:space="preserve">are </w:t>
      </w:r>
      <w:r w:rsidR="00F03653">
        <w:t>authorized</w:t>
      </w:r>
      <w:r w:rsidR="00AB17BD" w:rsidRPr="00E14D8C">
        <w:t xml:space="preserve"> to </w:t>
      </w:r>
      <w:r w:rsidR="001C53EF" w:rsidRPr="00E14D8C">
        <w:t>exclude or limit their liability if the damage has been caused</w:t>
      </w:r>
      <w:r w:rsidR="00AB17BD" w:rsidRPr="00E14D8C">
        <w:t xml:space="preserve"> by</w:t>
      </w:r>
      <w:r w:rsidR="00B93C2F" w:rsidRPr="00E14D8C">
        <w:t xml:space="preserve"> </w:t>
      </w:r>
      <w:r w:rsidR="001C53EF" w:rsidRPr="00E14D8C">
        <w:t xml:space="preserve">an </w:t>
      </w:r>
      <w:r w:rsidR="00F03653">
        <w:t>unauthorized</w:t>
      </w:r>
      <w:r w:rsidR="00B93C2F" w:rsidRPr="00E14D8C">
        <w:t xml:space="preserve"> software alteration in the ADS or </w:t>
      </w:r>
      <w:r w:rsidR="001C53EF" w:rsidRPr="00E14D8C">
        <w:t>a</w:t>
      </w:r>
      <w:r w:rsidR="00B93C2F" w:rsidRPr="00E14D8C">
        <w:t xml:space="preserve"> failure to </w:t>
      </w:r>
      <w:r w:rsidR="001C53EF" w:rsidRPr="00E14D8C">
        <w:t xml:space="preserve">install a </w:t>
      </w:r>
      <w:r w:rsidR="0041674D" w:rsidRPr="00E14D8C">
        <w:t>‘</w:t>
      </w:r>
      <w:r w:rsidR="00EC2DAB" w:rsidRPr="00E14D8C">
        <w:t>safety-critical</w:t>
      </w:r>
      <w:r w:rsidR="001C53EF" w:rsidRPr="00E14D8C">
        <w:t xml:space="preserve"> software update</w:t>
      </w:r>
      <w:r w:rsidR="0041674D" w:rsidRPr="00E14D8C">
        <w:t>’</w:t>
      </w:r>
      <w:r w:rsidR="001C53EF" w:rsidRPr="00E14D8C">
        <w:t xml:space="preserve"> that the owner knew or should have known to be </w:t>
      </w:r>
      <w:r w:rsidR="0041674D" w:rsidRPr="00E14D8C">
        <w:t>‘</w:t>
      </w:r>
      <w:r w:rsidR="001C53EF" w:rsidRPr="00E14D8C">
        <w:t>safety critical</w:t>
      </w:r>
      <w:r w:rsidR="0041674D" w:rsidRPr="00E14D8C">
        <w:t>’</w:t>
      </w:r>
      <w:r w:rsidR="00B93C2F" w:rsidRPr="00E14D8C">
        <w:t>.</w:t>
      </w:r>
      <w:r w:rsidR="00B93C2F" w:rsidRPr="00E14D8C">
        <w:rPr>
          <w:rStyle w:val="FootnoteReference"/>
        </w:rPr>
        <w:footnoteReference w:id="76"/>
      </w:r>
      <w:r w:rsidR="00C119E3" w:rsidRPr="00E14D8C">
        <w:t xml:space="preserve"> </w:t>
      </w:r>
      <w:r w:rsidR="001C53EF" w:rsidRPr="00E14D8C">
        <w:t>The owner is liable if the vehicle was not insured at the time of the incident.</w:t>
      </w:r>
      <w:r w:rsidR="001C53EF" w:rsidRPr="00E14D8C">
        <w:rPr>
          <w:rStyle w:val="FootnoteReference"/>
        </w:rPr>
        <w:footnoteReference w:id="77"/>
      </w:r>
      <w:r w:rsidR="001C53EF" w:rsidRPr="00E14D8C">
        <w:t xml:space="preserve"> </w:t>
      </w:r>
      <w:r w:rsidR="000604BD" w:rsidRPr="00E14D8C">
        <w:t xml:space="preserve">Neither the insurer nor the owner will be liable if the accident </w:t>
      </w:r>
      <w:r w:rsidR="00EC2DAB" w:rsidRPr="00E14D8C">
        <w:t>results from</w:t>
      </w:r>
      <w:r w:rsidR="000604BD" w:rsidRPr="00E14D8C">
        <w:t xml:space="preserve"> the </w:t>
      </w:r>
      <w:r w:rsidR="00EF7335" w:rsidRPr="00E14D8C">
        <w:t>injured person</w:t>
      </w:r>
      <w:r w:rsidR="001F5599" w:rsidRPr="00E14D8C">
        <w:t>’</w:t>
      </w:r>
      <w:r w:rsidR="00EF7335" w:rsidRPr="00E14D8C">
        <w:t>s fault</w:t>
      </w:r>
      <w:r w:rsidR="000604BD" w:rsidRPr="00E14D8C">
        <w:t>.</w:t>
      </w:r>
      <w:r w:rsidR="000604BD" w:rsidRPr="00E14D8C">
        <w:rPr>
          <w:rStyle w:val="FootnoteReference"/>
        </w:rPr>
        <w:footnoteReference w:id="78"/>
      </w:r>
      <w:r w:rsidR="000604BD" w:rsidRPr="00E14D8C">
        <w:t xml:space="preserve"> </w:t>
      </w:r>
      <w:r w:rsidR="00EC2DAB" w:rsidRPr="00E14D8C">
        <w:t>Similarly, insurers or owners may</w:t>
      </w:r>
      <w:r w:rsidR="000604BD" w:rsidRPr="00E14D8C">
        <w:t xml:space="preserve"> be exonerated of their liability if the accident was entirely the result of the negligence of any person in charge of the vehicle.</w:t>
      </w:r>
      <w:r w:rsidR="000604BD" w:rsidRPr="00E14D8C">
        <w:rPr>
          <w:rStyle w:val="FootnoteReference"/>
        </w:rPr>
        <w:footnoteReference w:id="79"/>
      </w:r>
      <w:r w:rsidR="000604BD" w:rsidRPr="00E14D8C">
        <w:t xml:space="preserve"> That said, a</w:t>
      </w:r>
      <w:r w:rsidR="0018189D" w:rsidRPr="00E14D8C">
        <w:t xml:space="preserve">kin to French law, the provisions of the AEVA are silent </w:t>
      </w:r>
      <w:r w:rsidR="00EC2DAB" w:rsidRPr="00E14D8C">
        <w:t>regarding</w:t>
      </w:r>
      <w:r w:rsidR="0018189D" w:rsidRPr="00E14D8C">
        <w:t xml:space="preserve"> the determination of liability for the infringement </w:t>
      </w:r>
      <w:r w:rsidR="00EC2DAB" w:rsidRPr="00E14D8C">
        <w:t>of</w:t>
      </w:r>
      <w:r w:rsidR="0018189D" w:rsidRPr="00E14D8C">
        <w:t xml:space="preserve"> the </w:t>
      </w:r>
      <w:r w:rsidR="0041674D" w:rsidRPr="00E14D8C">
        <w:t>user’s</w:t>
      </w:r>
      <w:r w:rsidR="0018189D" w:rsidRPr="00E14D8C">
        <w:t xml:space="preserve"> privacy as a result of data breaches that may be caused if the ADS in such vehicles has been hacked.</w:t>
      </w:r>
      <w:r w:rsidR="0053669E" w:rsidRPr="00E14D8C">
        <w:t xml:space="preserve"> </w:t>
      </w:r>
      <w:r w:rsidR="0018189D" w:rsidRPr="00E14D8C">
        <w:t xml:space="preserve">In such circumstances, it is likely that </w:t>
      </w:r>
      <w:r w:rsidR="00EC2DAB" w:rsidRPr="00E14D8C">
        <w:t xml:space="preserve">the </w:t>
      </w:r>
      <w:r w:rsidR="0018189D" w:rsidRPr="00E14D8C">
        <w:t xml:space="preserve">owner may directly be liable under the Data Protection Act 2018 for subsequent </w:t>
      </w:r>
      <w:r w:rsidR="00EF7335" w:rsidRPr="00E14D8C">
        <w:t>privacy violations</w:t>
      </w:r>
      <w:r w:rsidR="0018189D" w:rsidRPr="00E14D8C">
        <w:t xml:space="preserve"> </w:t>
      </w:r>
      <w:r w:rsidR="00EC2DAB" w:rsidRPr="00E14D8C">
        <w:t>due to</w:t>
      </w:r>
      <w:r w:rsidR="0018189D" w:rsidRPr="00E14D8C">
        <w:t xml:space="preserve"> the improper processing of data.</w:t>
      </w:r>
      <w:r w:rsidR="0018189D" w:rsidRPr="00E14D8C">
        <w:rPr>
          <w:rStyle w:val="FootnoteReference"/>
        </w:rPr>
        <w:footnoteReference w:id="80"/>
      </w:r>
      <w:r w:rsidR="0018189D" w:rsidRPr="00E14D8C">
        <w:t xml:space="preserve"> The </w:t>
      </w:r>
      <w:r w:rsidR="0041674D" w:rsidRPr="00E14D8C">
        <w:t>owner’s</w:t>
      </w:r>
      <w:r w:rsidR="0018189D" w:rsidRPr="00E14D8C">
        <w:t xml:space="preserve"> responsibility to properly process the data extends </w:t>
      </w:r>
      <w:r w:rsidR="0018189D" w:rsidRPr="00E14D8C">
        <w:lastRenderedPageBreak/>
        <w:t xml:space="preserve">to ensuring that it has been appropriately protected against </w:t>
      </w:r>
      <w:r w:rsidR="00F03653">
        <w:t>unauthorized</w:t>
      </w:r>
      <w:r w:rsidR="0018189D" w:rsidRPr="00E14D8C">
        <w:t xml:space="preserve"> or unlawful processing, accidental loss, destruction and damage by employing adequate technical measures.</w:t>
      </w:r>
      <w:r w:rsidR="0018189D" w:rsidRPr="00E14D8C">
        <w:rPr>
          <w:rStyle w:val="FootnoteReference"/>
        </w:rPr>
        <w:footnoteReference w:id="81"/>
      </w:r>
      <w:r w:rsidR="0018189D" w:rsidRPr="00E14D8C">
        <w:t xml:space="preserve"> A close examination of the provisions of the DPA, thus, </w:t>
      </w:r>
      <w:r w:rsidR="00EC2DAB" w:rsidRPr="00E14D8C">
        <w:t>indicates</w:t>
      </w:r>
      <w:r w:rsidR="0018189D" w:rsidRPr="00E14D8C">
        <w:t xml:space="preserve"> that </w:t>
      </w:r>
      <w:r w:rsidR="0041674D" w:rsidRPr="00E14D8C">
        <w:t>the owner’s</w:t>
      </w:r>
      <w:r w:rsidR="0018189D" w:rsidRPr="00E14D8C">
        <w:t xml:space="preserve"> liability would extend to circumstances where the security of the data has been threatened primarily because the electronic architecture in the ADS has not been secured against potential hackers.  </w:t>
      </w:r>
    </w:p>
    <w:p w14:paraId="7BEE4927" w14:textId="7F7962FD" w:rsidR="009B7E1E" w:rsidRPr="00E14D8C" w:rsidRDefault="009B7E1E" w:rsidP="00A34E89">
      <w:pPr>
        <w:spacing w:line="360" w:lineRule="auto"/>
        <w:jc w:val="both"/>
      </w:pPr>
    </w:p>
    <w:p w14:paraId="6ED76DA2" w14:textId="225B70E6" w:rsidR="009B7E1E" w:rsidRPr="00E14D8C" w:rsidRDefault="00B25AF2" w:rsidP="00691558">
      <w:pPr>
        <w:spacing w:line="360" w:lineRule="auto"/>
        <w:jc w:val="both"/>
        <w:rPr>
          <w:i/>
        </w:rPr>
      </w:pPr>
      <w:r w:rsidRPr="00E14D8C">
        <w:rPr>
          <w:i/>
        </w:rPr>
        <w:t xml:space="preserve">b. </w:t>
      </w:r>
      <w:r w:rsidR="009B7E1E" w:rsidRPr="00E14D8C">
        <w:rPr>
          <w:i/>
        </w:rPr>
        <w:t xml:space="preserve">Ascertaining the </w:t>
      </w:r>
      <w:r w:rsidR="0041674D" w:rsidRPr="00E14D8C">
        <w:rPr>
          <w:i/>
        </w:rPr>
        <w:t>Manufacturer’s</w:t>
      </w:r>
      <w:r w:rsidR="009B7E1E" w:rsidRPr="00E14D8C">
        <w:rPr>
          <w:i/>
        </w:rPr>
        <w:t xml:space="preserve"> Liability</w:t>
      </w:r>
    </w:p>
    <w:p w14:paraId="733FF791" w14:textId="490A9F5E" w:rsidR="009B7E1E" w:rsidRPr="00E14D8C" w:rsidRDefault="001F5599" w:rsidP="00B25AF2">
      <w:pPr>
        <w:spacing w:line="360" w:lineRule="auto"/>
        <w:jc w:val="both"/>
        <w:rPr>
          <w:i/>
        </w:rPr>
      </w:pPr>
      <w:proofErr w:type="spellStart"/>
      <w:r w:rsidRPr="00E14D8C">
        <w:rPr>
          <w:i/>
        </w:rPr>
        <w:t>i</w:t>
      </w:r>
      <w:proofErr w:type="spellEnd"/>
      <w:r w:rsidRPr="00E14D8C">
        <w:rPr>
          <w:i/>
        </w:rPr>
        <w:t xml:space="preserve">. </w:t>
      </w:r>
      <w:r w:rsidR="009B7E1E" w:rsidRPr="00E14D8C">
        <w:rPr>
          <w:i/>
        </w:rPr>
        <w:t>Claims against Local Producers</w:t>
      </w:r>
    </w:p>
    <w:p w14:paraId="4F891CC1" w14:textId="2358272B" w:rsidR="00B22699" w:rsidRPr="00E14D8C" w:rsidRDefault="000604BD" w:rsidP="00A34E89">
      <w:pPr>
        <w:spacing w:line="360" w:lineRule="auto"/>
        <w:jc w:val="both"/>
        <w:rPr>
          <w:lang w:val="en-US"/>
        </w:rPr>
      </w:pPr>
      <w:r w:rsidRPr="00E14D8C">
        <w:t>In these jurisdictions, t</w:t>
      </w:r>
      <w:r w:rsidR="005410A5" w:rsidRPr="00E14D8C">
        <w:t xml:space="preserve">he liability of manufacturers of domestically produced </w:t>
      </w:r>
      <w:r w:rsidR="00251847">
        <w:rPr>
          <w:lang w:val="en-US"/>
        </w:rPr>
        <w:t>self-driving</w:t>
      </w:r>
      <w:r w:rsidR="005410A5" w:rsidRPr="00E14D8C">
        <w:t xml:space="preserve"> cars for any harm, </w:t>
      </w:r>
      <w:r w:rsidR="005410A5" w:rsidRPr="00E14D8C">
        <w:t xml:space="preserve">including those arising from an infringement </w:t>
      </w:r>
      <w:r w:rsidR="00EC2DAB" w:rsidRPr="00E14D8C">
        <w:t>of</w:t>
      </w:r>
      <w:r w:rsidR="005410A5" w:rsidRPr="00E14D8C">
        <w:t xml:space="preserve"> privacy if the data in the ADS is hacked</w:t>
      </w:r>
      <w:r w:rsidR="005410A5" w:rsidRPr="00E14D8C">
        <w:t xml:space="preserve">, is ascertained according to the </w:t>
      </w:r>
      <w:r w:rsidRPr="00E14D8C">
        <w:t xml:space="preserve">domestic </w:t>
      </w:r>
      <w:r w:rsidR="005410A5" w:rsidRPr="00E14D8C">
        <w:t>principles of product liability.</w:t>
      </w:r>
      <w:r w:rsidR="005410A5" w:rsidRPr="00E14D8C">
        <w:rPr>
          <w:rStyle w:val="FootnoteReference"/>
        </w:rPr>
        <w:footnoteReference w:id="82"/>
      </w:r>
      <w:r w:rsidR="005410A5" w:rsidRPr="00E14D8C">
        <w:t xml:space="preserve">  </w:t>
      </w:r>
      <w:r w:rsidR="00EC2DAB" w:rsidRPr="00E14D8C">
        <w:t>Consequently, producers would</w:t>
      </w:r>
      <w:r w:rsidR="005410A5" w:rsidRPr="00E14D8C">
        <w:t xml:space="preserve"> be strictly liable for any harm caused to any person (but not to the vehicle itself) due to a </w:t>
      </w:r>
      <w:r w:rsidR="00EF7335" w:rsidRPr="00E14D8C">
        <w:t>product or design defect</w:t>
      </w:r>
      <w:r w:rsidR="005410A5" w:rsidRPr="00E14D8C">
        <w:t xml:space="preserve"> when it was put into circulation in the market.</w:t>
      </w:r>
      <w:r w:rsidR="005410A5" w:rsidRPr="00E14D8C">
        <w:rPr>
          <w:rStyle w:val="FootnoteReference"/>
        </w:rPr>
        <w:footnoteReference w:id="83"/>
      </w:r>
      <w:r w:rsidR="00BA179A" w:rsidRPr="00E14D8C">
        <w:t xml:space="preserve"> </w:t>
      </w:r>
      <w:r w:rsidR="005410A5" w:rsidRPr="00E14D8C">
        <w:t>The fault or negligence of the producer in the manufacturing process is irrelevant in establishing its liability</w:t>
      </w:r>
      <w:r w:rsidR="002C13CF" w:rsidRPr="00E14D8C">
        <w:t>.</w:t>
      </w:r>
      <w:r w:rsidR="005410A5" w:rsidRPr="00E14D8C">
        <w:rPr>
          <w:rStyle w:val="FootnoteReference"/>
        </w:rPr>
        <w:footnoteReference w:id="84"/>
      </w:r>
      <w:r w:rsidR="000C6765" w:rsidRPr="00E14D8C">
        <w:t xml:space="preserve"> </w:t>
      </w:r>
      <w:r w:rsidR="0089757F" w:rsidRPr="00E14D8C">
        <w:t>Any person who has produced the component or raw material or put their name, trademark or distinguishing feature on the vehicle would be jointly and severally liable for such harm.</w:t>
      </w:r>
      <w:r w:rsidR="0089757F" w:rsidRPr="00E14D8C">
        <w:rPr>
          <w:rStyle w:val="FootnoteReference"/>
        </w:rPr>
        <w:footnoteReference w:id="85"/>
      </w:r>
      <w:r w:rsidR="0089757F" w:rsidRPr="00E14D8C">
        <w:t xml:space="preserve"> </w:t>
      </w:r>
      <w:r w:rsidR="00EC2DAB" w:rsidRPr="00E14D8C">
        <w:t>However, manufacturers may</w:t>
      </w:r>
      <w:r w:rsidR="000655F2" w:rsidRPr="00E14D8C">
        <w:t xml:space="preserve"> avoid the</w:t>
      </w:r>
      <w:r w:rsidR="005410A5" w:rsidRPr="00E14D8C">
        <w:t>ir</w:t>
      </w:r>
      <w:r w:rsidR="000655F2" w:rsidRPr="00E14D8C">
        <w:t xml:space="preserve"> liability </w:t>
      </w:r>
      <w:r w:rsidR="005410A5" w:rsidRPr="00E14D8C">
        <w:t>by demonstrating</w:t>
      </w:r>
      <w:r w:rsidR="000655F2" w:rsidRPr="00E14D8C">
        <w:t xml:space="preserve"> </w:t>
      </w:r>
      <w:r w:rsidR="000655F2" w:rsidRPr="00E14D8C">
        <w:rPr>
          <w:i/>
        </w:rPr>
        <w:t>inter alia</w:t>
      </w:r>
      <w:r w:rsidR="000655F2" w:rsidRPr="00E14D8C">
        <w:t xml:space="preserve"> that it was not responsible for putting the vehicle in circulation or that the state of scientific technology at the time of its introduction into the market was not such that </w:t>
      </w:r>
      <w:r w:rsidR="00EC2DAB" w:rsidRPr="00E14D8C">
        <w:t xml:space="preserve">it </w:t>
      </w:r>
      <w:r w:rsidR="000655F2" w:rsidRPr="00E14D8C">
        <w:t>would enable it to discover the defect.</w:t>
      </w:r>
      <w:r w:rsidR="000655F2" w:rsidRPr="00E14D8C">
        <w:rPr>
          <w:rStyle w:val="FootnoteReference"/>
        </w:rPr>
        <w:footnoteReference w:id="86"/>
      </w:r>
      <w:r w:rsidR="000655F2" w:rsidRPr="00E14D8C">
        <w:rPr>
          <w:lang w:val="en-US"/>
        </w:rPr>
        <w:t xml:space="preserve"> </w:t>
      </w:r>
      <w:r w:rsidR="000655F2" w:rsidRPr="00E14D8C">
        <w:t xml:space="preserve"> </w:t>
      </w:r>
      <w:r w:rsidR="000E4D9E" w:rsidRPr="00E14D8C">
        <w:rPr>
          <w:lang w:val="en-US"/>
        </w:rPr>
        <w:t xml:space="preserve">  </w:t>
      </w:r>
      <w:r w:rsidR="00B22699" w:rsidRPr="00E14D8C">
        <w:rPr>
          <w:lang w:val="en-US"/>
        </w:rPr>
        <w:t xml:space="preserve">     </w:t>
      </w:r>
    </w:p>
    <w:p w14:paraId="6698272F" w14:textId="77777777" w:rsidR="009B7E1E" w:rsidRPr="00E14D8C" w:rsidRDefault="00B22699" w:rsidP="00A34E89">
      <w:pPr>
        <w:spacing w:line="360" w:lineRule="auto"/>
        <w:jc w:val="both"/>
      </w:pPr>
      <w:r w:rsidRPr="00E14D8C">
        <w:t xml:space="preserve">       </w:t>
      </w:r>
    </w:p>
    <w:p w14:paraId="762420D8" w14:textId="70A82363" w:rsidR="009B7E1E" w:rsidRPr="00E14D8C" w:rsidRDefault="001F5599" w:rsidP="009B7E1E">
      <w:pPr>
        <w:spacing w:line="360" w:lineRule="auto"/>
        <w:jc w:val="both"/>
        <w:rPr>
          <w:i/>
        </w:rPr>
      </w:pPr>
      <w:r w:rsidRPr="00E14D8C">
        <w:rPr>
          <w:i/>
        </w:rPr>
        <w:t xml:space="preserve">ii. </w:t>
      </w:r>
      <w:r w:rsidR="009B7E1E" w:rsidRPr="00E14D8C">
        <w:rPr>
          <w:i/>
        </w:rPr>
        <w:t xml:space="preserve">Claims against </w:t>
      </w:r>
      <w:r w:rsidR="009B7E1E" w:rsidRPr="00E14D8C">
        <w:rPr>
          <w:i/>
        </w:rPr>
        <w:t>Foreign</w:t>
      </w:r>
      <w:r w:rsidR="009B7E1E" w:rsidRPr="00E14D8C">
        <w:rPr>
          <w:i/>
        </w:rPr>
        <w:t xml:space="preserve"> </w:t>
      </w:r>
      <w:r w:rsidR="009B7E1E" w:rsidRPr="00E14D8C">
        <w:rPr>
          <w:i/>
        </w:rPr>
        <w:t>P</w:t>
      </w:r>
      <w:r w:rsidR="009B7E1E" w:rsidRPr="00E14D8C">
        <w:rPr>
          <w:i/>
        </w:rPr>
        <w:t>roducers</w:t>
      </w:r>
    </w:p>
    <w:p w14:paraId="1F5B2C00" w14:textId="4324039E" w:rsidR="00BB4566" w:rsidRPr="00E14D8C" w:rsidRDefault="00EF7335" w:rsidP="00A34E89">
      <w:pPr>
        <w:spacing w:line="360" w:lineRule="auto"/>
        <w:jc w:val="both"/>
        <w:rPr>
          <w:lang w:val="en-US"/>
        </w:rPr>
      </w:pPr>
      <w:r w:rsidRPr="00E14D8C">
        <w:lastRenderedPageBreak/>
        <w:t>Claims</w:t>
      </w:r>
      <w:r w:rsidR="002317AD" w:rsidRPr="00E14D8C">
        <w:t xml:space="preserve"> against foreign manufacturers would </w:t>
      </w:r>
      <w:r w:rsidR="0018189D" w:rsidRPr="00E14D8C">
        <w:t>be determined according to the</w:t>
      </w:r>
      <w:r w:rsidR="002317AD" w:rsidRPr="00E14D8C">
        <w:t xml:space="preserve"> </w:t>
      </w:r>
      <w:r w:rsidR="000C6765" w:rsidRPr="00E14D8C">
        <w:t xml:space="preserve">principles of foreign law that </w:t>
      </w:r>
      <w:r w:rsidR="00EC2DAB" w:rsidRPr="00E14D8C">
        <w:t>have</w:t>
      </w:r>
      <w:r w:rsidR="000C6765" w:rsidRPr="00E14D8C">
        <w:t xml:space="preserve"> been identified according to the conflict of law rules on the applicable law</w:t>
      </w:r>
      <w:r w:rsidR="002C13CF" w:rsidRPr="00E14D8C">
        <w:t xml:space="preserve"> </w:t>
      </w:r>
      <w:r w:rsidR="000C6765" w:rsidRPr="00E14D8C">
        <w:t>in the forum.</w:t>
      </w:r>
      <w:r w:rsidR="0053669E" w:rsidRPr="00E14D8C">
        <w:t xml:space="preserve"> </w:t>
      </w:r>
      <w:r w:rsidR="003F2A26" w:rsidRPr="00E14D8C">
        <w:t>I</w:t>
      </w:r>
      <w:r w:rsidR="0098393B" w:rsidRPr="00E14D8C">
        <w:t xml:space="preserve">n Germany and France, </w:t>
      </w:r>
      <w:r w:rsidR="003F2A26" w:rsidRPr="00E14D8C">
        <w:t xml:space="preserve">the law that would govern such claims would be identified according to </w:t>
      </w:r>
      <w:r w:rsidR="0098393B" w:rsidRPr="00E14D8C">
        <w:t>the provisions of the Rome II Regulation</w:t>
      </w:r>
      <w:r w:rsidR="00EC2DAB" w:rsidRPr="00E14D8C">
        <w:t>,</w:t>
      </w:r>
      <w:r w:rsidR="003F2A26" w:rsidRPr="00E14D8C">
        <w:t xml:space="preserve"> which prescribes</w:t>
      </w:r>
      <w:r w:rsidR="0098393B" w:rsidRPr="00E14D8C">
        <w:rPr>
          <w:lang w:val="en-US"/>
        </w:rPr>
        <w:t xml:space="preserve"> the mechanism to identify the </w:t>
      </w:r>
      <w:r w:rsidR="003F2A26" w:rsidRPr="00E14D8C">
        <w:rPr>
          <w:lang w:val="en-US"/>
        </w:rPr>
        <w:t>governing</w:t>
      </w:r>
      <w:r w:rsidR="0098393B" w:rsidRPr="00E14D8C">
        <w:rPr>
          <w:lang w:val="en-US"/>
        </w:rPr>
        <w:t xml:space="preserve"> law in non-contractual obligations in </w:t>
      </w:r>
      <w:r w:rsidR="003F2A26" w:rsidRPr="00E14D8C">
        <w:rPr>
          <w:lang w:val="en-US"/>
        </w:rPr>
        <w:t xml:space="preserve">all the </w:t>
      </w:r>
      <w:r w:rsidR="00F03653">
        <w:rPr>
          <w:lang w:val="en-US"/>
        </w:rPr>
        <w:t>EU</w:t>
      </w:r>
      <w:r w:rsidR="003F2A26" w:rsidRPr="00E14D8C">
        <w:rPr>
          <w:lang w:val="en-US"/>
        </w:rPr>
        <w:t xml:space="preserve"> </w:t>
      </w:r>
      <w:r w:rsidR="0098393B" w:rsidRPr="00E14D8C">
        <w:rPr>
          <w:lang w:val="en-US"/>
        </w:rPr>
        <w:t>Member States (except Denmark).</w:t>
      </w:r>
      <w:r w:rsidR="003F2A26" w:rsidRPr="00E14D8C">
        <w:rPr>
          <w:rStyle w:val="FootnoteReference"/>
          <w:lang w:val="en-US"/>
        </w:rPr>
        <w:footnoteReference w:id="87"/>
      </w:r>
      <w:r w:rsidR="003F2A26" w:rsidRPr="00E14D8C">
        <w:t xml:space="preserve"> </w:t>
      </w:r>
      <w:r w:rsidR="00BB4566" w:rsidRPr="00E14D8C">
        <w:rPr>
          <w:lang w:val="en-US"/>
        </w:rPr>
        <w:t xml:space="preserve">The law that would be applicable to determine the extent of the </w:t>
      </w:r>
      <w:r w:rsidR="0041674D" w:rsidRPr="00E14D8C">
        <w:rPr>
          <w:lang w:val="en-US"/>
        </w:rPr>
        <w:t>manufacturer’s</w:t>
      </w:r>
      <w:r w:rsidR="00BB4566" w:rsidRPr="00E14D8C">
        <w:rPr>
          <w:lang w:val="en-US"/>
        </w:rPr>
        <w:t xml:space="preserve"> liability would depend on the express and, in its absence, the implied choice of the parties.</w:t>
      </w:r>
      <w:r w:rsidR="00BB4566" w:rsidRPr="00E14D8C">
        <w:rPr>
          <w:rStyle w:val="FootnoteReference"/>
          <w:lang w:val="en-US"/>
        </w:rPr>
        <w:footnoteReference w:id="88"/>
      </w:r>
      <w:r w:rsidR="00BB4566" w:rsidRPr="00E14D8C">
        <w:rPr>
          <w:lang w:val="en-US"/>
        </w:rPr>
        <w:t xml:space="preserve"> In the absence of such a choice, the </w:t>
      </w:r>
      <w:r w:rsidR="0041674D" w:rsidRPr="00E14D8C">
        <w:rPr>
          <w:lang w:val="en-US"/>
        </w:rPr>
        <w:t>manufacturer’s</w:t>
      </w:r>
      <w:r w:rsidR="00BB4566" w:rsidRPr="00E14D8C">
        <w:rPr>
          <w:lang w:val="en-US"/>
        </w:rPr>
        <w:t xml:space="preserve"> liability and the damages </w:t>
      </w:r>
      <w:r w:rsidR="00EC2DAB" w:rsidRPr="00E14D8C">
        <w:rPr>
          <w:lang w:val="en-US"/>
        </w:rPr>
        <w:t xml:space="preserve">payable </w:t>
      </w:r>
      <w:r w:rsidR="00BB4566" w:rsidRPr="00E14D8C">
        <w:rPr>
          <w:lang w:val="en-US"/>
        </w:rPr>
        <w:t>will be determined according to the law of the habitual residence of the parties – provided that it is common.</w:t>
      </w:r>
      <w:r w:rsidR="00BB4566" w:rsidRPr="00E14D8C">
        <w:rPr>
          <w:rStyle w:val="FootnoteReference"/>
          <w:lang w:val="en-US"/>
        </w:rPr>
        <w:footnoteReference w:id="89"/>
      </w:r>
      <w:r w:rsidR="00BB4566" w:rsidRPr="00E14D8C">
        <w:rPr>
          <w:lang w:val="en-US"/>
        </w:rPr>
        <w:t xml:space="preserve"> Thus, in circumstances where the victim resides in the same place as the principal place of the business of the manufacturer, the liability of the producer for the damage caused by the self-driving car would be determined according to the law of that place – even if the accident giving rise to the injury occurred in another place.</w:t>
      </w:r>
      <w:r w:rsidR="0053669E" w:rsidRPr="00E14D8C">
        <w:rPr>
          <w:lang w:val="en-US"/>
        </w:rPr>
        <w:t xml:space="preserve"> </w:t>
      </w:r>
      <w:r w:rsidR="00BB4566" w:rsidRPr="00E14D8C">
        <w:rPr>
          <w:lang w:val="en-US"/>
        </w:rPr>
        <w:t>Consider the following example.</w:t>
      </w:r>
      <w:r w:rsidR="0053669E" w:rsidRPr="00E14D8C">
        <w:rPr>
          <w:lang w:val="en-US"/>
        </w:rPr>
        <w:t xml:space="preserve"> </w:t>
      </w:r>
      <w:r w:rsidR="00BB4566" w:rsidRPr="00E14D8C">
        <w:rPr>
          <w:lang w:val="en-US"/>
        </w:rPr>
        <w:t xml:space="preserve">The </w:t>
      </w:r>
      <w:r w:rsidR="000B24F6" w:rsidRPr="00E14D8C">
        <w:rPr>
          <w:lang w:val="en-US"/>
        </w:rPr>
        <w:t>owner</w:t>
      </w:r>
      <w:r w:rsidR="00BB4566" w:rsidRPr="00E14D8C">
        <w:rPr>
          <w:lang w:val="en-US"/>
        </w:rPr>
        <w:t xml:space="preserve"> and the manufacturer reside in France</w:t>
      </w:r>
      <w:r w:rsidR="00EC2DAB" w:rsidRPr="00E14D8C">
        <w:rPr>
          <w:lang w:val="en-US"/>
        </w:rPr>
        <w:t>,</w:t>
      </w:r>
      <w:r w:rsidR="00BB4566" w:rsidRPr="00E14D8C">
        <w:rPr>
          <w:lang w:val="en-US"/>
        </w:rPr>
        <w:t xml:space="preserve"> but the accident occurred in Germany</w:t>
      </w:r>
      <w:r w:rsidR="00EC2DAB" w:rsidRPr="00E14D8C">
        <w:rPr>
          <w:lang w:val="en-US"/>
        </w:rPr>
        <w:t>,</w:t>
      </w:r>
      <w:r w:rsidR="00BB4566" w:rsidRPr="00E14D8C">
        <w:rPr>
          <w:lang w:val="en-US"/>
        </w:rPr>
        <w:t xml:space="preserve"> where the victim was a tourist at the time of the incident.</w:t>
      </w:r>
      <w:r w:rsidR="0053669E" w:rsidRPr="00E14D8C">
        <w:rPr>
          <w:lang w:val="en-US"/>
        </w:rPr>
        <w:t xml:space="preserve"> </w:t>
      </w:r>
      <w:r w:rsidR="00BB4566" w:rsidRPr="00E14D8C">
        <w:rPr>
          <w:lang w:val="en-US"/>
        </w:rPr>
        <w:t xml:space="preserve">The accident occurs due to the </w:t>
      </w:r>
      <w:r w:rsidR="0041674D" w:rsidRPr="00E14D8C">
        <w:rPr>
          <w:lang w:val="en-US"/>
        </w:rPr>
        <w:t>manufacturer’s</w:t>
      </w:r>
      <w:r w:rsidR="00BB4566" w:rsidRPr="00E14D8C">
        <w:rPr>
          <w:lang w:val="en-US"/>
        </w:rPr>
        <w:t xml:space="preserve"> failure to provide the </w:t>
      </w:r>
      <w:r w:rsidR="000B24F6" w:rsidRPr="00E14D8C">
        <w:rPr>
          <w:lang w:val="en-US"/>
        </w:rPr>
        <w:t>owner</w:t>
      </w:r>
      <w:r w:rsidR="00BB4566" w:rsidRPr="00E14D8C">
        <w:rPr>
          <w:lang w:val="en-US"/>
        </w:rPr>
        <w:t xml:space="preserve"> with the relevant training concerning the driving </w:t>
      </w:r>
      <w:r w:rsidR="00BB4566" w:rsidRPr="00E14D8C">
        <w:t>manoeuvres that the ADS may need to perform.</w:t>
      </w:r>
      <w:r w:rsidR="0053669E" w:rsidRPr="00E14D8C">
        <w:t xml:space="preserve"> </w:t>
      </w:r>
      <w:r w:rsidR="00BB4566" w:rsidRPr="00E14D8C">
        <w:rPr>
          <w:lang w:val="en-US"/>
        </w:rPr>
        <w:t xml:space="preserve">The </w:t>
      </w:r>
      <w:r w:rsidR="000B24F6" w:rsidRPr="00E14D8C">
        <w:rPr>
          <w:lang w:val="en-US"/>
        </w:rPr>
        <w:t>owner may</w:t>
      </w:r>
      <w:r w:rsidR="00BB4566" w:rsidRPr="00E14D8C">
        <w:rPr>
          <w:lang w:val="en-US"/>
        </w:rPr>
        <w:t xml:space="preserve"> </w:t>
      </w:r>
      <w:r w:rsidR="008C6BAE" w:rsidRPr="00E14D8C">
        <w:rPr>
          <w:lang w:val="en-US"/>
        </w:rPr>
        <w:t xml:space="preserve">prefer to </w:t>
      </w:r>
      <w:r w:rsidR="00BB4566" w:rsidRPr="00E14D8C">
        <w:rPr>
          <w:lang w:val="en-US"/>
        </w:rPr>
        <w:t xml:space="preserve">initiate </w:t>
      </w:r>
      <w:r w:rsidR="000B24F6" w:rsidRPr="00E14D8C">
        <w:rPr>
          <w:lang w:val="en-US"/>
        </w:rPr>
        <w:t>the</w:t>
      </w:r>
      <w:r w:rsidR="00BB4566" w:rsidRPr="00E14D8C">
        <w:rPr>
          <w:lang w:val="en-US"/>
        </w:rPr>
        <w:t xml:space="preserve"> dispute before German courts, which is the place where the injury occurred,</w:t>
      </w:r>
      <w:r w:rsidR="009B7E1E" w:rsidRPr="00E14D8C">
        <w:rPr>
          <w:rStyle w:val="FootnoteReference"/>
          <w:lang w:val="en-US"/>
        </w:rPr>
        <w:footnoteReference w:id="90"/>
      </w:r>
      <w:r w:rsidR="00BB4566" w:rsidRPr="00E14D8C">
        <w:rPr>
          <w:lang w:val="en-US"/>
        </w:rPr>
        <w:t xml:space="preserve"> on the ground that it would not be liable under the provisions of the </w:t>
      </w:r>
      <w:proofErr w:type="spellStart"/>
      <w:r w:rsidR="00BB4566" w:rsidRPr="00E14D8C">
        <w:rPr>
          <w:lang w:val="en-US"/>
        </w:rPr>
        <w:t>StVG</w:t>
      </w:r>
      <w:proofErr w:type="spellEnd"/>
      <w:r w:rsidR="00BB4566" w:rsidRPr="00E14D8C">
        <w:rPr>
          <w:lang w:val="en-US"/>
        </w:rPr>
        <w:t>.</w:t>
      </w:r>
      <w:r w:rsidR="0053669E" w:rsidRPr="00E14D8C">
        <w:rPr>
          <w:lang w:val="en-US"/>
        </w:rPr>
        <w:t xml:space="preserve"> </w:t>
      </w:r>
      <w:r w:rsidR="008C6BAE" w:rsidRPr="00E14D8C">
        <w:rPr>
          <w:lang w:val="en-US"/>
        </w:rPr>
        <w:t>Upon ascertaining the manufacturer’s liability</w:t>
      </w:r>
      <w:r w:rsidR="00BB4566" w:rsidRPr="00E14D8C">
        <w:rPr>
          <w:lang w:val="en-US"/>
        </w:rPr>
        <w:t xml:space="preserve">, the </w:t>
      </w:r>
      <w:r w:rsidR="008C6BAE" w:rsidRPr="00E14D8C">
        <w:rPr>
          <w:lang w:val="en-US"/>
        </w:rPr>
        <w:t xml:space="preserve">(German) </w:t>
      </w:r>
      <w:r w:rsidR="00BB4566" w:rsidRPr="00E14D8C">
        <w:rPr>
          <w:lang w:val="en-US"/>
        </w:rPr>
        <w:t xml:space="preserve">court would apply French law to ascertain the consequences </w:t>
      </w:r>
      <w:r w:rsidR="00EC2DAB" w:rsidRPr="00E14D8C">
        <w:rPr>
          <w:lang w:val="en-US"/>
        </w:rPr>
        <w:t>of</w:t>
      </w:r>
      <w:r w:rsidR="00BB4566" w:rsidRPr="00E14D8C">
        <w:rPr>
          <w:lang w:val="en-US"/>
        </w:rPr>
        <w:t xml:space="preserve"> the injuries caused by the vehicle.</w:t>
      </w:r>
    </w:p>
    <w:p w14:paraId="15E9DCF3" w14:textId="2586A120" w:rsidR="00BB4566" w:rsidRPr="00E14D8C" w:rsidRDefault="00BB4566" w:rsidP="00A34E89">
      <w:pPr>
        <w:spacing w:line="360" w:lineRule="auto"/>
        <w:jc w:val="both"/>
        <w:rPr>
          <w:lang w:val="en-US"/>
        </w:rPr>
      </w:pPr>
      <w:r w:rsidRPr="00E14D8C">
        <w:rPr>
          <w:lang w:val="en-US"/>
        </w:rPr>
        <w:t xml:space="preserve">       In the absence of such commonality, the </w:t>
      </w:r>
      <w:r w:rsidR="0041674D" w:rsidRPr="00E14D8C">
        <w:rPr>
          <w:lang w:val="en-US"/>
        </w:rPr>
        <w:t>producer’s</w:t>
      </w:r>
      <w:r w:rsidRPr="00E14D8C">
        <w:rPr>
          <w:lang w:val="en-US"/>
        </w:rPr>
        <w:t xml:space="preserve"> liability would be ascertained according to the law of the place where a) the person suffering the damage has its habitual residence or b) the vehicle was acquired or c) the damage occurred – provided the </w:t>
      </w:r>
      <w:r w:rsidR="00251847">
        <w:rPr>
          <w:lang w:val="en-US"/>
        </w:rPr>
        <w:t>self-driving</w:t>
      </w:r>
      <w:r w:rsidR="00251847" w:rsidRPr="00E14D8C">
        <w:rPr>
          <w:lang w:val="en-US"/>
        </w:rPr>
        <w:t xml:space="preserve"> </w:t>
      </w:r>
      <w:r w:rsidRPr="00E14D8C">
        <w:rPr>
          <w:lang w:val="en-US"/>
        </w:rPr>
        <w:t>car was marketed in these jurisdictions</w:t>
      </w:r>
      <w:r w:rsidRPr="00E14D8C">
        <w:rPr>
          <w:rStyle w:val="FootnoteReference"/>
          <w:lang w:val="en-US"/>
        </w:rPr>
        <w:footnoteReference w:id="91"/>
      </w:r>
      <w:r w:rsidRPr="00E14D8C">
        <w:rPr>
          <w:lang w:val="en-US"/>
        </w:rPr>
        <w:t xml:space="preserve"> - unless the claim is </w:t>
      </w:r>
      <w:r w:rsidR="0041674D" w:rsidRPr="00E14D8C">
        <w:rPr>
          <w:lang w:val="en-US"/>
        </w:rPr>
        <w:t>‘</w:t>
      </w:r>
      <w:r w:rsidRPr="00E14D8C">
        <w:rPr>
          <w:lang w:val="en-US"/>
        </w:rPr>
        <w:t>manifestly more closely connected</w:t>
      </w:r>
      <w:r w:rsidR="0041674D" w:rsidRPr="00E14D8C">
        <w:rPr>
          <w:lang w:val="en-US"/>
        </w:rPr>
        <w:t>’</w:t>
      </w:r>
      <w:r w:rsidRPr="00E14D8C">
        <w:rPr>
          <w:lang w:val="en-US"/>
        </w:rPr>
        <w:t xml:space="preserve"> with the law of another country – in which case such a law would apply.</w:t>
      </w:r>
      <w:r w:rsidRPr="00E14D8C">
        <w:rPr>
          <w:rStyle w:val="FootnoteReference"/>
          <w:lang w:val="en-US"/>
        </w:rPr>
        <w:footnoteReference w:id="92"/>
      </w:r>
      <w:r w:rsidRPr="00E14D8C">
        <w:rPr>
          <w:lang w:val="en-US"/>
        </w:rPr>
        <w:t xml:space="preserve"> As a last resort, the law of the habitual residence of the manufacturer would govern the claim if the </w:t>
      </w:r>
      <w:r w:rsidR="00251847">
        <w:rPr>
          <w:lang w:val="en-US"/>
        </w:rPr>
        <w:t>self-</w:t>
      </w:r>
      <w:r w:rsidR="00251847">
        <w:rPr>
          <w:lang w:val="en-US"/>
        </w:rPr>
        <w:lastRenderedPageBreak/>
        <w:t>driving</w:t>
      </w:r>
      <w:r w:rsidR="00251847" w:rsidRPr="00E14D8C">
        <w:rPr>
          <w:lang w:val="en-US"/>
        </w:rPr>
        <w:t xml:space="preserve"> </w:t>
      </w:r>
      <w:r w:rsidRPr="00E14D8C">
        <w:rPr>
          <w:lang w:val="en-US"/>
        </w:rPr>
        <w:t xml:space="preserve">car was not marketed in any of the </w:t>
      </w:r>
      <w:r w:rsidR="00EC2DAB" w:rsidRPr="00E14D8C">
        <w:rPr>
          <w:lang w:val="en-US"/>
        </w:rPr>
        <w:t>jurisdictions mentioned above</w:t>
      </w:r>
      <w:r w:rsidRPr="00E14D8C">
        <w:rPr>
          <w:lang w:val="en-US"/>
        </w:rPr>
        <w:t>.</w:t>
      </w:r>
      <w:r w:rsidRPr="00E14D8C">
        <w:rPr>
          <w:rStyle w:val="FootnoteReference"/>
          <w:lang w:val="en-US"/>
        </w:rPr>
        <w:footnoteReference w:id="93"/>
      </w:r>
      <w:r w:rsidRPr="00E14D8C">
        <w:rPr>
          <w:lang w:val="en-US"/>
        </w:rPr>
        <w:t xml:space="preserve"> At the same time, it is unlikely for any court in an </w:t>
      </w:r>
      <w:r w:rsidR="00F03653">
        <w:rPr>
          <w:lang w:val="en-US"/>
        </w:rPr>
        <w:t>EU</w:t>
      </w:r>
      <w:r w:rsidRPr="00E14D8C">
        <w:rPr>
          <w:lang w:val="en-US"/>
        </w:rPr>
        <w:t xml:space="preserve"> Member State to find an opportunity to invoke the </w:t>
      </w:r>
      <w:r w:rsidR="0041674D" w:rsidRPr="00E14D8C">
        <w:rPr>
          <w:lang w:val="en-US"/>
        </w:rPr>
        <w:t>manufacturer’s</w:t>
      </w:r>
      <w:r w:rsidR="00EC2DAB" w:rsidRPr="00E14D8C">
        <w:rPr>
          <w:lang w:val="en-US"/>
        </w:rPr>
        <w:t xml:space="preserve"> law</w:t>
      </w:r>
      <w:r w:rsidRPr="00E14D8C">
        <w:rPr>
          <w:lang w:val="en-US"/>
        </w:rPr>
        <w:t xml:space="preserve"> in practice considering that </w:t>
      </w:r>
      <w:r w:rsidR="00F03653">
        <w:rPr>
          <w:lang w:val="en-US"/>
        </w:rPr>
        <w:t>EU</w:t>
      </w:r>
      <w:r w:rsidRPr="00E14D8C">
        <w:rPr>
          <w:lang w:val="en-US"/>
        </w:rPr>
        <w:t xml:space="preserve"> law mandates such vehicles to be </w:t>
      </w:r>
      <w:r w:rsidR="00EC2DAB" w:rsidRPr="00E14D8C">
        <w:rPr>
          <w:lang w:val="en-US"/>
        </w:rPr>
        <w:t>type-approved</w:t>
      </w:r>
      <w:r w:rsidRPr="00E14D8C">
        <w:rPr>
          <w:lang w:val="en-US"/>
        </w:rPr>
        <w:t xml:space="preserve"> </w:t>
      </w:r>
      <w:r w:rsidR="00EC2DAB" w:rsidRPr="00E14D8C">
        <w:rPr>
          <w:lang w:val="en-US"/>
        </w:rPr>
        <w:t>before</w:t>
      </w:r>
      <w:r w:rsidRPr="00E14D8C">
        <w:rPr>
          <w:lang w:val="en-US"/>
        </w:rPr>
        <w:t xml:space="preserve"> their operation on public roads.</w:t>
      </w:r>
      <w:r w:rsidRPr="00E14D8C">
        <w:rPr>
          <w:rStyle w:val="FootnoteReference"/>
          <w:lang w:val="en-US"/>
        </w:rPr>
        <w:footnoteReference w:id="94"/>
      </w:r>
      <w:r w:rsidRPr="00E14D8C">
        <w:rPr>
          <w:lang w:val="en-US"/>
        </w:rPr>
        <w:t xml:space="preserve"> </w:t>
      </w:r>
    </w:p>
    <w:p w14:paraId="47E0D034" w14:textId="23CC2D5D" w:rsidR="00B65A0E" w:rsidRPr="00E14D8C" w:rsidRDefault="00B65A0E" w:rsidP="00A34E89">
      <w:pPr>
        <w:spacing w:line="360" w:lineRule="auto"/>
        <w:jc w:val="both"/>
        <w:rPr>
          <w:lang w:val="en-US"/>
        </w:rPr>
      </w:pPr>
      <w:r w:rsidRPr="00E14D8C">
        <w:rPr>
          <w:lang w:val="en-US"/>
        </w:rPr>
        <w:t xml:space="preserve">        The </w:t>
      </w:r>
      <w:r w:rsidR="00F03653">
        <w:rPr>
          <w:lang w:val="en-US"/>
        </w:rPr>
        <w:t>UK</w:t>
      </w:r>
      <w:r w:rsidRPr="00E14D8C">
        <w:rPr>
          <w:lang w:val="en-US"/>
        </w:rPr>
        <w:t xml:space="preserve"> imbibes a similar approach </w:t>
      </w:r>
      <w:r w:rsidR="001D7307" w:rsidRPr="00E14D8C">
        <w:rPr>
          <w:lang w:val="en-US"/>
        </w:rPr>
        <w:t xml:space="preserve">to determine the applicable law in claims against foreign manufacturers </w:t>
      </w:r>
      <w:r w:rsidRPr="00E14D8C">
        <w:rPr>
          <w:lang w:val="en-US"/>
        </w:rPr>
        <w:t xml:space="preserve">through the provisions of the </w:t>
      </w:r>
      <w:r w:rsidRPr="00E14D8C">
        <w:rPr>
          <w:iCs/>
          <w:lang w:val="en-US"/>
        </w:rPr>
        <w:t>Law Applicable to Contractual Obligations and Non- Contractual Obligations (Amendment etc.) (</w:t>
      </w:r>
      <w:r w:rsidR="00F03653">
        <w:rPr>
          <w:iCs/>
          <w:lang w:val="en-US"/>
        </w:rPr>
        <w:t>EU</w:t>
      </w:r>
      <w:r w:rsidRPr="00E14D8C">
        <w:rPr>
          <w:iCs/>
          <w:lang w:val="en-US"/>
        </w:rPr>
        <w:t xml:space="preserve"> Exit) Regulations 2019</w:t>
      </w:r>
      <w:r w:rsidR="00EC2DAB" w:rsidRPr="00E14D8C">
        <w:rPr>
          <w:iCs/>
          <w:lang w:val="en-US"/>
        </w:rPr>
        <w:t>,</w:t>
      </w:r>
      <w:r w:rsidRPr="00E14D8C">
        <w:rPr>
          <w:iCs/>
          <w:lang w:val="en-US"/>
        </w:rPr>
        <w:t xml:space="preserve"> which accommodates the provisions of the Rome II Regulation into English law as a result of the </w:t>
      </w:r>
      <w:r w:rsidR="0041674D" w:rsidRPr="00E14D8C">
        <w:rPr>
          <w:iCs/>
          <w:lang w:val="en-US"/>
        </w:rPr>
        <w:t>latter’s</w:t>
      </w:r>
      <w:r w:rsidRPr="00E14D8C">
        <w:rPr>
          <w:iCs/>
          <w:lang w:val="en-US"/>
        </w:rPr>
        <w:t xml:space="preserve"> past membership to the </w:t>
      </w:r>
      <w:r w:rsidR="00F03653">
        <w:rPr>
          <w:iCs/>
          <w:lang w:val="en-US"/>
        </w:rPr>
        <w:t>EU</w:t>
      </w:r>
      <w:r w:rsidRPr="00E14D8C">
        <w:rPr>
          <w:lang w:val="en-US"/>
        </w:rPr>
        <w:t>.</w:t>
      </w:r>
      <w:r w:rsidRPr="00E14D8C">
        <w:rPr>
          <w:rStyle w:val="FootnoteReference"/>
          <w:lang w:val="en-US"/>
        </w:rPr>
        <w:footnoteReference w:id="95"/>
      </w:r>
      <w:r w:rsidRPr="00E14D8C">
        <w:rPr>
          <w:lang w:val="en-US"/>
        </w:rPr>
        <w:t xml:space="preserve"> </w:t>
      </w:r>
      <w:r w:rsidR="003B6F69" w:rsidRPr="00E14D8C">
        <w:rPr>
          <w:lang w:val="en-US"/>
        </w:rPr>
        <w:t>China similarly prescribes the application of the law chosen by the parties to govern such disputes.</w:t>
      </w:r>
      <w:r w:rsidR="00F45056" w:rsidRPr="00E14D8C">
        <w:rPr>
          <w:rStyle w:val="FootnoteReference"/>
          <w:lang w:val="en-US"/>
        </w:rPr>
        <w:footnoteReference w:id="96"/>
      </w:r>
      <w:r w:rsidR="003B6F69" w:rsidRPr="00E14D8C">
        <w:rPr>
          <w:lang w:val="en-US"/>
        </w:rPr>
        <w:t xml:space="preserve"> </w:t>
      </w:r>
      <w:r w:rsidR="00EC2DAB" w:rsidRPr="00E14D8C">
        <w:rPr>
          <w:lang w:val="en-US"/>
        </w:rPr>
        <w:t>Nonetheless, the choice must</w:t>
      </w:r>
      <w:r w:rsidR="003B6F69" w:rsidRPr="00E14D8C">
        <w:rPr>
          <w:lang w:val="en-US"/>
        </w:rPr>
        <w:t xml:space="preserve"> be made after the dispute </w:t>
      </w:r>
      <w:r w:rsidR="0041674D" w:rsidRPr="00E14D8C">
        <w:rPr>
          <w:lang w:val="en-US"/>
        </w:rPr>
        <w:t>arises</w:t>
      </w:r>
      <w:r w:rsidR="003B6F69" w:rsidRPr="00E14D8C">
        <w:rPr>
          <w:lang w:val="en-US"/>
        </w:rPr>
        <w:t xml:space="preserve"> (ex-post).</w:t>
      </w:r>
      <w:r w:rsidR="00F45056" w:rsidRPr="00E14D8C">
        <w:rPr>
          <w:rStyle w:val="FootnoteReference"/>
          <w:lang w:val="en-US"/>
        </w:rPr>
        <w:footnoteReference w:id="97"/>
      </w:r>
      <w:r w:rsidR="003B6F69" w:rsidRPr="00E14D8C">
        <w:rPr>
          <w:lang w:val="en-US"/>
        </w:rPr>
        <w:t xml:space="preserve"> </w:t>
      </w:r>
      <w:r w:rsidR="00483454" w:rsidRPr="00E14D8C">
        <w:rPr>
          <w:lang w:val="en-US"/>
        </w:rPr>
        <w:t>In the absence of choice, t</w:t>
      </w:r>
      <w:r w:rsidR="003B6F69" w:rsidRPr="00E14D8C">
        <w:rPr>
          <w:lang w:val="en-US"/>
        </w:rPr>
        <w:t xml:space="preserve">he </w:t>
      </w:r>
      <w:r w:rsidR="009A07B8" w:rsidRPr="00E14D8C">
        <w:rPr>
          <w:lang w:val="en-US"/>
        </w:rPr>
        <w:t xml:space="preserve">law of the </w:t>
      </w:r>
      <w:r w:rsidR="003B6F69" w:rsidRPr="00E14D8C">
        <w:rPr>
          <w:lang w:val="en-US"/>
        </w:rPr>
        <w:t xml:space="preserve">residence of the </w:t>
      </w:r>
      <w:r w:rsidR="003D72E9" w:rsidRPr="00E14D8C">
        <w:rPr>
          <w:lang w:val="en-US"/>
        </w:rPr>
        <w:t>aggrieved party</w:t>
      </w:r>
      <w:r w:rsidR="003B6F69" w:rsidRPr="00E14D8C">
        <w:rPr>
          <w:lang w:val="en-US"/>
        </w:rPr>
        <w:t xml:space="preserve"> </w:t>
      </w:r>
      <w:r w:rsidR="00483454" w:rsidRPr="00E14D8C">
        <w:rPr>
          <w:lang w:val="en-US"/>
        </w:rPr>
        <w:t xml:space="preserve">would govern claims against foreign manufacturers </w:t>
      </w:r>
      <w:r w:rsidR="003D72E9" w:rsidRPr="00E14D8C">
        <w:rPr>
          <w:lang w:val="en-US"/>
        </w:rPr>
        <w:t xml:space="preserve">unless </w:t>
      </w:r>
      <w:r w:rsidR="00483454" w:rsidRPr="00E14D8C">
        <w:rPr>
          <w:lang w:val="en-US"/>
        </w:rPr>
        <w:t>such entities</w:t>
      </w:r>
      <w:r w:rsidR="003D72E9" w:rsidRPr="00E14D8C">
        <w:rPr>
          <w:lang w:val="en-US"/>
        </w:rPr>
        <w:t xml:space="preserve"> had not engaged in any business in that country at the time of the injury</w:t>
      </w:r>
      <w:r w:rsidR="00483454" w:rsidRPr="00E14D8C">
        <w:rPr>
          <w:lang w:val="en-US"/>
        </w:rPr>
        <w:t>.</w:t>
      </w:r>
      <w:r w:rsidR="00483454" w:rsidRPr="00E14D8C">
        <w:rPr>
          <w:rStyle w:val="FootnoteReference"/>
          <w:lang w:val="en-US"/>
        </w:rPr>
        <w:footnoteReference w:id="98"/>
      </w:r>
      <w:r w:rsidR="00483454" w:rsidRPr="00E14D8C">
        <w:rPr>
          <w:lang w:val="en-US"/>
        </w:rPr>
        <w:t xml:space="preserve"> In such circumstances,</w:t>
      </w:r>
      <w:r w:rsidR="003D72E9" w:rsidRPr="00E14D8C">
        <w:rPr>
          <w:lang w:val="en-US"/>
        </w:rPr>
        <w:t xml:space="preserve"> the law of the principal place of business of the manufacturer or the place of damage (</w:t>
      </w:r>
      <w:proofErr w:type="spellStart"/>
      <w:r w:rsidR="003D72E9" w:rsidRPr="00E14D8C">
        <w:rPr>
          <w:i/>
          <w:lang w:val="en-US"/>
        </w:rPr>
        <w:t>lex</w:t>
      </w:r>
      <w:proofErr w:type="spellEnd"/>
      <w:r w:rsidR="003D72E9" w:rsidRPr="00E14D8C">
        <w:rPr>
          <w:i/>
          <w:lang w:val="en-US"/>
        </w:rPr>
        <w:t xml:space="preserve"> loci </w:t>
      </w:r>
      <w:proofErr w:type="spellStart"/>
      <w:r w:rsidR="003D72E9" w:rsidRPr="00E14D8C">
        <w:rPr>
          <w:i/>
          <w:lang w:val="en-US"/>
        </w:rPr>
        <w:t>damni</w:t>
      </w:r>
      <w:proofErr w:type="spellEnd"/>
      <w:r w:rsidR="003D72E9" w:rsidRPr="00E14D8C">
        <w:rPr>
          <w:lang w:val="en-US"/>
        </w:rPr>
        <w:t xml:space="preserve">) </w:t>
      </w:r>
      <w:r w:rsidR="00483454" w:rsidRPr="00E14D8C">
        <w:rPr>
          <w:lang w:val="en-US"/>
        </w:rPr>
        <w:t>would</w:t>
      </w:r>
      <w:r w:rsidR="003D72E9" w:rsidRPr="00E14D8C">
        <w:rPr>
          <w:lang w:val="en-US"/>
        </w:rPr>
        <w:t xml:space="preserve"> </w:t>
      </w:r>
      <w:r w:rsidR="00E54EA3" w:rsidRPr="00E14D8C">
        <w:rPr>
          <w:lang w:val="en-US"/>
        </w:rPr>
        <w:t>govern</w:t>
      </w:r>
      <w:r w:rsidR="003D72E9" w:rsidRPr="00E14D8C">
        <w:rPr>
          <w:lang w:val="en-US"/>
        </w:rPr>
        <w:t xml:space="preserve"> the claim.</w:t>
      </w:r>
      <w:r w:rsidR="003D72E9" w:rsidRPr="00E14D8C">
        <w:rPr>
          <w:rStyle w:val="FootnoteReference"/>
          <w:lang w:val="en-US"/>
        </w:rPr>
        <w:footnoteReference w:id="99"/>
      </w:r>
      <w:r w:rsidR="003D72E9" w:rsidRPr="00E14D8C">
        <w:rPr>
          <w:lang w:val="en-US"/>
        </w:rPr>
        <w:t xml:space="preserve"> </w:t>
      </w:r>
    </w:p>
    <w:p w14:paraId="481F2E5A" w14:textId="77777777" w:rsidR="00BB4566" w:rsidRPr="00E14D8C" w:rsidRDefault="00BB4566" w:rsidP="00A34E89">
      <w:pPr>
        <w:spacing w:line="360" w:lineRule="auto"/>
        <w:jc w:val="both"/>
        <w:rPr>
          <w:u w:val="single"/>
          <w:lang w:val="en-US"/>
        </w:rPr>
      </w:pPr>
    </w:p>
    <w:p w14:paraId="3FE2E3D4" w14:textId="5D4EFCD3" w:rsidR="00614E89" w:rsidRPr="00E14D8C" w:rsidRDefault="003607DC" w:rsidP="00956BC3">
      <w:pPr>
        <w:spacing w:line="360" w:lineRule="auto"/>
        <w:jc w:val="both"/>
        <w:rPr>
          <w:b/>
          <w:lang w:val="en-US"/>
        </w:rPr>
      </w:pPr>
      <w:r w:rsidRPr="00E14D8C">
        <w:rPr>
          <w:b/>
          <w:lang w:val="en-US"/>
        </w:rPr>
        <w:t>3.</w:t>
      </w:r>
      <w:r w:rsidR="0053669E" w:rsidRPr="00E14D8C">
        <w:rPr>
          <w:b/>
          <w:lang w:val="en-US"/>
        </w:rPr>
        <w:t xml:space="preserve"> </w:t>
      </w:r>
      <w:r w:rsidR="00E14D8C" w:rsidRPr="00E14D8C">
        <w:rPr>
          <w:b/>
          <w:lang w:val="en-US"/>
        </w:rPr>
        <w:t xml:space="preserve">  </w:t>
      </w:r>
      <w:r w:rsidR="00251847">
        <w:rPr>
          <w:b/>
          <w:lang w:val="en-US"/>
        </w:rPr>
        <w:t>Self-Driving</w:t>
      </w:r>
      <w:r w:rsidRPr="00E14D8C">
        <w:rPr>
          <w:b/>
          <w:lang w:val="en-US"/>
        </w:rPr>
        <w:t xml:space="preserve"> Cars and the </w:t>
      </w:r>
      <w:r w:rsidR="00614E89" w:rsidRPr="00E14D8C">
        <w:rPr>
          <w:b/>
          <w:lang w:val="en-US"/>
        </w:rPr>
        <w:t>Determination of Liability</w:t>
      </w:r>
      <w:r w:rsidRPr="00E14D8C">
        <w:rPr>
          <w:b/>
          <w:lang w:val="en-US"/>
        </w:rPr>
        <w:t xml:space="preserve"> </w:t>
      </w:r>
      <w:r w:rsidRPr="00E14D8C">
        <w:rPr>
          <w:b/>
          <w:lang w:val="en-US"/>
        </w:rPr>
        <w:t>under Indian law</w:t>
      </w:r>
    </w:p>
    <w:p w14:paraId="0802E658" w14:textId="5E7BCF2E" w:rsidR="000C5022" w:rsidRPr="00E14D8C" w:rsidRDefault="00B25AF2" w:rsidP="00956BC3">
      <w:pPr>
        <w:spacing w:line="360" w:lineRule="auto"/>
        <w:jc w:val="both"/>
        <w:rPr>
          <w:b/>
          <w:lang w:val="en-US"/>
        </w:rPr>
      </w:pPr>
      <w:r w:rsidRPr="00E14D8C">
        <w:rPr>
          <w:b/>
          <w:lang w:val="en-US"/>
        </w:rPr>
        <w:t xml:space="preserve">3.1 </w:t>
      </w:r>
      <w:r w:rsidR="00E14D8C" w:rsidRPr="00E14D8C">
        <w:rPr>
          <w:b/>
          <w:lang w:val="en-US"/>
        </w:rPr>
        <w:t xml:space="preserve">  </w:t>
      </w:r>
      <w:r w:rsidRPr="00E14D8C">
        <w:rPr>
          <w:b/>
          <w:lang w:val="en-US"/>
        </w:rPr>
        <w:t>Understanding India’s Stance at a Glance</w:t>
      </w:r>
    </w:p>
    <w:p w14:paraId="230A0008" w14:textId="24587720" w:rsidR="005A1B77" w:rsidRPr="00E14D8C" w:rsidRDefault="00160447" w:rsidP="00A34E89">
      <w:pPr>
        <w:spacing w:line="360" w:lineRule="auto"/>
        <w:jc w:val="both"/>
        <w:rPr>
          <w:lang w:val="en-US"/>
        </w:rPr>
      </w:pPr>
      <w:r w:rsidRPr="00E14D8C">
        <w:rPr>
          <w:lang w:val="en-US"/>
        </w:rPr>
        <w:t>Unlike the legal systems indicated above, India has been severely resistant to developments in the field of autonomous cars in general.</w:t>
      </w:r>
      <w:r w:rsidR="0053669E" w:rsidRPr="00E14D8C">
        <w:rPr>
          <w:lang w:val="en-US"/>
        </w:rPr>
        <w:t xml:space="preserve"> </w:t>
      </w:r>
      <w:r w:rsidRPr="00E14D8C">
        <w:rPr>
          <w:lang w:val="en-US"/>
        </w:rPr>
        <w:t>The operation of such vehicles has, in fact, been</w:t>
      </w:r>
      <w:r w:rsidR="00E85520" w:rsidRPr="00E14D8C">
        <w:rPr>
          <w:lang w:val="en-US"/>
        </w:rPr>
        <w:t xml:space="preserve"> banned </w:t>
      </w:r>
      <w:r w:rsidRPr="00E14D8C">
        <w:rPr>
          <w:lang w:val="en-US"/>
        </w:rPr>
        <w:t>on public roads</w:t>
      </w:r>
      <w:r w:rsidR="00E11D1A" w:rsidRPr="00E14D8C">
        <w:rPr>
          <w:lang w:val="en-US"/>
        </w:rPr>
        <w:t xml:space="preserve"> given the lack of infrastructure and </w:t>
      </w:r>
      <w:r w:rsidR="00E85520" w:rsidRPr="00E14D8C">
        <w:rPr>
          <w:lang w:val="en-US"/>
        </w:rPr>
        <w:t>the</w:t>
      </w:r>
      <w:r w:rsidR="00E11D1A" w:rsidRPr="00E14D8C">
        <w:rPr>
          <w:lang w:val="en-US"/>
        </w:rPr>
        <w:t xml:space="preserve"> ability </w:t>
      </w:r>
      <w:r w:rsidR="00E85520" w:rsidRPr="00E14D8C">
        <w:rPr>
          <w:lang w:val="en-US"/>
        </w:rPr>
        <w:t xml:space="preserve">of such vehicles to </w:t>
      </w:r>
      <w:r w:rsidR="00E11D1A" w:rsidRPr="00E14D8C">
        <w:rPr>
          <w:lang w:val="en-US"/>
        </w:rPr>
        <w:t xml:space="preserve">create a surge in the unemployment rate among the </w:t>
      </w:r>
      <w:r w:rsidR="0041674D" w:rsidRPr="00E14D8C">
        <w:rPr>
          <w:lang w:val="en-US"/>
        </w:rPr>
        <w:t>country’s</w:t>
      </w:r>
      <w:r w:rsidR="00E11D1A" w:rsidRPr="00E14D8C">
        <w:rPr>
          <w:lang w:val="en-US"/>
        </w:rPr>
        <w:t xml:space="preserve"> 2.2 million commercial drivers</w:t>
      </w:r>
      <w:r w:rsidR="00E85520" w:rsidRPr="00E14D8C">
        <w:rPr>
          <w:lang w:val="en-US"/>
        </w:rPr>
        <w:t>.</w:t>
      </w:r>
      <w:r w:rsidR="00017DAB" w:rsidRPr="00E14D8C">
        <w:rPr>
          <w:rStyle w:val="FootnoteReference"/>
          <w:lang w:val="en-US"/>
        </w:rPr>
        <w:footnoteReference w:id="100"/>
      </w:r>
      <w:r w:rsidR="003C6E14" w:rsidRPr="00E14D8C">
        <w:rPr>
          <w:lang w:val="en-US"/>
        </w:rPr>
        <w:t xml:space="preserve"> </w:t>
      </w:r>
      <w:r w:rsidR="000A557C" w:rsidRPr="00E14D8C">
        <w:rPr>
          <w:lang w:val="en-US"/>
        </w:rPr>
        <w:t>A</w:t>
      </w:r>
      <w:r w:rsidR="00E11D1A" w:rsidRPr="00E14D8C">
        <w:rPr>
          <w:lang w:val="en-US"/>
        </w:rPr>
        <w:t>s the world progresse</w:t>
      </w:r>
      <w:r w:rsidR="000A557C" w:rsidRPr="00E14D8C">
        <w:rPr>
          <w:lang w:val="en-US"/>
        </w:rPr>
        <w:t>s</w:t>
      </w:r>
      <w:r w:rsidR="00E11D1A" w:rsidRPr="00E14D8C">
        <w:rPr>
          <w:lang w:val="en-US"/>
        </w:rPr>
        <w:t xml:space="preserve"> towards </w:t>
      </w:r>
      <w:r w:rsidR="00F03653">
        <w:rPr>
          <w:lang w:val="en-US"/>
        </w:rPr>
        <w:t>commercializing</w:t>
      </w:r>
      <w:r w:rsidR="00E11D1A" w:rsidRPr="00E14D8C">
        <w:rPr>
          <w:lang w:val="en-US"/>
        </w:rPr>
        <w:t xml:space="preserve"> autonomous cars</w:t>
      </w:r>
      <w:r w:rsidR="00E81878" w:rsidRPr="00E14D8C">
        <w:rPr>
          <w:lang w:val="en-US"/>
        </w:rPr>
        <w:t xml:space="preserve"> that enable the driver to delegate some or even all the driving tasks to the system</w:t>
      </w:r>
      <w:r w:rsidR="00E11D1A" w:rsidRPr="00E14D8C">
        <w:rPr>
          <w:lang w:val="en-US"/>
        </w:rPr>
        <w:t xml:space="preserve">, India </w:t>
      </w:r>
      <w:r w:rsidR="00E81878" w:rsidRPr="00E14D8C">
        <w:rPr>
          <w:lang w:val="en-US"/>
        </w:rPr>
        <w:t xml:space="preserve">has only begun to consider the </w:t>
      </w:r>
      <w:r w:rsidR="00F03653">
        <w:rPr>
          <w:lang w:val="en-US"/>
        </w:rPr>
        <w:t>authorization</w:t>
      </w:r>
      <w:r w:rsidR="00E81878" w:rsidRPr="00E14D8C">
        <w:rPr>
          <w:lang w:val="en-US"/>
        </w:rPr>
        <w:t xml:space="preserve"> </w:t>
      </w:r>
      <w:r w:rsidR="00E81878" w:rsidRPr="00E14D8C">
        <w:rPr>
          <w:lang w:val="en-US"/>
        </w:rPr>
        <w:lastRenderedPageBreak/>
        <w:t xml:space="preserve">of </w:t>
      </w:r>
      <w:r w:rsidR="000A557C" w:rsidRPr="00E14D8C">
        <w:rPr>
          <w:lang w:val="en-US"/>
        </w:rPr>
        <w:t xml:space="preserve">vehicles equipped with </w:t>
      </w:r>
      <w:r w:rsidR="0041674D" w:rsidRPr="00E14D8C">
        <w:rPr>
          <w:lang w:val="en-US"/>
        </w:rPr>
        <w:t>‘</w:t>
      </w:r>
      <w:r w:rsidR="00E85520" w:rsidRPr="00E14D8C">
        <w:rPr>
          <w:lang w:val="en-US"/>
        </w:rPr>
        <w:t>d</w:t>
      </w:r>
      <w:r w:rsidR="000A557C" w:rsidRPr="00E14D8C">
        <w:rPr>
          <w:lang w:val="en-US"/>
        </w:rPr>
        <w:t xml:space="preserve">riving </w:t>
      </w:r>
      <w:r w:rsidR="00E85520" w:rsidRPr="00E14D8C">
        <w:rPr>
          <w:lang w:val="en-US"/>
        </w:rPr>
        <w:t>s</w:t>
      </w:r>
      <w:r w:rsidR="000A557C" w:rsidRPr="00E14D8C">
        <w:rPr>
          <w:lang w:val="en-US"/>
        </w:rPr>
        <w:t xml:space="preserve">upport </w:t>
      </w:r>
      <w:r w:rsidR="00E85520" w:rsidRPr="00E14D8C">
        <w:rPr>
          <w:lang w:val="en-US"/>
        </w:rPr>
        <w:t>s</w:t>
      </w:r>
      <w:r w:rsidR="000A557C" w:rsidRPr="00E14D8C">
        <w:rPr>
          <w:lang w:val="en-US"/>
        </w:rPr>
        <w:t>ystems</w:t>
      </w:r>
      <w:r w:rsidR="0041674D" w:rsidRPr="00E14D8C">
        <w:rPr>
          <w:lang w:val="en-US"/>
        </w:rPr>
        <w:t>’</w:t>
      </w:r>
      <w:r w:rsidR="000A557C" w:rsidRPr="00E14D8C">
        <w:rPr>
          <w:lang w:val="en-US"/>
        </w:rPr>
        <w:t xml:space="preserve"> </w:t>
      </w:r>
      <w:r w:rsidR="00017DAB" w:rsidRPr="00E14D8C">
        <w:rPr>
          <w:lang w:val="en-US"/>
        </w:rPr>
        <w:t xml:space="preserve">at </w:t>
      </w:r>
      <w:r w:rsidR="00E81878" w:rsidRPr="00E14D8C">
        <w:rPr>
          <w:lang w:val="en-US"/>
        </w:rPr>
        <w:t>Level 2</w:t>
      </w:r>
      <w:r w:rsidR="00EA0DF7" w:rsidRPr="00E14D8C">
        <w:rPr>
          <w:lang w:val="en-US"/>
        </w:rPr>
        <w:t>.</w:t>
      </w:r>
      <w:r w:rsidR="00EA0DF7" w:rsidRPr="00E14D8C">
        <w:rPr>
          <w:rStyle w:val="FootnoteReference"/>
          <w:lang w:val="en-US"/>
        </w:rPr>
        <w:footnoteReference w:id="101"/>
      </w:r>
      <w:r w:rsidR="00EA0DF7" w:rsidRPr="00E14D8C">
        <w:rPr>
          <w:lang w:val="en-US"/>
        </w:rPr>
        <w:t xml:space="preserve"> Vehicles operating at this level</w:t>
      </w:r>
      <w:r w:rsidR="00E81878" w:rsidRPr="00E14D8C">
        <w:rPr>
          <w:lang w:val="en-US"/>
        </w:rPr>
        <w:t xml:space="preserve"> </w:t>
      </w:r>
      <w:r w:rsidR="00E311A6" w:rsidRPr="00E14D8C">
        <w:rPr>
          <w:lang w:val="en-US"/>
        </w:rPr>
        <w:t xml:space="preserve">enable the system to have some control in the form of acceleration, braking or steering – but </w:t>
      </w:r>
      <w:r w:rsidR="003A4E03" w:rsidRPr="00E14D8C">
        <w:rPr>
          <w:lang w:val="en-US"/>
        </w:rPr>
        <w:t>continue to mandate the presence of a driver to control the vehicle at all times</w:t>
      </w:r>
      <w:r w:rsidR="000A557C" w:rsidRPr="00E14D8C">
        <w:rPr>
          <w:lang w:val="en-US"/>
        </w:rPr>
        <w:t>.</w:t>
      </w:r>
      <w:r w:rsidR="00017DAB" w:rsidRPr="00E14D8C">
        <w:rPr>
          <w:rStyle w:val="FootnoteReference"/>
          <w:lang w:val="en-US"/>
        </w:rPr>
        <w:footnoteReference w:id="102"/>
      </w:r>
      <w:r w:rsidR="00E81878" w:rsidRPr="00E14D8C">
        <w:rPr>
          <w:lang w:val="en-US"/>
        </w:rPr>
        <w:t xml:space="preserve"> </w:t>
      </w:r>
      <w:r w:rsidR="00316333" w:rsidRPr="00E14D8C">
        <w:rPr>
          <w:lang w:val="en-US"/>
        </w:rPr>
        <w:t>Considering that India</w:t>
      </w:r>
      <w:r w:rsidR="00E11D1A" w:rsidRPr="00E14D8C">
        <w:rPr>
          <w:lang w:val="en-US"/>
        </w:rPr>
        <w:t xml:space="preserve"> is not a signatory to the Vienna Convention</w:t>
      </w:r>
      <w:r w:rsidR="00316333" w:rsidRPr="00E14D8C">
        <w:rPr>
          <w:lang w:val="en-US"/>
        </w:rPr>
        <w:t xml:space="preserve">, it is </w:t>
      </w:r>
      <w:r w:rsidR="00E11D1A" w:rsidRPr="00E14D8C">
        <w:rPr>
          <w:lang w:val="en-US"/>
        </w:rPr>
        <w:t xml:space="preserve">not obligated to </w:t>
      </w:r>
      <w:r w:rsidR="00F03653">
        <w:rPr>
          <w:lang w:val="en-US"/>
        </w:rPr>
        <w:t>recognize</w:t>
      </w:r>
      <w:r w:rsidR="00E11D1A" w:rsidRPr="00E14D8C">
        <w:rPr>
          <w:lang w:val="en-US"/>
        </w:rPr>
        <w:t xml:space="preserve"> </w:t>
      </w:r>
      <w:r w:rsidR="00251847">
        <w:rPr>
          <w:lang w:val="en-US"/>
        </w:rPr>
        <w:t>self-driving</w:t>
      </w:r>
      <w:r w:rsidR="00251847" w:rsidRPr="00E14D8C">
        <w:rPr>
          <w:lang w:val="en-US"/>
        </w:rPr>
        <w:t xml:space="preserve"> </w:t>
      </w:r>
      <w:r w:rsidR="000A557C" w:rsidRPr="00E14D8C">
        <w:rPr>
          <w:lang w:val="en-US"/>
        </w:rPr>
        <w:t>cars</w:t>
      </w:r>
      <w:r w:rsidR="00E11D1A" w:rsidRPr="00E14D8C">
        <w:rPr>
          <w:lang w:val="en-US"/>
        </w:rPr>
        <w:t xml:space="preserve"> from </w:t>
      </w:r>
      <w:r w:rsidR="00EC2DAB" w:rsidRPr="00E14D8C">
        <w:rPr>
          <w:lang w:val="en-US"/>
        </w:rPr>
        <w:t>other countries</w:t>
      </w:r>
      <w:r w:rsidR="00316333" w:rsidRPr="00E14D8C">
        <w:rPr>
          <w:lang w:val="en-US"/>
        </w:rPr>
        <w:t xml:space="preserve"> such as Germany or France</w:t>
      </w:r>
      <w:r w:rsidR="00E11D1A" w:rsidRPr="00E14D8C">
        <w:rPr>
          <w:lang w:val="en-US"/>
        </w:rPr>
        <w:t>.</w:t>
      </w:r>
      <w:r w:rsidR="0053669E" w:rsidRPr="00E14D8C">
        <w:rPr>
          <w:lang w:val="en-US"/>
        </w:rPr>
        <w:t xml:space="preserve"> </w:t>
      </w:r>
      <w:r w:rsidR="00316333" w:rsidRPr="00E14D8C">
        <w:rPr>
          <w:lang w:val="en-US"/>
        </w:rPr>
        <w:t xml:space="preserve">Nonetheless, despite being one of the founding signatories </w:t>
      </w:r>
      <w:r w:rsidR="00EC2DAB" w:rsidRPr="00E14D8C">
        <w:rPr>
          <w:lang w:val="en-US"/>
        </w:rPr>
        <w:t>of</w:t>
      </w:r>
      <w:r w:rsidR="00316333" w:rsidRPr="00E14D8C">
        <w:rPr>
          <w:lang w:val="en-US"/>
        </w:rPr>
        <w:t xml:space="preserve"> the Geneva Convention, India has not, unlike some other Contracting States such as China, considered it necessary to </w:t>
      </w:r>
      <w:r w:rsidR="003A4E03" w:rsidRPr="00E14D8C">
        <w:rPr>
          <w:lang w:val="en-US"/>
        </w:rPr>
        <w:t xml:space="preserve">explore the possibility of </w:t>
      </w:r>
      <w:r w:rsidR="003C6E14" w:rsidRPr="00E14D8C">
        <w:rPr>
          <w:lang w:val="en-US"/>
        </w:rPr>
        <w:t>initiat</w:t>
      </w:r>
      <w:r w:rsidR="003A4E03" w:rsidRPr="00E14D8C">
        <w:rPr>
          <w:lang w:val="en-US"/>
        </w:rPr>
        <w:t>ing</w:t>
      </w:r>
      <w:r w:rsidR="003C6E14" w:rsidRPr="00E14D8C">
        <w:rPr>
          <w:lang w:val="en-US"/>
        </w:rPr>
        <w:t xml:space="preserve"> </w:t>
      </w:r>
      <w:r w:rsidR="003A4E03" w:rsidRPr="00E14D8C">
        <w:rPr>
          <w:lang w:val="en-US"/>
        </w:rPr>
        <w:t>a</w:t>
      </w:r>
      <w:r w:rsidR="003C6E14" w:rsidRPr="00E14D8C">
        <w:rPr>
          <w:lang w:val="en-US"/>
        </w:rPr>
        <w:t xml:space="preserve"> legal discourse on the introduction of </w:t>
      </w:r>
      <w:r w:rsidR="00251847">
        <w:rPr>
          <w:lang w:val="en-US"/>
        </w:rPr>
        <w:t>self-driving</w:t>
      </w:r>
      <w:r w:rsidR="00251847" w:rsidRPr="00E14D8C">
        <w:rPr>
          <w:lang w:val="en-US"/>
        </w:rPr>
        <w:t xml:space="preserve"> </w:t>
      </w:r>
      <w:r w:rsidR="003C6E14" w:rsidRPr="00E14D8C">
        <w:rPr>
          <w:lang w:val="en-US"/>
        </w:rPr>
        <w:t>cars in the country.</w:t>
      </w:r>
      <w:r w:rsidR="0053669E" w:rsidRPr="00E14D8C">
        <w:rPr>
          <w:lang w:val="en-US"/>
        </w:rPr>
        <w:t xml:space="preserve"> </w:t>
      </w:r>
      <w:r w:rsidR="00755D22" w:rsidRPr="00E14D8C">
        <w:rPr>
          <w:lang w:val="en-US"/>
        </w:rPr>
        <w:t>In such circumstances, the present principles of Indian law continue to mandate the presence of a human driver in every car</w:t>
      </w:r>
      <w:r w:rsidR="001A5FAD" w:rsidRPr="00E14D8C">
        <w:rPr>
          <w:lang w:val="en-US"/>
        </w:rPr>
        <w:t>,</w:t>
      </w:r>
      <w:r w:rsidR="00755D22" w:rsidRPr="00E14D8C">
        <w:rPr>
          <w:lang w:val="en-US"/>
        </w:rPr>
        <w:t xml:space="preserve"> and</w:t>
      </w:r>
      <w:r w:rsidR="001A5FAD" w:rsidRPr="00E14D8C">
        <w:rPr>
          <w:lang w:val="en-US"/>
        </w:rPr>
        <w:t xml:space="preserve"> the need to formulate special rules to regulate the operation of </w:t>
      </w:r>
      <w:r w:rsidR="00755D22" w:rsidRPr="00E14D8C">
        <w:rPr>
          <w:lang w:val="en-US"/>
        </w:rPr>
        <w:t xml:space="preserve">autonomous cars and, in particular, those that are </w:t>
      </w:r>
      <w:r w:rsidR="00251847">
        <w:rPr>
          <w:lang w:val="en-US"/>
        </w:rPr>
        <w:t>self-driving</w:t>
      </w:r>
      <w:r w:rsidR="00755D22" w:rsidRPr="00E14D8C">
        <w:rPr>
          <w:lang w:val="en-US"/>
        </w:rPr>
        <w:t>,</w:t>
      </w:r>
      <w:r w:rsidR="001A5FAD" w:rsidRPr="00E14D8C">
        <w:rPr>
          <w:lang w:val="en-US"/>
        </w:rPr>
        <w:t xml:space="preserve"> has not been debated to date</w:t>
      </w:r>
      <w:r w:rsidR="00BF43B0" w:rsidRPr="00E14D8C">
        <w:rPr>
          <w:lang w:val="en-US"/>
        </w:rPr>
        <w:t>.</w:t>
      </w:r>
      <w:r w:rsidR="008D0EA5" w:rsidRPr="00E14D8C">
        <w:rPr>
          <w:lang w:val="en-US"/>
        </w:rPr>
        <w:t xml:space="preserve"> </w:t>
      </w:r>
    </w:p>
    <w:p w14:paraId="3CFFBEA2" w14:textId="30FCEAEA" w:rsidR="005A1B77" w:rsidRPr="00E14D8C" w:rsidRDefault="005A1B77" w:rsidP="005A1B77">
      <w:pPr>
        <w:spacing w:line="360" w:lineRule="auto"/>
        <w:jc w:val="both"/>
        <w:rPr>
          <w:lang w:val="en-US"/>
        </w:rPr>
      </w:pPr>
      <w:r w:rsidRPr="00E14D8C">
        <w:rPr>
          <w:lang w:val="en-US"/>
        </w:rPr>
        <w:t xml:space="preserve">        The provisions of the Motor Vehicles Act, 1988 [MVA]</w:t>
      </w:r>
      <w:r w:rsidRPr="00E14D8C">
        <w:rPr>
          <w:vertAlign w:val="superscript"/>
          <w:lang w:val="nl-BE"/>
        </w:rPr>
        <w:footnoteReference w:id="103"/>
      </w:r>
      <w:r w:rsidRPr="00E14D8C">
        <w:rPr>
          <w:lang w:val="en-US"/>
        </w:rPr>
        <w:t xml:space="preserve"> generally regulate the operation of motor vehicles in India.</w:t>
      </w:r>
      <w:r w:rsidR="0053669E" w:rsidRPr="00E14D8C">
        <w:rPr>
          <w:lang w:val="en-US"/>
        </w:rPr>
        <w:t xml:space="preserve"> </w:t>
      </w:r>
      <w:r w:rsidRPr="00E14D8C">
        <w:rPr>
          <w:lang w:val="en-US"/>
        </w:rPr>
        <w:t xml:space="preserve">The expression </w:t>
      </w:r>
      <w:r w:rsidR="0041674D" w:rsidRPr="00E14D8C">
        <w:rPr>
          <w:lang w:val="en-US"/>
        </w:rPr>
        <w:t>‘</w:t>
      </w:r>
      <w:r w:rsidRPr="00E14D8C">
        <w:rPr>
          <w:lang w:val="en-US"/>
        </w:rPr>
        <w:t>motor vehicle</w:t>
      </w:r>
      <w:r w:rsidR="0041674D" w:rsidRPr="00E14D8C">
        <w:rPr>
          <w:lang w:val="en-US"/>
        </w:rPr>
        <w:t>’</w:t>
      </w:r>
      <w:r w:rsidRPr="00E14D8C">
        <w:rPr>
          <w:lang w:val="en-US"/>
        </w:rPr>
        <w:t xml:space="preserve"> is </w:t>
      </w:r>
      <w:r w:rsidR="00EC2DAB" w:rsidRPr="00E14D8C">
        <w:t>broad</w:t>
      </w:r>
      <w:r w:rsidRPr="00E14D8C">
        <w:t xml:space="preserve"> and could potentially govern the operation of autonomous cars</w:t>
      </w:r>
      <w:r w:rsidR="00EC2DAB" w:rsidRPr="00E14D8C">
        <w:t>,</w:t>
      </w:r>
      <w:r w:rsidRPr="00E14D8C">
        <w:t xml:space="preserve"> including </w:t>
      </w:r>
      <w:r w:rsidR="00251847">
        <w:rPr>
          <w:lang w:val="en-US"/>
        </w:rPr>
        <w:t>self-driving</w:t>
      </w:r>
      <w:r w:rsidR="00251847" w:rsidRPr="00E14D8C">
        <w:rPr>
          <w:lang w:val="en-US"/>
        </w:rPr>
        <w:t xml:space="preserve"> </w:t>
      </w:r>
      <w:r w:rsidR="00EF7335" w:rsidRPr="00E14D8C">
        <w:t>ones</w:t>
      </w:r>
      <w:r w:rsidR="003718EC">
        <w:t>,</w:t>
      </w:r>
      <w:r w:rsidRPr="00E14D8C">
        <w:t xml:space="preserve"> upon their introduction.</w:t>
      </w:r>
      <w:r w:rsidR="006C4FA2" w:rsidRPr="00E14D8C">
        <w:rPr>
          <w:rStyle w:val="FootnoteReference"/>
        </w:rPr>
        <w:footnoteReference w:id="104"/>
      </w:r>
      <w:r w:rsidRPr="00E14D8C">
        <w:t xml:space="preserve"> The provisions of the statute </w:t>
      </w:r>
      <w:r w:rsidR="003B6F69" w:rsidRPr="00E14D8C">
        <w:rPr>
          <w:lang w:val="en-US"/>
        </w:rPr>
        <w:t xml:space="preserve">extend to </w:t>
      </w:r>
      <w:r w:rsidRPr="00E14D8C">
        <w:rPr>
          <w:lang w:val="en-US"/>
        </w:rPr>
        <w:t xml:space="preserve">   </w:t>
      </w:r>
    </w:p>
    <w:p w14:paraId="3A41160F" w14:textId="77777777" w:rsidR="005A1B77" w:rsidRPr="00E14D8C" w:rsidRDefault="005A1B77" w:rsidP="005A1B77">
      <w:pPr>
        <w:spacing w:line="360" w:lineRule="auto"/>
        <w:ind w:left="720"/>
        <w:jc w:val="both"/>
        <w:rPr>
          <w:lang w:val="en-US"/>
        </w:rPr>
      </w:pPr>
      <w:r w:rsidRPr="00E14D8C">
        <w:rPr>
          <w:i/>
        </w:rPr>
        <w:t>any</w:t>
      </w:r>
      <w:r w:rsidRPr="00E14D8C">
        <w:t xml:space="preserve"> mechanically propelled vehicle adapted for use upon roads whether the power of propulsion is transmitted thereto from an external or internal source and includes a chassis to which a body has not been attached and a trailer, but does not include a vehicle running upon fixed rails or a vehicle of a special type adapted for use only in a factory or in any other enclosed premises or a vehicle having less than four wheels…</w:t>
      </w:r>
      <w:r w:rsidRPr="00E14D8C">
        <w:rPr>
          <w:vertAlign w:val="superscript"/>
        </w:rPr>
        <w:footnoteReference w:id="105"/>
      </w:r>
      <w:r w:rsidRPr="00E14D8C">
        <w:rPr>
          <w:lang w:val="en-US"/>
        </w:rPr>
        <w:t xml:space="preserve"> </w:t>
      </w:r>
    </w:p>
    <w:p w14:paraId="48823CB8" w14:textId="59BEBF82" w:rsidR="003C6E14" w:rsidRPr="00E14D8C" w:rsidRDefault="001703A9" w:rsidP="00A34E89">
      <w:pPr>
        <w:spacing w:line="360" w:lineRule="auto"/>
        <w:jc w:val="both"/>
        <w:rPr>
          <w:lang w:val="en-US"/>
        </w:rPr>
      </w:pPr>
      <w:r w:rsidRPr="00E14D8C">
        <w:rPr>
          <w:lang w:val="en-US"/>
        </w:rPr>
        <w:t xml:space="preserve">     </w:t>
      </w:r>
      <w:r w:rsidR="00BF43B0" w:rsidRPr="00E14D8C">
        <w:rPr>
          <w:lang w:val="en-US"/>
        </w:rPr>
        <w:t xml:space="preserve">In such circumstances, it </w:t>
      </w:r>
      <w:r w:rsidR="00EC2DAB" w:rsidRPr="00E14D8C">
        <w:rPr>
          <w:lang w:val="en-US"/>
        </w:rPr>
        <w:t xml:space="preserve">is </w:t>
      </w:r>
      <w:r w:rsidR="001A5FAD" w:rsidRPr="00E14D8C">
        <w:rPr>
          <w:lang w:val="en-US"/>
        </w:rPr>
        <w:t>plausib</w:t>
      </w:r>
      <w:r w:rsidR="00BF43B0" w:rsidRPr="00E14D8C">
        <w:rPr>
          <w:lang w:val="en-US"/>
        </w:rPr>
        <w:t>le</w:t>
      </w:r>
      <w:r w:rsidR="001A5FAD" w:rsidRPr="00E14D8C">
        <w:rPr>
          <w:lang w:val="en-US"/>
        </w:rPr>
        <w:t xml:space="preserve"> that t</w:t>
      </w:r>
      <w:r w:rsidR="00BF43B0" w:rsidRPr="00E14D8C">
        <w:rPr>
          <w:lang w:val="en-US"/>
        </w:rPr>
        <w:t xml:space="preserve">he current legal framework on the determination of civil liability in disputes arising from the use of motor vehicles may be extended to </w:t>
      </w:r>
      <w:r w:rsidR="00251847">
        <w:rPr>
          <w:lang w:val="en-US"/>
        </w:rPr>
        <w:t>self-driving</w:t>
      </w:r>
      <w:r w:rsidR="00251847" w:rsidRPr="00E14D8C">
        <w:rPr>
          <w:lang w:val="en-US"/>
        </w:rPr>
        <w:t xml:space="preserve"> </w:t>
      </w:r>
      <w:r w:rsidRPr="00E14D8C">
        <w:rPr>
          <w:lang w:val="en-US"/>
        </w:rPr>
        <w:t xml:space="preserve">cars; thus, </w:t>
      </w:r>
      <w:r w:rsidR="00BF43B0" w:rsidRPr="00E14D8C">
        <w:rPr>
          <w:lang w:val="en-US"/>
        </w:rPr>
        <w:t xml:space="preserve">rendering </w:t>
      </w:r>
      <w:r w:rsidR="0041674D" w:rsidRPr="00E14D8C">
        <w:rPr>
          <w:lang w:val="en-US"/>
        </w:rPr>
        <w:t>India’s</w:t>
      </w:r>
      <w:r w:rsidR="00BC1731" w:rsidRPr="00E14D8C">
        <w:rPr>
          <w:lang w:val="en-US"/>
        </w:rPr>
        <w:t xml:space="preserve"> position akin to legal systems such a</w:t>
      </w:r>
      <w:r w:rsidR="00DE471C" w:rsidRPr="00E14D8C">
        <w:rPr>
          <w:lang w:val="en-US"/>
        </w:rPr>
        <w:t>s</w:t>
      </w:r>
      <w:r w:rsidR="00BC1731" w:rsidRPr="00E14D8C">
        <w:rPr>
          <w:lang w:val="en-US"/>
        </w:rPr>
        <w:t xml:space="preserve"> France that have similarly not devised special principles </w:t>
      </w:r>
      <w:r w:rsidR="00BF43B0" w:rsidRPr="00E14D8C">
        <w:rPr>
          <w:lang w:val="en-US"/>
        </w:rPr>
        <w:t>in this regard</w:t>
      </w:r>
      <w:r w:rsidR="00BC1731" w:rsidRPr="00E14D8C">
        <w:rPr>
          <w:lang w:val="en-US"/>
        </w:rPr>
        <w:t xml:space="preserve">. </w:t>
      </w:r>
    </w:p>
    <w:p w14:paraId="631AEB36" w14:textId="31574C9B" w:rsidR="00831CD8" w:rsidRPr="00E14D8C" w:rsidRDefault="00EA5D0D" w:rsidP="00A34E89">
      <w:pPr>
        <w:spacing w:line="360" w:lineRule="auto"/>
        <w:jc w:val="both"/>
        <w:rPr>
          <w:lang w:val="en-US"/>
        </w:rPr>
      </w:pPr>
      <w:r w:rsidRPr="00E14D8C">
        <w:rPr>
          <w:lang w:val="en-US"/>
        </w:rPr>
        <w:t xml:space="preserve">       </w:t>
      </w:r>
    </w:p>
    <w:p w14:paraId="1457B0B4" w14:textId="6A8FBD1B" w:rsidR="00831CD8" w:rsidRPr="00E14D8C" w:rsidRDefault="00B25AF2" w:rsidP="00956BC3">
      <w:pPr>
        <w:spacing w:line="360" w:lineRule="auto"/>
        <w:jc w:val="both"/>
        <w:rPr>
          <w:b/>
        </w:rPr>
      </w:pPr>
      <w:r w:rsidRPr="00E14D8C">
        <w:rPr>
          <w:b/>
        </w:rPr>
        <w:t xml:space="preserve">3.2. </w:t>
      </w:r>
      <w:r w:rsidR="00E14D8C" w:rsidRPr="00E14D8C">
        <w:rPr>
          <w:b/>
        </w:rPr>
        <w:t xml:space="preserve">  </w:t>
      </w:r>
      <w:r w:rsidR="00831CD8" w:rsidRPr="00E14D8C">
        <w:rPr>
          <w:b/>
        </w:rPr>
        <w:t xml:space="preserve">The Initiation of </w:t>
      </w:r>
      <w:r w:rsidR="00E87AA2" w:rsidRPr="00E14D8C">
        <w:rPr>
          <w:b/>
        </w:rPr>
        <w:t xml:space="preserve">Civil </w:t>
      </w:r>
      <w:r w:rsidR="00831CD8" w:rsidRPr="00E14D8C">
        <w:rPr>
          <w:b/>
        </w:rPr>
        <w:t>Claims and the Jurisdiction of Indian Courts</w:t>
      </w:r>
    </w:p>
    <w:p w14:paraId="3A7F32D9" w14:textId="661642DC" w:rsidR="000E7D89" w:rsidRPr="00E14D8C" w:rsidRDefault="003A03FE" w:rsidP="00A34E89">
      <w:pPr>
        <w:spacing w:line="360" w:lineRule="auto"/>
        <w:jc w:val="both"/>
        <w:rPr>
          <w:lang w:val="en-US"/>
        </w:rPr>
      </w:pPr>
      <w:r w:rsidRPr="00E14D8C">
        <w:rPr>
          <w:lang w:val="en-US"/>
        </w:rPr>
        <w:t xml:space="preserve"> </w:t>
      </w:r>
      <w:r w:rsidR="00831CD8" w:rsidRPr="00E14D8C">
        <w:rPr>
          <w:lang w:val="en-US"/>
        </w:rPr>
        <w:t xml:space="preserve">The circumstances in which Indian courts may adjudicate claims in civil matters such as those involving injuries caused by motor vehicles – including those with a foreign element - generally </w:t>
      </w:r>
      <w:r w:rsidR="00831CD8" w:rsidRPr="00E14D8C">
        <w:rPr>
          <w:lang w:val="en-US"/>
        </w:rPr>
        <w:lastRenderedPageBreak/>
        <w:t xml:space="preserve">resonate with the practice in some major jurisdictions such as </w:t>
      </w:r>
      <w:r w:rsidR="0064693B" w:rsidRPr="00E14D8C">
        <w:rPr>
          <w:lang w:val="en-US"/>
        </w:rPr>
        <w:t>France, Germany and China</w:t>
      </w:r>
      <w:r w:rsidR="00EC2DAB" w:rsidRPr="00E14D8C">
        <w:rPr>
          <w:lang w:val="en-US"/>
        </w:rPr>
        <w:t>,</w:t>
      </w:r>
      <w:r w:rsidR="00831CD8" w:rsidRPr="00E14D8C">
        <w:rPr>
          <w:lang w:val="en-US"/>
        </w:rPr>
        <w:t xml:space="preserve"> to name a few.</w:t>
      </w:r>
      <w:r w:rsidR="0064693B" w:rsidRPr="00E14D8C">
        <w:rPr>
          <w:rStyle w:val="FootnoteReference"/>
          <w:lang w:val="en-US"/>
        </w:rPr>
        <w:footnoteReference w:id="106"/>
      </w:r>
      <w:r w:rsidR="00831CD8" w:rsidRPr="00E14D8C">
        <w:rPr>
          <w:lang w:val="en-US"/>
        </w:rPr>
        <w:t xml:space="preserve"> </w:t>
      </w:r>
      <w:r w:rsidR="00DC314F" w:rsidRPr="00E14D8C">
        <w:rPr>
          <w:lang w:val="en-US"/>
        </w:rPr>
        <w:t>Accordingly, t</w:t>
      </w:r>
      <w:r w:rsidR="00E62953" w:rsidRPr="00E14D8C">
        <w:rPr>
          <w:lang w:val="en-US"/>
        </w:rPr>
        <w:t xml:space="preserve">he provisions of the Code of Civil Procedure, 1908 </w:t>
      </w:r>
      <w:r w:rsidR="00A849B0" w:rsidRPr="00E14D8C">
        <w:rPr>
          <w:lang w:val="en-US"/>
        </w:rPr>
        <w:t xml:space="preserve">[CPC] </w:t>
      </w:r>
      <w:r w:rsidR="00E62953" w:rsidRPr="00E14D8C">
        <w:rPr>
          <w:lang w:val="en-US"/>
        </w:rPr>
        <w:t xml:space="preserve">empower the courts in India to adjudicate disputes in civil matters if the defendant was </w:t>
      </w:r>
      <w:r w:rsidR="0041674D" w:rsidRPr="00E14D8C">
        <w:rPr>
          <w:lang w:val="en-US"/>
        </w:rPr>
        <w:t>‘</w:t>
      </w:r>
      <w:r w:rsidR="00E62953" w:rsidRPr="00E14D8C">
        <w:rPr>
          <w:lang w:val="en-US"/>
        </w:rPr>
        <w:t>actually and voluntarily</w:t>
      </w:r>
      <w:r w:rsidR="0041674D" w:rsidRPr="00E14D8C">
        <w:rPr>
          <w:lang w:val="en-US"/>
        </w:rPr>
        <w:t>’</w:t>
      </w:r>
      <w:r w:rsidR="00E62953" w:rsidRPr="00E14D8C">
        <w:rPr>
          <w:lang w:val="en-US"/>
        </w:rPr>
        <w:t xml:space="preserve"> residing, personally working for gain or was carrying on business within the local limits of its jurisdiction at the time of the initiation of the proceedings.</w:t>
      </w:r>
      <w:r w:rsidR="002E2A33" w:rsidRPr="00E14D8C">
        <w:rPr>
          <w:rStyle w:val="FootnoteReference"/>
          <w:lang w:val="en-US"/>
        </w:rPr>
        <w:footnoteReference w:id="107"/>
      </w:r>
      <w:r w:rsidR="00E62953" w:rsidRPr="00E14D8C">
        <w:rPr>
          <w:lang w:val="en-US"/>
        </w:rPr>
        <w:t xml:space="preserve"> At other times, the court may base its jurisdiction on the fact that the cause of action occurred within its territorial limits.</w:t>
      </w:r>
      <w:r w:rsidR="0053669E" w:rsidRPr="00E14D8C">
        <w:rPr>
          <w:lang w:val="en-US"/>
        </w:rPr>
        <w:t xml:space="preserve"> </w:t>
      </w:r>
      <w:r w:rsidR="003926B4" w:rsidRPr="00E14D8C">
        <w:rPr>
          <w:lang w:val="en-US"/>
        </w:rPr>
        <w:t xml:space="preserve">Disputes arising from the use of </w:t>
      </w:r>
      <w:r w:rsidR="00E62953" w:rsidRPr="00E14D8C">
        <w:rPr>
          <w:lang w:val="en-US"/>
        </w:rPr>
        <w:t xml:space="preserve">motor vehicles such as </w:t>
      </w:r>
      <w:r w:rsidR="00251847">
        <w:rPr>
          <w:lang w:val="en-US"/>
        </w:rPr>
        <w:t>self-driving</w:t>
      </w:r>
      <w:r w:rsidR="00251847" w:rsidRPr="00E14D8C">
        <w:rPr>
          <w:lang w:val="en-US"/>
        </w:rPr>
        <w:t xml:space="preserve"> </w:t>
      </w:r>
      <w:r w:rsidR="00E62953" w:rsidRPr="00E14D8C">
        <w:rPr>
          <w:lang w:val="en-US"/>
        </w:rPr>
        <w:t>cars may, therefore, be initiated within the local limits of the court within whose jurisdiction the harmful act occurred.</w:t>
      </w:r>
      <w:r w:rsidR="00B85969" w:rsidRPr="00E14D8C">
        <w:rPr>
          <w:rStyle w:val="FootnoteReference"/>
          <w:lang w:val="en-US"/>
        </w:rPr>
        <w:footnoteReference w:id="108"/>
      </w:r>
      <w:r w:rsidRPr="00E14D8C">
        <w:rPr>
          <w:lang w:val="en-US"/>
        </w:rPr>
        <w:t xml:space="preserve"> </w:t>
      </w:r>
      <w:r w:rsidR="003926B4" w:rsidRPr="00E14D8C">
        <w:rPr>
          <w:lang w:val="en-US"/>
        </w:rPr>
        <w:t xml:space="preserve">The occurrence of the harmful act or a part of it would, thus, suffice in conferring the court </w:t>
      </w:r>
      <w:r w:rsidR="00A53464" w:rsidRPr="00E14D8C">
        <w:rPr>
          <w:lang w:val="en-US"/>
        </w:rPr>
        <w:t xml:space="preserve">with </w:t>
      </w:r>
      <w:r w:rsidR="003926B4" w:rsidRPr="00E14D8C">
        <w:rPr>
          <w:lang w:val="en-US"/>
        </w:rPr>
        <w:t>jurisdiction in such matters.</w:t>
      </w:r>
      <w:r w:rsidR="00B85969" w:rsidRPr="00E14D8C">
        <w:rPr>
          <w:rStyle w:val="FootnoteReference"/>
          <w:lang w:val="en-US"/>
        </w:rPr>
        <w:footnoteReference w:id="109"/>
      </w:r>
      <w:r w:rsidR="003926B4" w:rsidRPr="00E14D8C">
        <w:rPr>
          <w:lang w:val="en-US"/>
        </w:rPr>
        <w:t xml:space="preserve"> </w:t>
      </w:r>
      <w:r w:rsidR="00E62953" w:rsidRPr="00E14D8C">
        <w:rPr>
          <w:lang w:val="en-US"/>
        </w:rPr>
        <w:t xml:space="preserve">Judicial dicta </w:t>
      </w:r>
      <w:r w:rsidR="00EC2DAB" w:rsidRPr="00E14D8C">
        <w:rPr>
          <w:lang w:val="en-US"/>
        </w:rPr>
        <w:t>indicate</w:t>
      </w:r>
      <w:r w:rsidR="00E62953" w:rsidRPr="00E14D8C">
        <w:rPr>
          <w:lang w:val="en-US"/>
        </w:rPr>
        <w:t xml:space="preserve"> that t</w:t>
      </w:r>
      <w:r w:rsidR="003926B4" w:rsidRPr="00E14D8C">
        <w:rPr>
          <w:lang w:val="en-US"/>
        </w:rPr>
        <w:t>he</w:t>
      </w:r>
      <w:r w:rsidRPr="00E14D8C">
        <w:rPr>
          <w:lang w:val="en-US"/>
        </w:rPr>
        <w:t xml:space="preserve"> separation </w:t>
      </w:r>
      <w:r w:rsidR="003926B4" w:rsidRPr="00E14D8C">
        <w:rPr>
          <w:lang w:val="en-US"/>
        </w:rPr>
        <w:t>in</w:t>
      </w:r>
      <w:r w:rsidRPr="00E14D8C">
        <w:rPr>
          <w:lang w:val="en-US"/>
        </w:rPr>
        <w:t xml:space="preserve"> time between </w:t>
      </w:r>
      <w:r w:rsidR="00EF7335" w:rsidRPr="00E14D8C">
        <w:rPr>
          <w:lang w:val="en-US"/>
        </w:rPr>
        <w:t>one person</w:t>
      </w:r>
      <w:r w:rsidR="00FB08D4" w:rsidRPr="00E14D8C">
        <w:rPr>
          <w:lang w:val="en-US"/>
        </w:rPr>
        <w:t>’</w:t>
      </w:r>
      <w:r w:rsidR="00EF7335" w:rsidRPr="00E14D8C">
        <w:rPr>
          <w:lang w:val="en-US"/>
        </w:rPr>
        <w:t xml:space="preserve">s </w:t>
      </w:r>
      <w:proofErr w:type="spellStart"/>
      <w:r w:rsidR="00EF7335" w:rsidRPr="00E14D8C">
        <w:rPr>
          <w:lang w:val="en-US"/>
        </w:rPr>
        <w:t>behaviour</w:t>
      </w:r>
      <w:proofErr w:type="spellEnd"/>
      <w:r w:rsidR="00CE01B3" w:rsidRPr="00E14D8C">
        <w:rPr>
          <w:lang w:val="en-US"/>
        </w:rPr>
        <w:t xml:space="preserve"> </w:t>
      </w:r>
      <w:r w:rsidRPr="00E14D8C">
        <w:rPr>
          <w:lang w:val="en-US"/>
        </w:rPr>
        <w:t>and the consequent injury</w:t>
      </w:r>
      <w:r w:rsidR="00CE01B3" w:rsidRPr="00E14D8C">
        <w:rPr>
          <w:lang w:val="en-US"/>
        </w:rPr>
        <w:t xml:space="preserve"> </w:t>
      </w:r>
      <w:r w:rsidR="00152113" w:rsidRPr="00E14D8C">
        <w:rPr>
          <w:lang w:val="en-US"/>
        </w:rPr>
        <w:t>is</w:t>
      </w:r>
      <w:r w:rsidR="00CE01B3" w:rsidRPr="00E14D8C">
        <w:rPr>
          <w:lang w:val="en-US"/>
        </w:rPr>
        <w:t xml:space="preserve"> irrelevant</w:t>
      </w:r>
      <w:r w:rsidR="003926B4" w:rsidRPr="00E14D8C">
        <w:rPr>
          <w:lang w:val="en-US"/>
        </w:rPr>
        <w:t xml:space="preserve"> in establishing the </w:t>
      </w:r>
      <w:r w:rsidR="0041674D" w:rsidRPr="00E14D8C">
        <w:rPr>
          <w:lang w:val="en-US"/>
        </w:rPr>
        <w:t>court’s</w:t>
      </w:r>
      <w:r w:rsidR="003926B4" w:rsidRPr="00E14D8C">
        <w:rPr>
          <w:lang w:val="en-US"/>
        </w:rPr>
        <w:t xml:space="preserve"> jurisdiction</w:t>
      </w:r>
      <w:r w:rsidR="00DB52E1" w:rsidRPr="00E14D8C">
        <w:rPr>
          <w:rStyle w:val="FootnoteReference"/>
          <w:lang w:val="en-US"/>
        </w:rPr>
        <w:footnoteReference w:id="110"/>
      </w:r>
      <w:r w:rsidR="00E62953" w:rsidRPr="00E14D8C">
        <w:rPr>
          <w:lang w:val="en-US"/>
        </w:rPr>
        <w:t xml:space="preserve"> - as long as a part of the harmful act occurred within its territorial limits.</w:t>
      </w:r>
      <w:r w:rsidR="002E2A33" w:rsidRPr="00E14D8C">
        <w:rPr>
          <w:rStyle w:val="FootnoteReference"/>
          <w:lang w:val="en-US"/>
        </w:rPr>
        <w:footnoteReference w:id="111"/>
      </w:r>
      <w:r w:rsidR="003926B4" w:rsidRPr="00E14D8C">
        <w:rPr>
          <w:lang w:val="en-US"/>
        </w:rPr>
        <w:t xml:space="preserve"> </w:t>
      </w:r>
      <w:r w:rsidR="00A53464" w:rsidRPr="00E14D8C">
        <w:rPr>
          <w:lang w:val="en-US"/>
        </w:rPr>
        <w:t xml:space="preserve">By this principle, disputes </w:t>
      </w:r>
      <w:r w:rsidR="002E2A33" w:rsidRPr="00E14D8C">
        <w:rPr>
          <w:lang w:val="en-US"/>
        </w:rPr>
        <w:t xml:space="preserve">concerning </w:t>
      </w:r>
      <w:r w:rsidR="00A53464" w:rsidRPr="00E14D8C">
        <w:rPr>
          <w:lang w:val="en-US"/>
        </w:rPr>
        <w:t xml:space="preserve">injuries allegedly attributable to the defect in the </w:t>
      </w:r>
      <w:r w:rsidR="00251847">
        <w:rPr>
          <w:lang w:val="en-US"/>
        </w:rPr>
        <w:t>self-driving</w:t>
      </w:r>
      <w:r w:rsidR="00251847" w:rsidRPr="00E14D8C">
        <w:rPr>
          <w:lang w:val="en-US"/>
        </w:rPr>
        <w:t xml:space="preserve"> </w:t>
      </w:r>
      <w:r w:rsidR="00A53464" w:rsidRPr="00E14D8C">
        <w:rPr>
          <w:lang w:val="en-US"/>
        </w:rPr>
        <w:t>car</w:t>
      </w:r>
      <w:r w:rsidR="002E2A33" w:rsidRPr="00E14D8C">
        <w:rPr>
          <w:lang w:val="en-US"/>
        </w:rPr>
        <w:t xml:space="preserve"> may be initiated within the jurisdiction of the court where the vehicle was produced</w:t>
      </w:r>
      <w:r w:rsidR="00EC2DAB" w:rsidRPr="00E14D8C">
        <w:rPr>
          <w:lang w:val="en-US"/>
        </w:rPr>
        <w:t>,</w:t>
      </w:r>
      <w:r w:rsidR="002E2A33" w:rsidRPr="00E14D8C">
        <w:rPr>
          <w:lang w:val="en-US"/>
        </w:rPr>
        <w:t xml:space="preserve"> or the technical system was designed. </w:t>
      </w:r>
      <w:r w:rsidR="00A53464" w:rsidRPr="00E14D8C">
        <w:rPr>
          <w:lang w:val="en-US"/>
        </w:rPr>
        <w:t xml:space="preserve"> </w:t>
      </w:r>
    </w:p>
    <w:p w14:paraId="41C50070" w14:textId="3DAE98C9" w:rsidR="00853D87" w:rsidRPr="00E14D8C" w:rsidRDefault="00853D87" w:rsidP="00A34E89">
      <w:pPr>
        <w:spacing w:line="360" w:lineRule="auto"/>
        <w:jc w:val="both"/>
        <w:rPr>
          <w:lang w:val="en-US"/>
        </w:rPr>
      </w:pPr>
    </w:p>
    <w:p w14:paraId="6E283786" w14:textId="3F3261E6" w:rsidR="00853D87" w:rsidRPr="00E14D8C" w:rsidRDefault="00B25AF2" w:rsidP="00956BC3">
      <w:pPr>
        <w:spacing w:line="360" w:lineRule="auto"/>
        <w:jc w:val="both"/>
        <w:rPr>
          <w:b/>
          <w:lang w:val="en-US"/>
        </w:rPr>
      </w:pPr>
      <w:r w:rsidRPr="00E14D8C">
        <w:rPr>
          <w:b/>
          <w:lang w:val="en-US"/>
        </w:rPr>
        <w:t xml:space="preserve">3.3. </w:t>
      </w:r>
      <w:r w:rsidR="00E14D8C" w:rsidRPr="00E14D8C">
        <w:rPr>
          <w:b/>
          <w:lang w:val="en-US"/>
        </w:rPr>
        <w:t xml:space="preserve">  </w:t>
      </w:r>
      <w:r w:rsidR="001C756F" w:rsidRPr="00E14D8C">
        <w:rPr>
          <w:b/>
          <w:lang w:val="en-US"/>
        </w:rPr>
        <w:t xml:space="preserve">The Determination of </w:t>
      </w:r>
      <w:r w:rsidR="00E87AA2" w:rsidRPr="00E14D8C">
        <w:rPr>
          <w:b/>
          <w:lang w:val="en-US"/>
        </w:rPr>
        <w:t xml:space="preserve">Civil </w:t>
      </w:r>
      <w:r w:rsidR="001C756F" w:rsidRPr="00E14D8C">
        <w:rPr>
          <w:b/>
          <w:lang w:val="en-US"/>
        </w:rPr>
        <w:t xml:space="preserve">Liability and the Overarching Application of the </w:t>
      </w:r>
      <w:r w:rsidR="001C756F" w:rsidRPr="00E14D8C">
        <w:rPr>
          <w:b/>
          <w:i/>
          <w:lang w:val="en-US"/>
        </w:rPr>
        <w:t xml:space="preserve">Lex </w:t>
      </w:r>
      <w:proofErr w:type="spellStart"/>
      <w:r w:rsidR="001C756F" w:rsidRPr="00E14D8C">
        <w:rPr>
          <w:b/>
          <w:i/>
          <w:lang w:val="en-US"/>
        </w:rPr>
        <w:t>Fori</w:t>
      </w:r>
      <w:proofErr w:type="spellEnd"/>
      <w:r w:rsidR="001C756F" w:rsidRPr="00E14D8C">
        <w:rPr>
          <w:b/>
          <w:lang w:val="en-US"/>
        </w:rPr>
        <w:t xml:space="preserve"> </w:t>
      </w:r>
    </w:p>
    <w:p w14:paraId="135135BB" w14:textId="261F6DB9" w:rsidR="001B63F7" w:rsidRPr="00E14D8C" w:rsidRDefault="001B63F7" w:rsidP="00A34E89">
      <w:pPr>
        <w:spacing w:line="360" w:lineRule="auto"/>
        <w:jc w:val="both"/>
        <w:rPr>
          <w:lang w:val="en-US"/>
        </w:rPr>
      </w:pPr>
      <w:r w:rsidRPr="00E14D8C">
        <w:rPr>
          <w:lang w:val="en-US"/>
        </w:rPr>
        <w:t xml:space="preserve">In contrast to other legal systems discussed above, the principles of Indian conflict of law on </w:t>
      </w:r>
      <w:r w:rsidR="0064693B" w:rsidRPr="00E14D8C">
        <w:rPr>
          <w:lang w:val="en-US"/>
        </w:rPr>
        <w:t>the applicable law in matters of tort</w:t>
      </w:r>
      <w:r w:rsidRPr="00E14D8C">
        <w:rPr>
          <w:lang w:val="en-US"/>
        </w:rPr>
        <w:t xml:space="preserve"> are underdeveloped</w:t>
      </w:r>
      <w:r w:rsidR="0064693B" w:rsidRPr="00E14D8C">
        <w:rPr>
          <w:lang w:val="en-US"/>
        </w:rPr>
        <w:t>.</w:t>
      </w:r>
      <w:r w:rsidR="0053669E" w:rsidRPr="00E14D8C">
        <w:rPr>
          <w:lang w:val="en-US"/>
        </w:rPr>
        <w:t xml:space="preserve"> </w:t>
      </w:r>
      <w:r w:rsidR="0064693B" w:rsidRPr="00E14D8C">
        <w:rPr>
          <w:lang w:val="en-US"/>
        </w:rPr>
        <w:t>The Republic lacks</w:t>
      </w:r>
      <w:r w:rsidRPr="00E14D8C">
        <w:rPr>
          <w:lang w:val="en-US"/>
        </w:rPr>
        <w:t xml:space="preserve"> coherent rules on the subject.</w:t>
      </w:r>
      <w:r w:rsidR="0053669E" w:rsidRPr="00E14D8C">
        <w:rPr>
          <w:lang w:val="en-US"/>
        </w:rPr>
        <w:t xml:space="preserve"> </w:t>
      </w:r>
      <w:r w:rsidRPr="00E14D8C">
        <w:rPr>
          <w:lang w:val="en-US"/>
        </w:rPr>
        <w:t>As a general rule</w:t>
      </w:r>
      <w:r w:rsidR="00853D87" w:rsidRPr="00E14D8C">
        <w:rPr>
          <w:lang w:val="en-US"/>
        </w:rPr>
        <w:t xml:space="preserve">, </w:t>
      </w:r>
      <w:r w:rsidRPr="00E14D8C">
        <w:rPr>
          <w:lang w:val="en-US"/>
        </w:rPr>
        <w:t xml:space="preserve">all civil disputes arising in such claims </w:t>
      </w:r>
      <w:r w:rsidRPr="00E14D8C">
        <w:rPr>
          <w:lang w:val="en-US"/>
        </w:rPr>
        <w:t>are governed by the</w:t>
      </w:r>
      <w:r w:rsidR="00853D87" w:rsidRPr="00E14D8C">
        <w:rPr>
          <w:lang w:val="en-US"/>
        </w:rPr>
        <w:t xml:space="preserve"> </w:t>
      </w:r>
      <w:proofErr w:type="spellStart"/>
      <w:r w:rsidR="00853D87" w:rsidRPr="00E14D8C">
        <w:rPr>
          <w:i/>
          <w:lang w:val="en-US"/>
        </w:rPr>
        <w:t>lex</w:t>
      </w:r>
      <w:proofErr w:type="spellEnd"/>
      <w:r w:rsidR="00853D87" w:rsidRPr="00E14D8C">
        <w:rPr>
          <w:i/>
          <w:lang w:val="en-US"/>
        </w:rPr>
        <w:t xml:space="preserve"> </w:t>
      </w:r>
      <w:proofErr w:type="spellStart"/>
      <w:r w:rsidR="00853D87" w:rsidRPr="00E14D8C">
        <w:rPr>
          <w:i/>
          <w:lang w:val="en-US"/>
        </w:rPr>
        <w:t>fori</w:t>
      </w:r>
      <w:proofErr w:type="spellEnd"/>
      <w:r w:rsidR="006A5530" w:rsidRPr="00E14D8C">
        <w:rPr>
          <w:lang w:val="en-US"/>
        </w:rPr>
        <w:t xml:space="preserve"> or </w:t>
      </w:r>
      <w:r w:rsidR="00853D87" w:rsidRPr="00E14D8C">
        <w:rPr>
          <w:lang w:val="en-US"/>
        </w:rPr>
        <w:t>the law of the forum</w:t>
      </w:r>
      <w:r w:rsidRPr="00E14D8C">
        <w:rPr>
          <w:lang w:val="en-US"/>
        </w:rPr>
        <w:t>.</w:t>
      </w:r>
      <w:r w:rsidR="0053669E" w:rsidRPr="00E14D8C">
        <w:rPr>
          <w:lang w:val="en-US"/>
        </w:rPr>
        <w:t xml:space="preserve"> </w:t>
      </w:r>
      <w:r w:rsidR="00DB6053">
        <w:rPr>
          <w:lang w:val="en-US"/>
        </w:rPr>
        <w:t>Unlike some other legal systems such as Germany, France, the UK or China,</w:t>
      </w:r>
      <w:r w:rsidR="00C16556">
        <w:rPr>
          <w:rStyle w:val="FootnoteReference"/>
          <w:lang w:val="en-US"/>
        </w:rPr>
        <w:footnoteReference w:id="112"/>
      </w:r>
      <w:r w:rsidR="00DB6053">
        <w:rPr>
          <w:lang w:val="en-US"/>
        </w:rPr>
        <w:t xml:space="preserve"> parties to such disputes would not be authorized to choose the governing law.</w:t>
      </w:r>
      <w:r w:rsidR="00C16556">
        <w:rPr>
          <w:rStyle w:val="FootnoteReference"/>
          <w:lang w:val="en-US"/>
        </w:rPr>
        <w:footnoteReference w:id="113"/>
      </w:r>
      <w:r w:rsidR="00DB6053">
        <w:rPr>
          <w:lang w:val="en-US"/>
        </w:rPr>
        <w:t xml:space="preserve"> </w:t>
      </w:r>
      <w:r w:rsidRPr="00E14D8C">
        <w:rPr>
          <w:lang w:val="en-US"/>
        </w:rPr>
        <w:t>Therefore, t</w:t>
      </w:r>
      <w:r w:rsidR="00853D87" w:rsidRPr="00E14D8C">
        <w:rPr>
          <w:lang w:val="en-US"/>
        </w:rPr>
        <w:t>he principles of domestic law woul</w:t>
      </w:r>
      <w:r w:rsidRPr="00E14D8C">
        <w:rPr>
          <w:lang w:val="en-US"/>
        </w:rPr>
        <w:t xml:space="preserve">d </w:t>
      </w:r>
      <w:r w:rsidR="00853D87" w:rsidRPr="00E14D8C">
        <w:rPr>
          <w:lang w:val="en-US"/>
        </w:rPr>
        <w:t xml:space="preserve">govern all claims arising from the use of motor vehicles </w:t>
      </w:r>
      <w:r w:rsidR="008411D8" w:rsidRPr="00E14D8C">
        <w:rPr>
          <w:lang w:val="en-US"/>
        </w:rPr>
        <w:t>-</w:t>
      </w:r>
      <w:r w:rsidRPr="00E14D8C">
        <w:rPr>
          <w:lang w:val="en-US"/>
        </w:rPr>
        <w:t xml:space="preserve"> </w:t>
      </w:r>
      <w:r w:rsidR="008411D8" w:rsidRPr="00E14D8C">
        <w:rPr>
          <w:lang w:val="en-US"/>
        </w:rPr>
        <w:t>irrespective</w:t>
      </w:r>
      <w:r w:rsidR="00853D87" w:rsidRPr="00E14D8C">
        <w:rPr>
          <w:lang w:val="en-US"/>
        </w:rPr>
        <w:t xml:space="preserve"> of whether they are domestic or transnational. </w:t>
      </w:r>
    </w:p>
    <w:p w14:paraId="1C8CA754" w14:textId="4DABE349" w:rsidR="002434F6" w:rsidRPr="00E14D8C" w:rsidRDefault="001B63F7" w:rsidP="00A34E89">
      <w:pPr>
        <w:spacing w:line="360" w:lineRule="auto"/>
        <w:jc w:val="both"/>
        <w:rPr>
          <w:lang w:val="nl-BE"/>
        </w:rPr>
      </w:pPr>
      <w:r w:rsidRPr="00E14D8C">
        <w:rPr>
          <w:lang w:val="en-US"/>
        </w:rPr>
        <w:lastRenderedPageBreak/>
        <w:t xml:space="preserve">      Although there is no decision of the Supreme Court on the subject, judicial dicta </w:t>
      </w:r>
      <w:r w:rsidR="00EC2DAB" w:rsidRPr="00E14D8C">
        <w:rPr>
          <w:lang w:val="en-US"/>
        </w:rPr>
        <w:t>indicate</w:t>
      </w:r>
      <w:r w:rsidRPr="00E14D8C">
        <w:rPr>
          <w:lang w:val="en-US"/>
        </w:rPr>
        <w:t xml:space="preserve"> the application of</w:t>
      </w:r>
      <w:r w:rsidR="006A5530" w:rsidRPr="00E14D8C">
        <w:rPr>
          <w:lang w:val="en-US"/>
        </w:rPr>
        <w:t xml:space="preserve"> the </w:t>
      </w:r>
      <w:r w:rsidR="00D039B3" w:rsidRPr="00E14D8C">
        <w:rPr>
          <w:lang w:val="en-US"/>
        </w:rPr>
        <w:t>principle of double actionability</w:t>
      </w:r>
      <w:r w:rsidR="006A5530" w:rsidRPr="00E14D8C">
        <w:rPr>
          <w:lang w:val="en-US"/>
        </w:rPr>
        <w:t xml:space="preserve"> to identify the governing law in all disputes in matters of tort that contain a foreign element</w:t>
      </w:r>
      <w:r w:rsidR="0064693B" w:rsidRPr="00E14D8C">
        <w:rPr>
          <w:lang w:val="en-US"/>
        </w:rPr>
        <w:t>.</w:t>
      </w:r>
      <w:r w:rsidRPr="00E14D8C">
        <w:rPr>
          <w:rStyle w:val="FootnoteReference"/>
          <w:lang w:val="en-US"/>
        </w:rPr>
        <w:footnoteReference w:id="114"/>
      </w:r>
      <w:r w:rsidR="00480A12" w:rsidRPr="00E14D8C">
        <w:rPr>
          <w:lang w:val="en-US"/>
        </w:rPr>
        <w:t xml:space="preserve"> </w:t>
      </w:r>
      <w:r w:rsidR="0064693B" w:rsidRPr="00E14D8C">
        <w:rPr>
          <w:lang w:val="en-US"/>
        </w:rPr>
        <w:t xml:space="preserve">However, </w:t>
      </w:r>
      <w:r w:rsidR="0064693B" w:rsidRPr="00E14D8C">
        <w:rPr>
          <w:lang w:val="nl-BE"/>
        </w:rPr>
        <w:t>t</w:t>
      </w:r>
      <w:r w:rsidR="00252BEA" w:rsidRPr="00E14D8C">
        <w:rPr>
          <w:lang w:val="nl-BE"/>
        </w:rPr>
        <w:t xml:space="preserve">he </w:t>
      </w:r>
      <w:r w:rsidR="0064693B" w:rsidRPr="00E14D8C">
        <w:rPr>
          <w:lang w:val="nl-BE"/>
        </w:rPr>
        <w:t>principle</w:t>
      </w:r>
      <w:r w:rsidR="00252BEA" w:rsidRPr="00E14D8C">
        <w:rPr>
          <w:lang w:val="nl-BE"/>
        </w:rPr>
        <w:t xml:space="preserve"> is limited to </w:t>
      </w:r>
      <w:r w:rsidR="0041674D" w:rsidRPr="00E14D8C">
        <w:rPr>
          <w:lang w:val="nl-BE"/>
        </w:rPr>
        <w:t>‘</w:t>
      </w:r>
      <w:r w:rsidR="00252BEA" w:rsidRPr="00E14D8C">
        <w:rPr>
          <w:lang w:val="nl-BE"/>
        </w:rPr>
        <w:t>claims occurring overseas</w:t>
      </w:r>
      <w:r w:rsidR="0041674D" w:rsidRPr="00E14D8C">
        <w:rPr>
          <w:lang w:val="nl-BE"/>
        </w:rPr>
        <w:t>’</w:t>
      </w:r>
      <w:r w:rsidR="00252BEA" w:rsidRPr="00E14D8C">
        <w:rPr>
          <w:lang w:val="nl-BE"/>
        </w:rPr>
        <w:t>.</w:t>
      </w:r>
      <w:r w:rsidR="00E95AD8" w:rsidRPr="00E14D8C">
        <w:rPr>
          <w:rStyle w:val="FootnoteReference"/>
          <w:lang w:val="nl-BE"/>
        </w:rPr>
        <w:footnoteReference w:id="115"/>
      </w:r>
      <w:r w:rsidR="00252BEA" w:rsidRPr="00E14D8C">
        <w:rPr>
          <w:lang w:val="nl-BE"/>
        </w:rPr>
        <w:t xml:space="preserve"> Disputes involving the determination of liabilities for any injury to </w:t>
      </w:r>
      <w:r w:rsidR="0041674D" w:rsidRPr="00E14D8C">
        <w:rPr>
          <w:lang w:val="nl-BE"/>
        </w:rPr>
        <w:t>one’s</w:t>
      </w:r>
      <w:r w:rsidR="00252BEA" w:rsidRPr="00E14D8C">
        <w:rPr>
          <w:lang w:val="nl-BE"/>
        </w:rPr>
        <w:t xml:space="preserve"> person or property arising from the operation of domestically manufactured autonomous cars could, thus, </w:t>
      </w:r>
      <w:r w:rsidR="00EC2DAB" w:rsidRPr="00E14D8C">
        <w:rPr>
          <w:lang w:val="nl-BE"/>
        </w:rPr>
        <w:t>necessitate</w:t>
      </w:r>
      <w:r w:rsidR="00252BEA" w:rsidRPr="00E14D8C">
        <w:rPr>
          <w:lang w:val="nl-BE"/>
        </w:rPr>
        <w:t xml:space="preserve"> the application of the double actionability rule </w:t>
      </w:r>
      <w:r w:rsidR="0064693B" w:rsidRPr="00E14D8C">
        <w:rPr>
          <w:lang w:val="nl-BE"/>
        </w:rPr>
        <w:t>if</w:t>
      </w:r>
      <w:r w:rsidR="00252BEA" w:rsidRPr="00E14D8C">
        <w:rPr>
          <w:lang w:val="nl-BE"/>
        </w:rPr>
        <w:t xml:space="preserve"> the damage occurred overseas.</w:t>
      </w:r>
      <w:r w:rsidR="0053669E" w:rsidRPr="00E14D8C">
        <w:rPr>
          <w:lang w:val="nl-BE"/>
        </w:rPr>
        <w:t xml:space="preserve"> </w:t>
      </w:r>
      <w:r w:rsidR="00524093" w:rsidRPr="00E14D8C">
        <w:rPr>
          <w:lang w:val="en-US"/>
        </w:rPr>
        <w:t>Claims of such a nature would be actionable in</w:t>
      </w:r>
      <w:r w:rsidR="00C15932" w:rsidRPr="00E14D8C">
        <w:rPr>
          <w:lang w:val="en-US"/>
        </w:rPr>
        <w:t xml:space="preserve"> India</w:t>
      </w:r>
      <w:r w:rsidR="008411D8" w:rsidRPr="00E14D8C">
        <w:rPr>
          <w:lang w:val="en-US"/>
        </w:rPr>
        <w:t xml:space="preserve"> if </w:t>
      </w:r>
      <w:r w:rsidR="00C15932" w:rsidRPr="00E14D8C">
        <w:rPr>
          <w:lang w:val="en-US"/>
        </w:rPr>
        <w:t xml:space="preserve">and only if </w:t>
      </w:r>
      <w:r w:rsidR="008411D8" w:rsidRPr="00E14D8C">
        <w:rPr>
          <w:lang w:val="en-US"/>
        </w:rPr>
        <w:t xml:space="preserve">the injured party can prove that the act of the tortfeasor was actionable as a) </w:t>
      </w:r>
      <w:r w:rsidR="00DB3CF7" w:rsidRPr="00E14D8C">
        <w:rPr>
          <w:lang w:val="en-US"/>
        </w:rPr>
        <w:t xml:space="preserve">a </w:t>
      </w:r>
      <w:r w:rsidR="0041674D" w:rsidRPr="00E14D8C">
        <w:rPr>
          <w:lang w:val="en-US"/>
        </w:rPr>
        <w:t>‘</w:t>
      </w:r>
      <w:r w:rsidR="008411D8" w:rsidRPr="00E14D8C">
        <w:rPr>
          <w:lang w:val="en-US"/>
        </w:rPr>
        <w:t>wrong</w:t>
      </w:r>
      <w:r w:rsidR="0041674D" w:rsidRPr="00E14D8C">
        <w:rPr>
          <w:lang w:val="en-US"/>
        </w:rPr>
        <w:t>’</w:t>
      </w:r>
      <w:r w:rsidR="008411D8" w:rsidRPr="00E14D8C">
        <w:rPr>
          <w:lang w:val="en-US"/>
        </w:rPr>
        <w:t xml:space="preserve"> – </w:t>
      </w:r>
      <w:r w:rsidR="0041674D" w:rsidRPr="00E14D8C">
        <w:rPr>
          <w:lang w:val="en-US"/>
        </w:rPr>
        <w:t>‘</w:t>
      </w:r>
      <w:r w:rsidR="00EC2DAB" w:rsidRPr="00E14D8C">
        <w:rPr>
          <w:lang w:val="en-US"/>
        </w:rPr>
        <w:t>though</w:t>
      </w:r>
      <w:r w:rsidR="008411D8" w:rsidRPr="00E14D8C">
        <w:rPr>
          <w:lang w:val="en-US"/>
        </w:rPr>
        <w:t xml:space="preserve"> not necessarily a tort</w:t>
      </w:r>
      <w:r w:rsidR="0041674D" w:rsidRPr="00E14D8C">
        <w:rPr>
          <w:lang w:val="en-US"/>
        </w:rPr>
        <w:t>’</w:t>
      </w:r>
      <w:r w:rsidR="008411D8" w:rsidRPr="00E14D8C">
        <w:rPr>
          <w:lang w:val="en-US"/>
        </w:rPr>
        <w:t xml:space="preserve"> – under the law of the place where the alleged tort occurred (</w:t>
      </w:r>
      <w:r w:rsidR="008411D8" w:rsidRPr="00E14D8C">
        <w:rPr>
          <w:i/>
          <w:lang w:val="en-US"/>
        </w:rPr>
        <w:t xml:space="preserve">locus </w:t>
      </w:r>
      <w:proofErr w:type="spellStart"/>
      <w:r w:rsidR="008411D8" w:rsidRPr="00E14D8C">
        <w:rPr>
          <w:i/>
          <w:lang w:val="en-US"/>
        </w:rPr>
        <w:t>delictii</w:t>
      </w:r>
      <w:proofErr w:type="spellEnd"/>
      <w:r w:rsidR="008411D8" w:rsidRPr="00E14D8C">
        <w:rPr>
          <w:lang w:val="en-US"/>
        </w:rPr>
        <w:t xml:space="preserve">) and b) </w:t>
      </w:r>
      <w:r w:rsidR="00DB3CF7" w:rsidRPr="00E14D8C">
        <w:rPr>
          <w:lang w:val="en-US"/>
        </w:rPr>
        <w:t xml:space="preserve">a </w:t>
      </w:r>
      <w:r w:rsidR="008411D8" w:rsidRPr="00E14D8C">
        <w:rPr>
          <w:lang w:val="en-US"/>
        </w:rPr>
        <w:t>tort under the principles of Indian law on the subject.</w:t>
      </w:r>
      <w:r w:rsidR="000D0C09" w:rsidRPr="00E14D8C">
        <w:rPr>
          <w:rStyle w:val="FootnoteReference"/>
          <w:lang w:val="en-US"/>
        </w:rPr>
        <w:footnoteReference w:id="116"/>
      </w:r>
      <w:r w:rsidR="008411D8" w:rsidRPr="00E14D8C">
        <w:rPr>
          <w:lang w:val="en-US"/>
        </w:rPr>
        <w:t xml:space="preserve"> </w:t>
      </w:r>
      <w:r w:rsidR="001C756F" w:rsidRPr="00E14D8C">
        <w:rPr>
          <w:lang w:val="en-US"/>
        </w:rPr>
        <w:t>Therefore</w:t>
      </w:r>
      <w:r w:rsidR="002434F6" w:rsidRPr="00E14D8C">
        <w:rPr>
          <w:lang w:val="en-US"/>
        </w:rPr>
        <w:t xml:space="preserve">, </w:t>
      </w:r>
      <w:r w:rsidR="002434F6" w:rsidRPr="00E14D8C">
        <w:rPr>
          <w:lang w:val="nl-BE"/>
        </w:rPr>
        <w:t>t</w:t>
      </w:r>
      <w:r w:rsidR="00D17809" w:rsidRPr="00E14D8C">
        <w:rPr>
          <w:lang w:val="nl-BE"/>
        </w:rPr>
        <w:t>he aggrieved party must</w:t>
      </w:r>
      <w:r w:rsidR="002434F6" w:rsidRPr="00E14D8C">
        <w:rPr>
          <w:lang w:val="nl-BE"/>
        </w:rPr>
        <w:t xml:space="preserve"> </w:t>
      </w:r>
      <w:r w:rsidR="00D17809" w:rsidRPr="00E14D8C">
        <w:rPr>
          <w:lang w:val="nl-BE"/>
        </w:rPr>
        <w:t xml:space="preserve">demonstrate the </w:t>
      </w:r>
      <w:r w:rsidR="00D17809" w:rsidRPr="00E14D8C">
        <w:rPr>
          <w:i/>
          <w:lang w:val="nl-BE"/>
        </w:rPr>
        <w:t>concurrent</w:t>
      </w:r>
      <w:r w:rsidR="00D17809" w:rsidRPr="00E14D8C">
        <w:rPr>
          <w:lang w:val="nl-BE"/>
        </w:rPr>
        <w:t xml:space="preserve"> liability of the tortfeasor under the legal principles of two jurisdictions – India and the foreign country where the accident occurred</w:t>
      </w:r>
      <w:r w:rsidR="002434F6" w:rsidRPr="00E14D8C">
        <w:rPr>
          <w:lang w:val="nl-BE"/>
        </w:rPr>
        <w:t xml:space="preserve"> – upon which the </w:t>
      </w:r>
      <w:r w:rsidR="002434F6" w:rsidRPr="00E14D8C">
        <w:rPr>
          <w:i/>
          <w:lang w:val="nl-BE"/>
        </w:rPr>
        <w:t>lex fori</w:t>
      </w:r>
      <w:r w:rsidR="002434F6" w:rsidRPr="00E14D8C">
        <w:rPr>
          <w:lang w:val="nl-BE"/>
        </w:rPr>
        <w:t xml:space="preserve"> or, in ot</w:t>
      </w:r>
      <w:r w:rsidR="001C756F" w:rsidRPr="00E14D8C">
        <w:rPr>
          <w:lang w:val="nl-BE"/>
        </w:rPr>
        <w:t>h</w:t>
      </w:r>
      <w:r w:rsidR="002434F6" w:rsidRPr="00E14D8C">
        <w:rPr>
          <w:lang w:val="nl-BE"/>
        </w:rPr>
        <w:t>er words, the principles of national law would govern the dispute</w:t>
      </w:r>
      <w:r w:rsidR="00D17809" w:rsidRPr="00E14D8C">
        <w:rPr>
          <w:lang w:val="nl-BE"/>
        </w:rPr>
        <w:t>.</w:t>
      </w:r>
      <w:r w:rsidR="000D0C09" w:rsidRPr="00E14D8C">
        <w:rPr>
          <w:rStyle w:val="FootnoteReference"/>
          <w:lang w:val="nl-BE"/>
        </w:rPr>
        <w:footnoteReference w:id="117"/>
      </w:r>
      <w:r w:rsidR="00D17809" w:rsidRPr="00E14D8C">
        <w:rPr>
          <w:lang w:val="nl-BE"/>
        </w:rPr>
        <w:t xml:space="preserve"> </w:t>
      </w:r>
      <w:r w:rsidR="002434F6" w:rsidRPr="00E14D8C">
        <w:rPr>
          <w:lang w:val="nl-BE"/>
        </w:rPr>
        <w:t>U</w:t>
      </w:r>
      <w:r w:rsidR="003B4837" w:rsidRPr="00E14D8C">
        <w:rPr>
          <w:lang w:val="nl-BE"/>
        </w:rPr>
        <w:t>nlike</w:t>
      </w:r>
      <w:r w:rsidR="008E37B7" w:rsidRPr="00E14D8C">
        <w:rPr>
          <w:lang w:val="nl-BE"/>
        </w:rPr>
        <w:t xml:space="preserve"> </w:t>
      </w:r>
      <w:r w:rsidR="002434F6" w:rsidRPr="00E14D8C">
        <w:rPr>
          <w:lang w:val="nl-BE"/>
        </w:rPr>
        <w:t>the principles of English common law that form the genesis of the double actionability doctrine</w:t>
      </w:r>
      <w:r w:rsidR="008E37B7" w:rsidRPr="00E14D8C">
        <w:rPr>
          <w:lang w:val="nl-BE"/>
        </w:rPr>
        <w:t>,</w:t>
      </w:r>
      <w:r w:rsidR="0064693B" w:rsidRPr="00E14D8C">
        <w:rPr>
          <w:rStyle w:val="FootnoteReference"/>
          <w:lang w:val="nl-BE"/>
        </w:rPr>
        <w:footnoteReference w:id="118"/>
      </w:r>
      <w:r w:rsidR="008E37B7" w:rsidRPr="00E14D8C">
        <w:rPr>
          <w:lang w:val="nl-BE"/>
        </w:rPr>
        <w:t xml:space="preserve"> Indian law does not require the concurrent application of two laws once the claimant has fulfilled the requirement of demonstrating the validity of the claims under the two legal systems – the </w:t>
      </w:r>
      <w:r w:rsidR="008E37B7" w:rsidRPr="00E14D8C">
        <w:rPr>
          <w:i/>
          <w:lang w:val="nl-BE"/>
        </w:rPr>
        <w:t>lex fori</w:t>
      </w:r>
      <w:r w:rsidR="008E37B7" w:rsidRPr="00E14D8C">
        <w:rPr>
          <w:lang w:val="nl-BE"/>
        </w:rPr>
        <w:t xml:space="preserve"> and the </w:t>
      </w:r>
      <w:r w:rsidR="008E37B7" w:rsidRPr="00E14D8C">
        <w:rPr>
          <w:i/>
          <w:lang w:val="nl-BE"/>
        </w:rPr>
        <w:t>lex loci delictii</w:t>
      </w:r>
      <w:r w:rsidR="008E37B7" w:rsidRPr="00E14D8C">
        <w:rPr>
          <w:lang w:val="nl-BE"/>
        </w:rPr>
        <w:t>.</w:t>
      </w:r>
      <w:r w:rsidR="000D0C09" w:rsidRPr="00E14D8C">
        <w:rPr>
          <w:rStyle w:val="FootnoteReference"/>
          <w:lang w:val="nl-BE"/>
        </w:rPr>
        <w:footnoteReference w:id="119"/>
      </w:r>
      <w:r w:rsidR="008E37B7" w:rsidRPr="00E14D8C">
        <w:rPr>
          <w:lang w:val="nl-BE"/>
        </w:rPr>
        <w:t xml:space="preserve"> </w:t>
      </w:r>
    </w:p>
    <w:p w14:paraId="22D646C0" w14:textId="46F237C3" w:rsidR="006664E1" w:rsidRPr="00E14D8C" w:rsidRDefault="002434F6" w:rsidP="00A34E89">
      <w:pPr>
        <w:spacing w:line="360" w:lineRule="auto"/>
        <w:jc w:val="both"/>
        <w:rPr>
          <w:lang w:val="nl-BE"/>
        </w:rPr>
      </w:pPr>
      <w:r w:rsidRPr="00E14D8C">
        <w:rPr>
          <w:lang w:val="nl-BE"/>
        </w:rPr>
        <w:t xml:space="preserve">       </w:t>
      </w:r>
      <w:r w:rsidR="003F3F98" w:rsidRPr="00E14D8C">
        <w:rPr>
          <w:lang w:val="nl-BE"/>
        </w:rPr>
        <w:t>T</w:t>
      </w:r>
      <w:r w:rsidR="006664E1" w:rsidRPr="00E14D8C">
        <w:rPr>
          <w:lang w:val="nl-BE"/>
        </w:rPr>
        <w:t xml:space="preserve">he court may, however, </w:t>
      </w:r>
      <w:r w:rsidR="003F3F98" w:rsidRPr="00E14D8C">
        <w:rPr>
          <w:lang w:val="nl-BE"/>
        </w:rPr>
        <w:t>in certain circumstances</w:t>
      </w:r>
      <w:r w:rsidR="00EC2DAB" w:rsidRPr="00E14D8C">
        <w:rPr>
          <w:lang w:val="nl-BE"/>
        </w:rPr>
        <w:t>,</w:t>
      </w:r>
      <w:r w:rsidR="003F3F98" w:rsidRPr="00E14D8C">
        <w:rPr>
          <w:lang w:val="nl-BE"/>
        </w:rPr>
        <w:t xml:space="preserve"> decide to</w:t>
      </w:r>
      <w:r w:rsidR="006664E1" w:rsidRPr="00E14D8C">
        <w:rPr>
          <w:lang w:val="nl-BE"/>
        </w:rPr>
        <w:t xml:space="preserve"> test the validity of the claim under the law of one – as opposed to two legal systems.</w:t>
      </w:r>
      <w:r w:rsidR="0053669E" w:rsidRPr="00E14D8C">
        <w:rPr>
          <w:lang w:val="nl-BE"/>
        </w:rPr>
        <w:t xml:space="preserve"> </w:t>
      </w:r>
      <w:r w:rsidR="006664E1" w:rsidRPr="00E14D8C">
        <w:rPr>
          <w:lang w:val="nl-BE"/>
        </w:rPr>
        <w:t xml:space="preserve">This will be the position when </w:t>
      </w:r>
    </w:p>
    <w:p w14:paraId="3097B7D3" w14:textId="23DF2E67" w:rsidR="006664E1" w:rsidRPr="00E14D8C" w:rsidRDefault="006664E1" w:rsidP="00B716BD">
      <w:pPr>
        <w:spacing w:line="360" w:lineRule="auto"/>
        <w:ind w:left="720"/>
        <w:jc w:val="both"/>
      </w:pPr>
      <w:r w:rsidRPr="00E14D8C">
        <w:t xml:space="preserve">the connection between the case and the country whose law is to be denied application </w:t>
      </w:r>
      <w:r w:rsidR="006D1491" w:rsidRPr="00E14D8C">
        <w:t>[is]</w:t>
      </w:r>
      <w:r w:rsidRPr="00E14D8C">
        <w:t xml:space="preserve"> weak that the law has no interest in being applied to the particular dispute, and no other law should be applied instead.</w:t>
      </w:r>
      <w:r w:rsidRPr="00E14D8C">
        <w:rPr>
          <w:rStyle w:val="FootnoteReference"/>
        </w:rPr>
        <w:footnoteReference w:id="120"/>
      </w:r>
    </w:p>
    <w:p w14:paraId="3EE0813F" w14:textId="4D6BB0E4" w:rsidR="000B2DB3" w:rsidRPr="00E14D8C" w:rsidRDefault="004600C4" w:rsidP="00247E89">
      <w:pPr>
        <w:spacing w:line="360" w:lineRule="auto"/>
        <w:jc w:val="both"/>
      </w:pPr>
      <w:r w:rsidRPr="00E14D8C">
        <w:t>There is a dearth of judicial dicta to indicate the circumstances in which the court may exercise such discretion and disregard the concurrent application of two laws.</w:t>
      </w:r>
      <w:r w:rsidR="0053669E" w:rsidRPr="00E14D8C">
        <w:t xml:space="preserve"> </w:t>
      </w:r>
      <w:r w:rsidR="002434F6" w:rsidRPr="00E14D8C">
        <w:t>An examination of a</w:t>
      </w:r>
      <w:r w:rsidRPr="00E14D8C">
        <w:t xml:space="preserve"> 2011 dictum of the Punjab and Haryana High Court in </w:t>
      </w:r>
      <w:proofErr w:type="spellStart"/>
      <w:r w:rsidRPr="00E14D8C">
        <w:rPr>
          <w:i/>
          <w:lang w:val="en-US"/>
        </w:rPr>
        <w:t>Sona</w:t>
      </w:r>
      <w:proofErr w:type="spellEnd"/>
      <w:r w:rsidRPr="00E14D8C">
        <w:rPr>
          <w:i/>
          <w:lang w:val="en-US"/>
        </w:rPr>
        <w:t xml:space="preserve"> Devi v Anil Kumar,</w:t>
      </w:r>
      <w:r w:rsidR="001B63F7" w:rsidRPr="00E14D8C">
        <w:rPr>
          <w:rStyle w:val="FootnoteReference"/>
          <w:lang w:val="en-US"/>
        </w:rPr>
        <w:footnoteReference w:id="121"/>
      </w:r>
      <w:r w:rsidRPr="00E14D8C">
        <w:rPr>
          <w:lang w:val="en-US"/>
        </w:rPr>
        <w:t xml:space="preserve"> which is one of </w:t>
      </w:r>
      <w:r w:rsidRPr="00E14D8C">
        <w:rPr>
          <w:lang w:val="en-US"/>
        </w:rPr>
        <w:lastRenderedPageBreak/>
        <w:t>the two decisions involving the application of the (controversial) double actionability rule</w:t>
      </w:r>
      <w:r w:rsidR="00EC2DAB" w:rsidRPr="00E14D8C">
        <w:rPr>
          <w:lang w:val="en-US"/>
        </w:rPr>
        <w:t>,</w:t>
      </w:r>
      <w:r w:rsidR="001B63F7" w:rsidRPr="00E14D8C">
        <w:rPr>
          <w:rStyle w:val="FootnoteReference"/>
          <w:lang w:val="en-US"/>
        </w:rPr>
        <w:footnoteReference w:id="122"/>
      </w:r>
      <w:r w:rsidRPr="00E14D8C">
        <w:rPr>
          <w:lang w:val="en-US"/>
        </w:rPr>
        <w:t xml:space="preserve"> </w:t>
      </w:r>
      <w:r w:rsidR="004956ED" w:rsidRPr="00E14D8C">
        <w:rPr>
          <w:lang w:val="en-US"/>
        </w:rPr>
        <w:t xml:space="preserve">indicates that the courts are more likely to disregard the application of the </w:t>
      </w:r>
      <w:proofErr w:type="spellStart"/>
      <w:r w:rsidR="004956ED" w:rsidRPr="00E14D8C">
        <w:rPr>
          <w:i/>
          <w:lang w:val="en-US"/>
        </w:rPr>
        <w:t>lex</w:t>
      </w:r>
      <w:proofErr w:type="spellEnd"/>
      <w:r w:rsidR="004956ED" w:rsidRPr="00E14D8C">
        <w:rPr>
          <w:i/>
          <w:lang w:val="en-US"/>
        </w:rPr>
        <w:t xml:space="preserve"> loci delicti</w:t>
      </w:r>
      <w:r w:rsidR="004956ED" w:rsidRPr="00E14D8C">
        <w:rPr>
          <w:lang w:val="en-US"/>
        </w:rPr>
        <w:t xml:space="preserve"> in circumstances where they are satisfied that the claim is more closely connected to the </w:t>
      </w:r>
      <w:proofErr w:type="spellStart"/>
      <w:r w:rsidR="004956ED" w:rsidRPr="00E14D8C">
        <w:rPr>
          <w:i/>
          <w:lang w:val="en-US"/>
        </w:rPr>
        <w:t>lex</w:t>
      </w:r>
      <w:proofErr w:type="spellEnd"/>
      <w:r w:rsidR="004956ED" w:rsidRPr="00E14D8C">
        <w:rPr>
          <w:i/>
          <w:lang w:val="en-US"/>
        </w:rPr>
        <w:t xml:space="preserve"> </w:t>
      </w:r>
      <w:proofErr w:type="spellStart"/>
      <w:r w:rsidR="004956ED" w:rsidRPr="00E14D8C">
        <w:rPr>
          <w:i/>
          <w:lang w:val="en-US"/>
        </w:rPr>
        <w:t>fori</w:t>
      </w:r>
      <w:proofErr w:type="spellEnd"/>
      <w:r w:rsidR="004956ED" w:rsidRPr="00E14D8C">
        <w:rPr>
          <w:lang w:val="en-US"/>
        </w:rPr>
        <w:t xml:space="preserve"> – i.e. India.</w:t>
      </w:r>
      <w:r w:rsidR="003F4B2B" w:rsidRPr="00E14D8C">
        <w:rPr>
          <w:rStyle w:val="FootnoteReference"/>
          <w:lang w:val="en-US"/>
        </w:rPr>
        <w:footnoteReference w:id="123"/>
      </w:r>
      <w:r w:rsidR="004956ED" w:rsidRPr="00E14D8C">
        <w:rPr>
          <w:lang w:val="en-US"/>
        </w:rPr>
        <w:t xml:space="preserve"> </w:t>
      </w:r>
      <w:r w:rsidR="0071008E" w:rsidRPr="00E14D8C">
        <w:rPr>
          <w:lang w:val="en-US"/>
        </w:rPr>
        <w:t xml:space="preserve">The court in the present case was seized of a dispute arising from a road accident in Nepal caused by the use of a (non-autonomous) vehicle </w:t>
      </w:r>
      <w:r w:rsidR="002434F6" w:rsidRPr="00E14D8C">
        <w:rPr>
          <w:lang w:val="en-US"/>
        </w:rPr>
        <w:t xml:space="preserve">registered in India </w:t>
      </w:r>
      <w:r w:rsidR="0071008E" w:rsidRPr="00E14D8C">
        <w:rPr>
          <w:lang w:val="en-US"/>
        </w:rPr>
        <w:t>that resulted in the death of certain pilgrims</w:t>
      </w:r>
      <w:r w:rsidR="002434F6" w:rsidRPr="00E14D8C">
        <w:rPr>
          <w:lang w:val="en-US"/>
        </w:rPr>
        <w:t xml:space="preserve"> of Indian nationality</w:t>
      </w:r>
      <w:r w:rsidR="0071008E" w:rsidRPr="00E14D8C">
        <w:rPr>
          <w:lang w:val="en-US"/>
        </w:rPr>
        <w:t>.</w:t>
      </w:r>
      <w:r w:rsidR="003F4B2B" w:rsidRPr="00E14D8C">
        <w:rPr>
          <w:rStyle w:val="FootnoteReference"/>
          <w:lang w:val="en-US"/>
        </w:rPr>
        <w:footnoteReference w:id="124"/>
      </w:r>
      <w:r w:rsidR="002434F6" w:rsidRPr="00E14D8C">
        <w:rPr>
          <w:lang w:val="en-US"/>
        </w:rPr>
        <w:t xml:space="preserve"> Referring to the principles of English</w:t>
      </w:r>
      <w:r w:rsidR="003F4B2B" w:rsidRPr="00E14D8C">
        <w:rPr>
          <w:rStyle w:val="FootnoteReference"/>
          <w:lang w:val="en-US"/>
        </w:rPr>
        <w:footnoteReference w:id="125"/>
      </w:r>
      <w:r w:rsidR="002434F6" w:rsidRPr="00E14D8C">
        <w:rPr>
          <w:lang w:val="en-US"/>
        </w:rPr>
        <w:t xml:space="preserve"> and American</w:t>
      </w:r>
      <w:r w:rsidR="003F4B2B" w:rsidRPr="00E14D8C">
        <w:rPr>
          <w:rStyle w:val="FootnoteReference"/>
          <w:lang w:val="en-US"/>
        </w:rPr>
        <w:footnoteReference w:id="126"/>
      </w:r>
      <w:r w:rsidR="002434F6" w:rsidRPr="00E14D8C">
        <w:rPr>
          <w:lang w:val="en-US"/>
        </w:rPr>
        <w:t xml:space="preserve"> law, the court decided to displace the application of the Nepalese law – which was the place where the tort occurred and, instead</w:t>
      </w:r>
      <w:r w:rsidR="0041674D" w:rsidRPr="00E14D8C">
        <w:rPr>
          <w:lang w:val="en-US"/>
        </w:rPr>
        <w:t>,</w:t>
      </w:r>
      <w:r w:rsidR="002434F6" w:rsidRPr="00E14D8C">
        <w:rPr>
          <w:lang w:val="en-US"/>
        </w:rPr>
        <w:t xml:space="preserve"> test the actionability of the claim under Indian law on the ground that it bore a significantly closer connection with the parties and the incident.</w:t>
      </w:r>
      <w:r w:rsidR="002F4A51" w:rsidRPr="00E14D8C">
        <w:rPr>
          <w:rStyle w:val="FootnoteReference"/>
          <w:lang w:val="en-US"/>
        </w:rPr>
        <w:footnoteReference w:id="127"/>
      </w:r>
      <w:r w:rsidR="000B2DB3" w:rsidRPr="00E14D8C">
        <w:rPr>
          <w:lang w:val="en-US"/>
        </w:rPr>
        <w:t xml:space="preserve"> </w:t>
      </w:r>
      <w:r w:rsidR="00252BEA" w:rsidRPr="00E14D8C">
        <w:t xml:space="preserve">In such scenarios, the principles of Indian law of tort would (once again) exclusively be applicable to ascertain the validity of the injured </w:t>
      </w:r>
      <w:r w:rsidR="0041674D" w:rsidRPr="00E14D8C">
        <w:t>party’s</w:t>
      </w:r>
      <w:r w:rsidR="00252BEA" w:rsidRPr="00E14D8C">
        <w:t xml:space="preserve"> claim and, consequently</w:t>
      </w:r>
      <w:r w:rsidR="00EC2DAB" w:rsidRPr="00E14D8C">
        <w:t>,</w:t>
      </w:r>
      <w:r w:rsidR="00252BEA" w:rsidRPr="00E14D8C">
        <w:t xml:space="preserve"> determine the </w:t>
      </w:r>
      <w:r w:rsidR="0041674D" w:rsidRPr="00E14D8C">
        <w:t>tortfeasor’s</w:t>
      </w:r>
      <w:r w:rsidR="00252BEA" w:rsidRPr="00E14D8C">
        <w:t xml:space="preserve"> liability.</w:t>
      </w:r>
      <w:r w:rsidR="0053669E" w:rsidRPr="00E14D8C">
        <w:t xml:space="preserve"> </w:t>
      </w:r>
      <w:r w:rsidR="006149F1" w:rsidRPr="00E14D8C">
        <w:t xml:space="preserve">There is no indication on whether the courts would similarly be willing to exclusively invoke the </w:t>
      </w:r>
      <w:proofErr w:type="spellStart"/>
      <w:r w:rsidR="001E30DB" w:rsidRPr="00E14D8C">
        <w:rPr>
          <w:i/>
        </w:rPr>
        <w:t>lex</w:t>
      </w:r>
      <w:proofErr w:type="spellEnd"/>
      <w:r w:rsidR="001E30DB" w:rsidRPr="00E14D8C">
        <w:rPr>
          <w:i/>
        </w:rPr>
        <w:t xml:space="preserve"> loci </w:t>
      </w:r>
      <w:proofErr w:type="spellStart"/>
      <w:r w:rsidR="001E30DB" w:rsidRPr="00E14D8C">
        <w:rPr>
          <w:i/>
        </w:rPr>
        <w:t>delictii</w:t>
      </w:r>
      <w:proofErr w:type="spellEnd"/>
      <w:r w:rsidR="006149F1" w:rsidRPr="00E14D8C">
        <w:t xml:space="preserve"> to determine the rights and liabilities of the parties</w:t>
      </w:r>
      <w:r w:rsidR="001E30DB" w:rsidRPr="00E14D8C">
        <w:t xml:space="preserve"> </w:t>
      </w:r>
      <w:r w:rsidR="00EF7335" w:rsidRPr="00E14D8C">
        <w:t>if</w:t>
      </w:r>
      <w:r w:rsidR="001E30DB" w:rsidRPr="00E14D8C">
        <w:t xml:space="preserve"> the claim has a significantly closer connection to the place where the tort was committed – rendering the application of </w:t>
      </w:r>
      <w:r w:rsidR="000B2DB3" w:rsidRPr="00E14D8C">
        <w:t xml:space="preserve">the </w:t>
      </w:r>
      <w:r w:rsidR="0041674D" w:rsidRPr="00E14D8C">
        <w:t>‘</w:t>
      </w:r>
      <w:r w:rsidR="000B2DB3" w:rsidRPr="00E14D8C">
        <w:t>flexible exception rule</w:t>
      </w:r>
      <w:r w:rsidR="0041674D" w:rsidRPr="00E14D8C">
        <w:t>’</w:t>
      </w:r>
      <w:r w:rsidR="000B2DB3" w:rsidRPr="00E14D8C">
        <w:t xml:space="preserve"> as it is called</w:t>
      </w:r>
      <w:r w:rsidR="001E30DB" w:rsidRPr="00E14D8C">
        <w:t xml:space="preserve">, </w:t>
      </w:r>
      <w:r w:rsidR="000B2DB3" w:rsidRPr="00E14D8C">
        <w:t xml:space="preserve">fortuitous. </w:t>
      </w:r>
    </w:p>
    <w:p w14:paraId="345B9431" w14:textId="21D406C8" w:rsidR="00853D87" w:rsidRPr="00E14D8C" w:rsidRDefault="001E30DB" w:rsidP="00A34E89">
      <w:pPr>
        <w:spacing w:line="360" w:lineRule="auto"/>
        <w:jc w:val="both"/>
        <w:rPr>
          <w:lang w:val="en-GB"/>
        </w:rPr>
      </w:pPr>
      <w:r w:rsidRPr="00E14D8C">
        <w:rPr>
          <w:lang w:val="nl-BE"/>
        </w:rPr>
        <w:t xml:space="preserve">        </w:t>
      </w:r>
      <w:r w:rsidR="00524093" w:rsidRPr="00E14D8C">
        <w:rPr>
          <w:lang w:val="nl-BE"/>
        </w:rPr>
        <w:t xml:space="preserve">At other times, the principles of domestic law </w:t>
      </w:r>
      <w:r w:rsidR="00982606" w:rsidRPr="00E14D8C">
        <w:rPr>
          <w:lang w:val="nl-BE"/>
        </w:rPr>
        <w:t xml:space="preserve">would </w:t>
      </w:r>
      <w:r w:rsidR="00524093" w:rsidRPr="00E14D8C">
        <w:rPr>
          <w:lang w:val="nl-BE"/>
        </w:rPr>
        <w:t>similarly govern claim</w:t>
      </w:r>
      <w:r w:rsidR="00982606" w:rsidRPr="00E14D8C">
        <w:rPr>
          <w:lang w:val="nl-BE"/>
        </w:rPr>
        <w:t>s</w:t>
      </w:r>
      <w:r w:rsidR="00524093" w:rsidRPr="00E14D8C">
        <w:rPr>
          <w:lang w:val="nl-BE"/>
        </w:rPr>
        <w:t xml:space="preserve"> arising from the damage caused to any person or its property in India – regardless of whether the dispute contains a foreign element – insofar as it has not occurred overseas.</w:t>
      </w:r>
      <w:r w:rsidR="0053669E" w:rsidRPr="00E14D8C">
        <w:rPr>
          <w:lang w:val="nl-BE"/>
        </w:rPr>
        <w:t xml:space="preserve"> </w:t>
      </w:r>
      <w:r w:rsidR="00524093" w:rsidRPr="00E14D8C">
        <w:rPr>
          <w:lang w:val="nl-BE"/>
        </w:rPr>
        <w:t xml:space="preserve">Claims concerning the determination of liability of </w:t>
      </w:r>
      <w:r w:rsidRPr="00E14D8C">
        <w:rPr>
          <w:lang w:val="nl-BE"/>
        </w:rPr>
        <w:t>producers of</w:t>
      </w:r>
      <w:r w:rsidR="00524093" w:rsidRPr="00E14D8C">
        <w:rPr>
          <w:lang w:val="nl-BE"/>
        </w:rPr>
        <w:t xml:space="preserve"> </w:t>
      </w:r>
      <w:r w:rsidRPr="00E14D8C">
        <w:rPr>
          <w:lang w:val="nl-BE"/>
        </w:rPr>
        <w:t xml:space="preserve">imported </w:t>
      </w:r>
      <w:r w:rsidR="00251847">
        <w:rPr>
          <w:lang w:val="en-US"/>
        </w:rPr>
        <w:t>self-driving</w:t>
      </w:r>
      <w:r w:rsidR="00251847" w:rsidRPr="00E14D8C">
        <w:rPr>
          <w:lang w:val="en-US"/>
        </w:rPr>
        <w:t xml:space="preserve"> </w:t>
      </w:r>
      <w:r w:rsidR="00524093" w:rsidRPr="00E14D8C">
        <w:rPr>
          <w:lang w:val="nl-BE"/>
        </w:rPr>
        <w:t>car</w:t>
      </w:r>
      <w:r w:rsidRPr="00E14D8C">
        <w:rPr>
          <w:lang w:val="nl-BE"/>
        </w:rPr>
        <w:t>s</w:t>
      </w:r>
      <w:r w:rsidR="00524093" w:rsidRPr="00E14D8C">
        <w:rPr>
          <w:lang w:val="nl-BE"/>
        </w:rPr>
        <w:t xml:space="preserve"> would, thus, </w:t>
      </w:r>
      <w:r w:rsidR="00982606" w:rsidRPr="00E14D8C">
        <w:rPr>
          <w:lang w:val="nl-BE"/>
        </w:rPr>
        <w:t xml:space="preserve">be subject to the rules of </w:t>
      </w:r>
      <w:r w:rsidR="00524093" w:rsidRPr="00E14D8C">
        <w:rPr>
          <w:lang w:val="nl-BE"/>
        </w:rPr>
        <w:t>domestic law</w:t>
      </w:r>
      <w:r w:rsidRPr="00E14D8C">
        <w:rPr>
          <w:lang w:val="nl-BE"/>
        </w:rPr>
        <w:t xml:space="preserve"> if the injury occurred within India</w:t>
      </w:r>
      <w:r w:rsidR="00524093" w:rsidRPr="00E14D8C">
        <w:rPr>
          <w:lang w:val="nl-BE"/>
        </w:rPr>
        <w:t>.</w:t>
      </w:r>
      <w:r w:rsidR="0053669E" w:rsidRPr="00E14D8C">
        <w:rPr>
          <w:lang w:val="nl-BE"/>
        </w:rPr>
        <w:t xml:space="preserve"> </w:t>
      </w:r>
      <w:r w:rsidR="00524093" w:rsidRPr="00E14D8C">
        <w:rPr>
          <w:lang w:val="nl-BE"/>
        </w:rPr>
        <w:t xml:space="preserve">However, in such disputes, the injured party would not be required to demonstrate the concurrent actionability of the claim under the </w:t>
      </w:r>
      <w:r w:rsidR="00524093" w:rsidRPr="00E14D8C">
        <w:rPr>
          <w:i/>
          <w:lang w:val="nl-BE"/>
        </w:rPr>
        <w:t>lex fori</w:t>
      </w:r>
      <w:r w:rsidR="00524093" w:rsidRPr="00E14D8C">
        <w:rPr>
          <w:lang w:val="nl-BE"/>
        </w:rPr>
        <w:t xml:space="preserve"> and the </w:t>
      </w:r>
      <w:r w:rsidR="00524093" w:rsidRPr="00E14D8C">
        <w:rPr>
          <w:i/>
          <w:lang w:val="nl-BE"/>
        </w:rPr>
        <w:t>lex loci delictii</w:t>
      </w:r>
      <w:r w:rsidR="00524093" w:rsidRPr="00E14D8C">
        <w:rPr>
          <w:lang w:val="nl-BE"/>
        </w:rPr>
        <w:t>.</w:t>
      </w:r>
      <w:r w:rsidR="0053669E" w:rsidRPr="00E14D8C">
        <w:rPr>
          <w:lang w:val="nl-BE"/>
        </w:rPr>
        <w:t xml:space="preserve"> </w:t>
      </w:r>
      <w:r w:rsidR="00524093" w:rsidRPr="00E14D8C">
        <w:rPr>
          <w:lang w:val="nl-BE"/>
        </w:rPr>
        <w:t xml:space="preserve">Instead, it would suffice if the claimant can prove the </w:t>
      </w:r>
      <w:r w:rsidR="0041674D" w:rsidRPr="00E14D8C">
        <w:rPr>
          <w:lang w:val="nl-BE"/>
        </w:rPr>
        <w:t>tortfeasor’s</w:t>
      </w:r>
      <w:r w:rsidR="00524093" w:rsidRPr="00E14D8C">
        <w:rPr>
          <w:lang w:val="nl-BE"/>
        </w:rPr>
        <w:t xml:space="preserve"> liability under the domestic principles of </w:t>
      </w:r>
      <w:r w:rsidR="00970F59" w:rsidRPr="00E14D8C">
        <w:rPr>
          <w:lang w:val="nl-BE"/>
        </w:rPr>
        <w:t xml:space="preserve">the </w:t>
      </w:r>
      <w:r w:rsidR="00524093" w:rsidRPr="00E14D8C">
        <w:rPr>
          <w:lang w:val="nl-BE"/>
        </w:rPr>
        <w:t>law of tort as applicable in India.</w:t>
      </w:r>
    </w:p>
    <w:p w14:paraId="4D58CEEC" w14:textId="63071A16" w:rsidR="00017DAB" w:rsidRPr="00E14D8C" w:rsidRDefault="00017DAB" w:rsidP="00A34E89">
      <w:pPr>
        <w:spacing w:line="360" w:lineRule="auto"/>
        <w:jc w:val="both"/>
        <w:rPr>
          <w:lang w:val="en-US"/>
        </w:rPr>
      </w:pPr>
    </w:p>
    <w:p w14:paraId="22809C7B" w14:textId="30246E60" w:rsidR="00017DAB" w:rsidRPr="00E14D8C" w:rsidRDefault="00013446" w:rsidP="00124A71">
      <w:pPr>
        <w:spacing w:line="360" w:lineRule="auto"/>
        <w:jc w:val="both"/>
        <w:rPr>
          <w:b/>
          <w:lang w:val="en-US"/>
        </w:rPr>
      </w:pPr>
      <w:r w:rsidRPr="00E14D8C">
        <w:rPr>
          <w:b/>
          <w:lang w:val="en-US"/>
        </w:rPr>
        <w:t xml:space="preserve">3.4. </w:t>
      </w:r>
      <w:r w:rsidR="00E14D8C" w:rsidRPr="00E14D8C">
        <w:rPr>
          <w:b/>
          <w:lang w:val="en-US"/>
        </w:rPr>
        <w:t xml:space="preserve">  </w:t>
      </w:r>
      <w:r w:rsidR="001053D6" w:rsidRPr="00E14D8C">
        <w:rPr>
          <w:b/>
          <w:lang w:val="en-US"/>
        </w:rPr>
        <w:t>Who may be Liable and under what Circumstance?</w:t>
      </w:r>
      <w:r w:rsidR="00017DAB" w:rsidRPr="00E14D8C">
        <w:rPr>
          <w:b/>
          <w:lang w:val="en-US"/>
        </w:rPr>
        <w:t xml:space="preserve"> </w:t>
      </w:r>
    </w:p>
    <w:p w14:paraId="39A4CA6E" w14:textId="3EDA354A" w:rsidR="009D09C0" w:rsidRPr="00E14D8C" w:rsidRDefault="00013446" w:rsidP="00013446">
      <w:pPr>
        <w:spacing w:line="360" w:lineRule="auto"/>
        <w:jc w:val="both"/>
        <w:rPr>
          <w:b/>
          <w:color w:val="000000"/>
          <w:lang w:val="en-GB" w:eastAsia="nl-BE"/>
        </w:rPr>
      </w:pPr>
      <w:r w:rsidRPr="00E14D8C">
        <w:rPr>
          <w:b/>
          <w:color w:val="000000"/>
          <w:lang w:val="en-GB" w:eastAsia="nl-BE"/>
        </w:rPr>
        <w:t xml:space="preserve">3.4.1. </w:t>
      </w:r>
      <w:r w:rsidR="00E14D8C" w:rsidRPr="00E14D8C">
        <w:rPr>
          <w:b/>
          <w:color w:val="000000"/>
          <w:lang w:val="en-GB" w:eastAsia="nl-BE"/>
        </w:rPr>
        <w:t xml:space="preserve">  </w:t>
      </w:r>
      <w:r w:rsidR="009D09C0" w:rsidRPr="00E14D8C">
        <w:rPr>
          <w:b/>
          <w:color w:val="000000"/>
          <w:lang w:val="en-GB" w:eastAsia="nl-BE"/>
        </w:rPr>
        <w:t xml:space="preserve">An Overview of the Regulatory </w:t>
      </w:r>
      <w:r w:rsidR="003D755B" w:rsidRPr="00E14D8C">
        <w:rPr>
          <w:b/>
          <w:color w:val="000000"/>
          <w:lang w:val="en-GB" w:eastAsia="nl-BE"/>
        </w:rPr>
        <w:t>Landscape</w:t>
      </w:r>
    </w:p>
    <w:p w14:paraId="62BBCA61" w14:textId="32E2E8FC" w:rsidR="00D667FA" w:rsidRPr="00E14D8C" w:rsidRDefault="008D0EA5" w:rsidP="00741F23">
      <w:pPr>
        <w:spacing w:line="360" w:lineRule="auto"/>
        <w:jc w:val="both"/>
        <w:rPr>
          <w:color w:val="000000"/>
          <w:lang w:val="en-GB" w:eastAsia="nl-BE"/>
        </w:rPr>
      </w:pPr>
      <w:r w:rsidRPr="00E14D8C">
        <w:rPr>
          <w:color w:val="000000"/>
          <w:lang w:val="en-GB" w:eastAsia="nl-BE"/>
        </w:rPr>
        <w:t>The provisions of the MVA are confined to the determination of rights and obligations of persons for injuries or damage in road accidents caused by the use of motor vehicles.</w:t>
      </w:r>
      <w:r w:rsidR="0053669E" w:rsidRPr="00E14D8C">
        <w:rPr>
          <w:color w:val="000000"/>
          <w:lang w:val="en-GB" w:eastAsia="nl-BE"/>
        </w:rPr>
        <w:t xml:space="preserve"> </w:t>
      </w:r>
      <w:r w:rsidRPr="00E14D8C">
        <w:rPr>
          <w:color w:val="000000"/>
          <w:lang w:val="en-GB" w:eastAsia="nl-BE"/>
        </w:rPr>
        <w:t xml:space="preserve">Therefore, </w:t>
      </w:r>
      <w:r w:rsidRPr="00E14D8C">
        <w:rPr>
          <w:color w:val="000000"/>
          <w:lang w:val="en-GB" w:eastAsia="nl-BE"/>
        </w:rPr>
        <w:lastRenderedPageBreak/>
        <w:t xml:space="preserve">the statute does not govern disputes </w:t>
      </w:r>
      <w:r w:rsidR="0064693B" w:rsidRPr="00E14D8C">
        <w:rPr>
          <w:color w:val="000000"/>
          <w:lang w:val="en-GB" w:eastAsia="nl-BE"/>
        </w:rPr>
        <w:t>arising from the harm</w:t>
      </w:r>
      <w:r w:rsidRPr="00E14D8C">
        <w:rPr>
          <w:color w:val="000000"/>
          <w:lang w:val="en-GB" w:eastAsia="nl-BE"/>
        </w:rPr>
        <w:t xml:space="preserve"> </w:t>
      </w:r>
      <w:r w:rsidR="0064693B" w:rsidRPr="00E14D8C">
        <w:rPr>
          <w:color w:val="000000"/>
          <w:lang w:val="en-GB" w:eastAsia="nl-BE"/>
        </w:rPr>
        <w:t xml:space="preserve">that a motor vehicle may inflict in any other manner – such as by infringing any </w:t>
      </w:r>
      <w:r w:rsidR="0041674D" w:rsidRPr="00E14D8C">
        <w:rPr>
          <w:color w:val="000000"/>
          <w:lang w:val="en-GB" w:eastAsia="nl-BE"/>
        </w:rPr>
        <w:t>person’s</w:t>
      </w:r>
      <w:r w:rsidR="0064693B" w:rsidRPr="00E14D8C">
        <w:rPr>
          <w:color w:val="000000"/>
          <w:lang w:val="en-GB" w:eastAsia="nl-BE"/>
        </w:rPr>
        <w:t xml:space="preserve"> privacy if the data </w:t>
      </w:r>
      <w:r w:rsidRPr="00E14D8C">
        <w:rPr>
          <w:color w:val="000000"/>
          <w:lang w:val="en-GB" w:eastAsia="nl-BE"/>
        </w:rPr>
        <w:t xml:space="preserve">stored in relation </w:t>
      </w:r>
      <w:r w:rsidR="0064693B" w:rsidRPr="00E14D8C">
        <w:rPr>
          <w:color w:val="000000"/>
          <w:lang w:val="en-GB" w:eastAsia="nl-BE"/>
        </w:rPr>
        <w:t xml:space="preserve">to </w:t>
      </w:r>
      <w:r w:rsidRPr="00E14D8C">
        <w:rPr>
          <w:color w:val="000000"/>
          <w:lang w:val="en-GB" w:eastAsia="nl-BE"/>
        </w:rPr>
        <w:t>the operation of any car has been misused, lost or stolen.</w:t>
      </w:r>
      <w:r w:rsidR="0053669E" w:rsidRPr="00E14D8C">
        <w:rPr>
          <w:color w:val="000000"/>
          <w:lang w:val="en-GB" w:eastAsia="nl-BE"/>
        </w:rPr>
        <w:t xml:space="preserve"> </w:t>
      </w:r>
      <w:r w:rsidRPr="00E14D8C">
        <w:rPr>
          <w:color w:val="000000"/>
          <w:lang w:val="en-GB" w:eastAsia="nl-BE"/>
        </w:rPr>
        <w:t xml:space="preserve">The determination of civil liability in such matters </w:t>
      </w:r>
      <w:r w:rsidR="00E53566" w:rsidRPr="00E14D8C">
        <w:rPr>
          <w:color w:val="000000"/>
          <w:lang w:val="en-GB" w:eastAsia="nl-BE"/>
        </w:rPr>
        <w:t>may</w:t>
      </w:r>
      <w:r w:rsidRPr="00E14D8C">
        <w:rPr>
          <w:color w:val="000000"/>
          <w:lang w:val="en-GB" w:eastAsia="nl-BE"/>
        </w:rPr>
        <w:t xml:space="preserve">, thus, </w:t>
      </w:r>
      <w:r w:rsidR="00E53566" w:rsidRPr="00E14D8C">
        <w:rPr>
          <w:color w:val="000000"/>
          <w:lang w:val="en-GB" w:eastAsia="nl-BE"/>
        </w:rPr>
        <w:t xml:space="preserve">be </w:t>
      </w:r>
      <w:r w:rsidRPr="00E14D8C">
        <w:rPr>
          <w:color w:val="000000"/>
          <w:lang w:val="en-GB" w:eastAsia="nl-BE"/>
        </w:rPr>
        <w:t xml:space="preserve">regulated </w:t>
      </w:r>
      <w:r w:rsidR="00E53566" w:rsidRPr="00E14D8C">
        <w:rPr>
          <w:color w:val="000000"/>
          <w:lang w:val="en-GB" w:eastAsia="nl-BE"/>
        </w:rPr>
        <w:t>under the general principles</w:t>
      </w:r>
      <w:r w:rsidRPr="00E14D8C">
        <w:rPr>
          <w:color w:val="000000"/>
          <w:lang w:val="en-GB" w:eastAsia="nl-BE"/>
        </w:rPr>
        <w:t xml:space="preserve"> of the </w:t>
      </w:r>
      <w:r w:rsidRPr="00E14D8C">
        <w:rPr>
          <w:color w:val="000000"/>
          <w:lang w:val="nl-BE" w:eastAsia="nl-BE"/>
        </w:rPr>
        <w:t>Information Technology Act, 2000</w:t>
      </w:r>
      <w:r w:rsidRPr="00E14D8C">
        <w:rPr>
          <w:color w:val="000000"/>
          <w:vertAlign w:val="superscript"/>
          <w:lang w:val="nl-BE" w:eastAsia="nl-BE"/>
        </w:rPr>
        <w:footnoteReference w:id="128"/>
      </w:r>
      <w:r w:rsidRPr="00E14D8C">
        <w:rPr>
          <w:color w:val="000000"/>
          <w:lang w:val="nl-BE" w:eastAsia="nl-BE"/>
        </w:rPr>
        <w:t xml:space="preserve"> [ITA] and the Information Technology (Reasonable Security Practices and Procedures and Sensitive Personal Data or Information Rules) 2011 [SPDI Rules]</w:t>
      </w:r>
      <w:r w:rsidRPr="00E14D8C">
        <w:rPr>
          <w:color w:val="000000"/>
          <w:lang w:val="en-GB" w:eastAsia="nl-BE"/>
        </w:rPr>
        <w:t xml:space="preserve">.   </w:t>
      </w:r>
    </w:p>
    <w:p w14:paraId="336E8298" w14:textId="3194DE5B" w:rsidR="00C11E5D" w:rsidRPr="00E14D8C" w:rsidRDefault="00C11E5D" w:rsidP="00741F23">
      <w:pPr>
        <w:spacing w:line="360" w:lineRule="auto"/>
        <w:jc w:val="both"/>
        <w:rPr>
          <w:color w:val="000000"/>
          <w:lang w:val="en-GB" w:eastAsia="nl-BE"/>
        </w:rPr>
      </w:pPr>
    </w:p>
    <w:p w14:paraId="37231A6E" w14:textId="7AEFE5DF" w:rsidR="00C11E5D" w:rsidRPr="00E14D8C" w:rsidRDefault="00013446" w:rsidP="00013446">
      <w:pPr>
        <w:spacing w:line="360" w:lineRule="auto"/>
        <w:jc w:val="both"/>
        <w:rPr>
          <w:b/>
          <w:color w:val="000000"/>
          <w:lang w:val="en-GB" w:eastAsia="nl-BE"/>
        </w:rPr>
      </w:pPr>
      <w:r w:rsidRPr="00E14D8C">
        <w:rPr>
          <w:b/>
          <w:color w:val="000000"/>
          <w:lang w:val="en-GB" w:eastAsia="nl-BE"/>
        </w:rPr>
        <w:t xml:space="preserve">3.4.2. </w:t>
      </w:r>
      <w:r w:rsidR="00E14D8C" w:rsidRPr="00E14D8C">
        <w:rPr>
          <w:b/>
          <w:color w:val="000000"/>
          <w:lang w:val="en-GB" w:eastAsia="nl-BE"/>
        </w:rPr>
        <w:t xml:space="preserve">  </w:t>
      </w:r>
      <w:r w:rsidR="00C11E5D" w:rsidRPr="00E14D8C">
        <w:rPr>
          <w:b/>
          <w:color w:val="000000"/>
          <w:lang w:val="en-GB" w:eastAsia="nl-BE"/>
        </w:rPr>
        <w:t xml:space="preserve">Ascertaining the Liability </w:t>
      </w:r>
      <w:r w:rsidR="008A19A0" w:rsidRPr="00E14D8C">
        <w:rPr>
          <w:b/>
          <w:color w:val="000000"/>
          <w:lang w:val="en-GB" w:eastAsia="nl-BE"/>
        </w:rPr>
        <w:t xml:space="preserve">for Injuries caused </w:t>
      </w:r>
      <w:r w:rsidR="00C11E5D" w:rsidRPr="00E14D8C">
        <w:rPr>
          <w:b/>
          <w:color w:val="000000"/>
          <w:lang w:val="en-GB" w:eastAsia="nl-BE"/>
        </w:rPr>
        <w:t>in Road Accidents</w:t>
      </w:r>
    </w:p>
    <w:p w14:paraId="0E86F42B" w14:textId="44761176" w:rsidR="003B26D8" w:rsidRPr="00E14D8C" w:rsidRDefault="003B26D8" w:rsidP="00741F23">
      <w:pPr>
        <w:spacing w:line="360" w:lineRule="auto"/>
        <w:jc w:val="both"/>
        <w:rPr>
          <w:color w:val="000000"/>
          <w:lang w:val="en-GB" w:eastAsia="nl-BE"/>
        </w:rPr>
      </w:pPr>
      <w:r w:rsidRPr="00E14D8C">
        <w:rPr>
          <w:color w:val="000000"/>
          <w:lang w:val="en-GB" w:eastAsia="nl-BE"/>
        </w:rPr>
        <w:t xml:space="preserve">In general, the mechanism to ascertain the consequences for damage occurring through accidents caused by the use of motor vehicles is exceedingly complex </w:t>
      </w:r>
      <w:r w:rsidR="00003CFA" w:rsidRPr="00E14D8C">
        <w:rPr>
          <w:color w:val="000000"/>
          <w:lang w:val="en-GB" w:eastAsia="nl-BE"/>
        </w:rPr>
        <w:t>and unnecessarily confusing</w:t>
      </w:r>
      <w:r w:rsidRPr="00E14D8C">
        <w:rPr>
          <w:color w:val="000000"/>
          <w:lang w:val="en-GB" w:eastAsia="nl-BE"/>
        </w:rPr>
        <w:t>.</w:t>
      </w:r>
      <w:r w:rsidR="0053669E" w:rsidRPr="00E14D8C">
        <w:rPr>
          <w:color w:val="000000"/>
          <w:lang w:val="en-GB" w:eastAsia="nl-BE"/>
        </w:rPr>
        <w:t xml:space="preserve"> </w:t>
      </w:r>
      <w:r w:rsidR="0064693B" w:rsidRPr="00E14D8C">
        <w:rPr>
          <w:lang w:val="en-US"/>
        </w:rPr>
        <w:t>As such</w:t>
      </w:r>
      <w:r w:rsidR="00003CFA" w:rsidRPr="00E14D8C">
        <w:rPr>
          <w:lang w:val="en-US"/>
        </w:rPr>
        <w:t>, the principles of Indian law imbibe a two-pronged approach in this respect - involving the concurrent application of the provision of the MVA</w:t>
      </w:r>
      <w:r w:rsidR="00003CFA" w:rsidRPr="00E14D8C">
        <w:rPr>
          <w:rStyle w:val="FootnoteReference"/>
          <w:lang w:val="en-US"/>
        </w:rPr>
        <w:footnoteReference w:id="129"/>
      </w:r>
      <w:r w:rsidR="00003CFA" w:rsidRPr="00E14D8C">
        <w:rPr>
          <w:lang w:val="en-US"/>
        </w:rPr>
        <w:t xml:space="preserve"> and the principles of English common law on the subject</w:t>
      </w:r>
      <w:r w:rsidR="00003CFA" w:rsidRPr="00E14D8C">
        <w:rPr>
          <w:rStyle w:val="FootnoteReference"/>
          <w:lang w:val="en-US"/>
        </w:rPr>
        <w:footnoteReference w:id="130"/>
      </w:r>
      <w:r w:rsidR="00BE3F0B" w:rsidRPr="00E14D8C">
        <w:rPr>
          <w:lang w:val="en-US"/>
        </w:rPr>
        <w:t xml:space="preserve"> - depending on the severity of the injury.</w:t>
      </w:r>
      <w:r w:rsidR="0053669E" w:rsidRPr="00E14D8C">
        <w:rPr>
          <w:lang w:val="en-US"/>
        </w:rPr>
        <w:t xml:space="preserve"> </w:t>
      </w:r>
      <w:r w:rsidR="0064693B" w:rsidRPr="00E14D8C">
        <w:rPr>
          <w:lang w:val="en-US"/>
        </w:rPr>
        <w:t>On the one hand,</w:t>
      </w:r>
      <w:r w:rsidR="00BE3F0B" w:rsidRPr="00E14D8C">
        <w:rPr>
          <w:lang w:val="en-US"/>
        </w:rPr>
        <w:t xml:space="preserve"> </w:t>
      </w:r>
      <w:r w:rsidR="00003CFA" w:rsidRPr="00E14D8C">
        <w:rPr>
          <w:lang w:val="en-US"/>
        </w:rPr>
        <w:t>the provisions of the MVA</w:t>
      </w:r>
      <w:r w:rsidR="0064693B" w:rsidRPr="00E14D8C">
        <w:rPr>
          <w:lang w:val="en-US"/>
        </w:rPr>
        <w:t xml:space="preserve"> that</w:t>
      </w:r>
      <w:r w:rsidR="00003CFA" w:rsidRPr="00E14D8C">
        <w:rPr>
          <w:lang w:val="en-US"/>
        </w:rPr>
        <w:t xml:space="preserve"> govern the determination of liabilities for serious or grave injuries resulting from the use of motor vehicles</w:t>
      </w:r>
      <w:r w:rsidR="0064693B" w:rsidRPr="00E14D8C">
        <w:rPr>
          <w:lang w:val="en-US"/>
        </w:rPr>
        <w:t xml:space="preserve"> </w:t>
      </w:r>
      <w:r w:rsidR="00BE3F0B" w:rsidRPr="00E14D8C">
        <w:rPr>
          <w:lang w:val="en-US"/>
        </w:rPr>
        <w:t>impose liability on owners of such vehicles</w:t>
      </w:r>
      <w:r w:rsidR="0064693B" w:rsidRPr="00E14D8C">
        <w:rPr>
          <w:lang w:val="en-US"/>
        </w:rPr>
        <w:t>.</w:t>
      </w:r>
      <w:r w:rsidR="00003CFA" w:rsidRPr="00E14D8C">
        <w:rPr>
          <w:rStyle w:val="FootnoteReference"/>
          <w:lang w:val="en-US"/>
        </w:rPr>
        <w:footnoteReference w:id="131"/>
      </w:r>
      <w:r w:rsidR="00003CFA" w:rsidRPr="00E14D8C">
        <w:rPr>
          <w:lang w:val="en-US"/>
        </w:rPr>
        <w:t xml:space="preserve"> </w:t>
      </w:r>
      <w:r w:rsidR="0064693B" w:rsidRPr="00E14D8C">
        <w:rPr>
          <w:lang w:val="en-US"/>
        </w:rPr>
        <w:t xml:space="preserve">On the other hand, </w:t>
      </w:r>
      <w:r w:rsidR="00BE3F0B" w:rsidRPr="00E14D8C">
        <w:rPr>
          <w:lang w:val="en-US"/>
        </w:rPr>
        <w:t>t</w:t>
      </w:r>
      <w:r w:rsidR="00003CFA" w:rsidRPr="00E14D8C">
        <w:rPr>
          <w:lang w:val="en-US"/>
        </w:rPr>
        <w:t xml:space="preserve">he general principles of </w:t>
      </w:r>
      <w:r w:rsidR="00970F59" w:rsidRPr="00E14D8C">
        <w:rPr>
          <w:lang w:val="en-US"/>
        </w:rPr>
        <w:t xml:space="preserve">the </w:t>
      </w:r>
      <w:r w:rsidR="00003CFA" w:rsidRPr="00E14D8C">
        <w:rPr>
          <w:lang w:val="en-US"/>
        </w:rPr>
        <w:t>law of tort</w:t>
      </w:r>
      <w:r w:rsidR="00BE3F0B" w:rsidRPr="00E14D8C">
        <w:rPr>
          <w:lang w:val="en-US"/>
        </w:rPr>
        <w:t xml:space="preserve"> that </w:t>
      </w:r>
      <w:r w:rsidR="00003CFA" w:rsidRPr="00E14D8C">
        <w:rPr>
          <w:lang w:val="en-US"/>
        </w:rPr>
        <w:t xml:space="preserve">regulate the mechanism to determine </w:t>
      </w:r>
      <w:r w:rsidR="0064693B" w:rsidRPr="00E14D8C">
        <w:rPr>
          <w:lang w:val="en-US"/>
        </w:rPr>
        <w:t xml:space="preserve">the liability for </w:t>
      </w:r>
      <w:r w:rsidR="00003CFA" w:rsidRPr="00E14D8C">
        <w:rPr>
          <w:lang w:val="en-US"/>
        </w:rPr>
        <w:t xml:space="preserve">any other </w:t>
      </w:r>
      <w:r w:rsidR="0064693B" w:rsidRPr="00E14D8C">
        <w:rPr>
          <w:lang w:val="en-US"/>
        </w:rPr>
        <w:t>harm</w:t>
      </w:r>
      <w:r w:rsidR="00003CFA" w:rsidRPr="00E14D8C">
        <w:rPr>
          <w:lang w:val="en-US"/>
        </w:rPr>
        <w:t xml:space="preserve"> in the form of bodily injuries or damage to property</w:t>
      </w:r>
      <w:r w:rsidR="00BE3F0B" w:rsidRPr="00E14D8C">
        <w:rPr>
          <w:rStyle w:val="FootnoteReference"/>
          <w:lang w:val="en-US"/>
        </w:rPr>
        <w:footnoteReference w:id="132"/>
      </w:r>
      <w:r w:rsidR="00BE3F0B" w:rsidRPr="00E14D8C">
        <w:rPr>
          <w:lang w:val="en-US"/>
        </w:rPr>
        <w:t xml:space="preserve"> </w:t>
      </w:r>
      <w:r w:rsidR="00BE3F0B" w:rsidRPr="00E14D8C">
        <w:rPr>
          <w:i/>
          <w:lang w:val="en-US"/>
        </w:rPr>
        <w:t>seem to</w:t>
      </w:r>
      <w:r w:rsidR="00BE3F0B" w:rsidRPr="00E14D8C">
        <w:rPr>
          <w:lang w:val="en-US"/>
        </w:rPr>
        <w:t xml:space="preserve"> </w:t>
      </w:r>
      <w:r w:rsidR="0064693B" w:rsidRPr="00E14D8C">
        <w:rPr>
          <w:lang w:val="en-US"/>
        </w:rPr>
        <w:t>additionally hold</w:t>
      </w:r>
      <w:r w:rsidR="00BE3F0B" w:rsidRPr="00E14D8C">
        <w:rPr>
          <w:lang w:val="en-US"/>
        </w:rPr>
        <w:t xml:space="preserve"> </w:t>
      </w:r>
      <w:r w:rsidR="0064693B" w:rsidRPr="00E14D8C">
        <w:rPr>
          <w:lang w:val="en-US"/>
        </w:rPr>
        <w:t>drivers of such vehicles responsible</w:t>
      </w:r>
      <w:r w:rsidR="00003CFA" w:rsidRPr="00E14D8C">
        <w:rPr>
          <w:lang w:val="en-US"/>
        </w:rPr>
        <w:t>.</w:t>
      </w:r>
      <w:r w:rsidR="00003CFA" w:rsidRPr="00E14D8C">
        <w:rPr>
          <w:rStyle w:val="FootnoteReference"/>
          <w:lang w:val="en-US"/>
        </w:rPr>
        <w:footnoteReference w:id="133"/>
      </w:r>
      <w:r w:rsidR="00BE3F0B" w:rsidRPr="00E14D8C">
        <w:rPr>
          <w:color w:val="000000"/>
          <w:lang w:val="en-GB" w:eastAsia="nl-BE"/>
        </w:rPr>
        <w:t xml:space="preserve"> </w:t>
      </w:r>
      <w:r w:rsidR="0064693B" w:rsidRPr="00E14D8C">
        <w:rPr>
          <w:color w:val="000000"/>
          <w:lang w:val="en-GB" w:eastAsia="nl-BE"/>
        </w:rPr>
        <w:t>However, as a general rule, t</w:t>
      </w:r>
      <w:r w:rsidR="00BE3F0B" w:rsidRPr="00E14D8C">
        <w:rPr>
          <w:color w:val="000000"/>
          <w:lang w:val="en-GB" w:eastAsia="nl-BE"/>
        </w:rPr>
        <w:t xml:space="preserve">he liability </w:t>
      </w:r>
      <w:r w:rsidR="0064693B" w:rsidRPr="00E14D8C">
        <w:rPr>
          <w:color w:val="000000"/>
          <w:lang w:val="en-GB" w:eastAsia="nl-BE"/>
        </w:rPr>
        <w:t xml:space="preserve">for any harm </w:t>
      </w:r>
      <w:r w:rsidR="00BE3F0B" w:rsidRPr="00E14D8C">
        <w:rPr>
          <w:color w:val="000000"/>
          <w:lang w:val="en-GB" w:eastAsia="nl-BE"/>
        </w:rPr>
        <w:t>extends to</w:t>
      </w:r>
      <w:r w:rsidRPr="00E14D8C">
        <w:rPr>
          <w:color w:val="000000"/>
          <w:lang w:val="en-GB" w:eastAsia="nl-BE"/>
        </w:rPr>
        <w:t xml:space="preserve"> all </w:t>
      </w:r>
      <w:r w:rsidRPr="00E14D8C">
        <w:rPr>
          <w:color w:val="000000" w:themeColor="text1"/>
          <w:lang w:val="en-US"/>
        </w:rPr>
        <w:t xml:space="preserve">consequences </w:t>
      </w:r>
      <w:r w:rsidRPr="00E14D8C">
        <w:rPr>
          <w:lang w:val="en-US"/>
        </w:rPr>
        <w:t xml:space="preserve">that are </w:t>
      </w:r>
      <w:r w:rsidR="0041674D" w:rsidRPr="00E14D8C">
        <w:rPr>
          <w:lang w:val="en-US"/>
        </w:rPr>
        <w:t>‘</w:t>
      </w:r>
      <w:r w:rsidRPr="00E14D8C">
        <w:rPr>
          <w:lang w:val="en-US"/>
        </w:rPr>
        <w:t>reasonably proximate to the use</w:t>
      </w:r>
      <w:r w:rsidR="0041674D" w:rsidRPr="00E14D8C">
        <w:rPr>
          <w:lang w:val="en-US"/>
        </w:rPr>
        <w:t>’</w:t>
      </w:r>
      <w:r w:rsidRPr="00E14D8C">
        <w:rPr>
          <w:lang w:val="en-US"/>
        </w:rPr>
        <w:t xml:space="preserve"> of any motor vehicle</w:t>
      </w:r>
      <w:r w:rsidR="0064693B" w:rsidRPr="00E14D8C">
        <w:rPr>
          <w:lang w:val="en-US"/>
        </w:rPr>
        <w:t>.</w:t>
      </w:r>
      <w:r w:rsidR="0064693B" w:rsidRPr="00E14D8C">
        <w:rPr>
          <w:rStyle w:val="FootnoteReference"/>
          <w:lang w:val="en-US"/>
        </w:rPr>
        <w:footnoteReference w:id="134"/>
      </w:r>
      <w:r w:rsidR="0064693B" w:rsidRPr="00E14D8C">
        <w:rPr>
          <w:lang w:val="en-US"/>
        </w:rPr>
        <w:t xml:space="preserve"> Therefore, owners and/or drivers </w:t>
      </w:r>
      <w:r w:rsidR="007E50FE" w:rsidRPr="00E14D8C">
        <w:rPr>
          <w:lang w:val="en-US"/>
        </w:rPr>
        <w:t>would</w:t>
      </w:r>
      <w:r w:rsidRPr="00E14D8C">
        <w:rPr>
          <w:lang w:val="en-US"/>
        </w:rPr>
        <w:t xml:space="preserve"> </w:t>
      </w:r>
      <w:r w:rsidR="0064693B" w:rsidRPr="00E14D8C">
        <w:rPr>
          <w:lang w:val="en-US"/>
        </w:rPr>
        <w:t xml:space="preserve">be liable for </w:t>
      </w:r>
      <w:r w:rsidR="007E50FE" w:rsidRPr="00E14D8C">
        <w:rPr>
          <w:lang w:val="en-US"/>
        </w:rPr>
        <w:t>all harm caused by the motor vehicle while</w:t>
      </w:r>
      <w:r w:rsidR="0064693B" w:rsidRPr="00E14D8C">
        <w:rPr>
          <w:lang w:val="en-US"/>
        </w:rPr>
        <w:t xml:space="preserve"> being loaded or unloaded</w:t>
      </w:r>
      <w:r w:rsidR="007E50FE" w:rsidRPr="00E14D8C">
        <w:rPr>
          <w:lang w:val="en-US"/>
        </w:rPr>
        <w:t>.</w:t>
      </w:r>
      <w:r w:rsidRPr="00E14D8C">
        <w:rPr>
          <w:rStyle w:val="FootnoteReference"/>
          <w:lang w:val="en-US"/>
        </w:rPr>
        <w:footnoteReference w:id="135"/>
      </w:r>
      <w:r w:rsidR="007E50FE" w:rsidRPr="00E14D8C">
        <w:rPr>
          <w:lang w:val="en-US"/>
        </w:rPr>
        <w:t xml:space="preserve"> Similarly, owners and/or drivers would be liable for all damage caused by</w:t>
      </w:r>
      <w:r w:rsidRPr="00E14D8C">
        <w:rPr>
          <w:lang w:val="en-US"/>
        </w:rPr>
        <w:t xml:space="preserve"> a fire or </w:t>
      </w:r>
      <w:r w:rsidR="007E50FE" w:rsidRPr="00E14D8C">
        <w:rPr>
          <w:lang w:val="en-US"/>
        </w:rPr>
        <w:t xml:space="preserve">an </w:t>
      </w:r>
      <w:r w:rsidRPr="00E14D8C">
        <w:rPr>
          <w:lang w:val="en-US"/>
        </w:rPr>
        <w:t>explosion</w:t>
      </w:r>
      <w:r w:rsidR="007E50FE" w:rsidRPr="00E14D8C">
        <w:rPr>
          <w:lang w:val="en-US"/>
        </w:rPr>
        <w:t xml:space="preserve"> of a motor vehicle</w:t>
      </w:r>
      <w:r w:rsidRPr="00E14D8C">
        <w:rPr>
          <w:lang w:val="en-US"/>
        </w:rPr>
        <w:t xml:space="preserve"> when it was lying stationary on the road after being involved in an accident is irrelevant in establishing the liability of such persons.</w:t>
      </w:r>
      <w:r w:rsidRPr="00E14D8C">
        <w:rPr>
          <w:rStyle w:val="FootnoteReference"/>
          <w:lang w:val="en-US"/>
        </w:rPr>
        <w:footnoteReference w:id="136"/>
      </w:r>
      <w:r w:rsidRPr="00E14D8C">
        <w:rPr>
          <w:lang w:val="en-US"/>
        </w:rPr>
        <w:t xml:space="preserve"> </w:t>
      </w:r>
    </w:p>
    <w:p w14:paraId="7685538D" w14:textId="70232823" w:rsidR="00931AAA" w:rsidRPr="00E14D8C" w:rsidRDefault="003B26D8" w:rsidP="00A34E89">
      <w:pPr>
        <w:spacing w:line="360" w:lineRule="auto"/>
        <w:jc w:val="both"/>
        <w:rPr>
          <w:lang w:val="en-US"/>
        </w:rPr>
      </w:pPr>
      <w:r w:rsidRPr="00E14D8C">
        <w:rPr>
          <w:lang w:val="en-US"/>
        </w:rPr>
        <w:lastRenderedPageBreak/>
        <w:t xml:space="preserve">       </w:t>
      </w:r>
      <w:r w:rsidR="00741F23" w:rsidRPr="00E14D8C">
        <w:rPr>
          <w:lang w:val="en-US"/>
        </w:rPr>
        <w:t xml:space="preserve">       </w:t>
      </w:r>
      <w:r w:rsidR="00CA1B78" w:rsidRPr="00E14D8C">
        <w:rPr>
          <w:lang w:val="en-US"/>
        </w:rPr>
        <w:t xml:space="preserve">       </w:t>
      </w:r>
      <w:r w:rsidR="00931AAA" w:rsidRPr="00E14D8C">
        <w:rPr>
          <w:lang w:val="en-US"/>
        </w:rPr>
        <w:t xml:space="preserve">         </w:t>
      </w:r>
    </w:p>
    <w:p w14:paraId="57EFF71D" w14:textId="59265F6C" w:rsidR="00D303D4" w:rsidRPr="00E14D8C" w:rsidRDefault="00013446" w:rsidP="00A34E89">
      <w:pPr>
        <w:spacing w:line="360" w:lineRule="auto"/>
        <w:jc w:val="both"/>
        <w:rPr>
          <w:b/>
          <w:lang w:val="en-US"/>
        </w:rPr>
      </w:pPr>
      <w:r w:rsidRPr="00E14D8C">
        <w:rPr>
          <w:b/>
          <w:lang w:val="en-US"/>
        </w:rPr>
        <w:t xml:space="preserve">3.4.2.1. </w:t>
      </w:r>
      <w:r w:rsidR="00E14D8C" w:rsidRPr="00E14D8C">
        <w:rPr>
          <w:b/>
          <w:lang w:val="en-US"/>
        </w:rPr>
        <w:t xml:space="preserve">  </w:t>
      </w:r>
      <w:r w:rsidR="00E0409F" w:rsidRPr="00E14D8C">
        <w:rPr>
          <w:b/>
          <w:lang w:val="en-US"/>
        </w:rPr>
        <w:t>Fatal or</w:t>
      </w:r>
      <w:r w:rsidR="00786C66" w:rsidRPr="00E14D8C">
        <w:rPr>
          <w:b/>
          <w:lang w:val="en-US"/>
        </w:rPr>
        <w:t xml:space="preserve"> Grave Injuries</w:t>
      </w:r>
      <w:r w:rsidR="00CE3C53" w:rsidRPr="00E14D8C">
        <w:rPr>
          <w:b/>
          <w:lang w:val="en-US"/>
        </w:rPr>
        <w:t xml:space="preserve"> and the </w:t>
      </w:r>
      <w:r w:rsidR="006742E2" w:rsidRPr="00E14D8C">
        <w:rPr>
          <w:b/>
          <w:lang w:val="en-US"/>
        </w:rPr>
        <w:t>Unc</w:t>
      </w:r>
      <w:r w:rsidR="00CE3C53" w:rsidRPr="00E14D8C">
        <w:rPr>
          <w:b/>
          <w:lang w:val="en-US"/>
        </w:rPr>
        <w:t>onditional Liability of the Owner</w:t>
      </w:r>
    </w:p>
    <w:p w14:paraId="3D3BC32C" w14:textId="7811A617" w:rsidR="0061797E" w:rsidRPr="00E14D8C" w:rsidRDefault="00986B65" w:rsidP="00BE3F0B">
      <w:pPr>
        <w:spacing w:line="360" w:lineRule="auto"/>
        <w:jc w:val="both"/>
        <w:rPr>
          <w:i/>
          <w:lang w:val="en-US"/>
        </w:rPr>
      </w:pPr>
      <w:r>
        <w:rPr>
          <w:i/>
          <w:lang w:val="en-US"/>
        </w:rPr>
        <w:t xml:space="preserve">a.  </w:t>
      </w:r>
      <w:r w:rsidR="0061797E" w:rsidRPr="00E14D8C">
        <w:rPr>
          <w:i/>
          <w:lang w:val="en-US"/>
        </w:rPr>
        <w:t>When is an Injury Fatal or Grave?</w:t>
      </w:r>
    </w:p>
    <w:p w14:paraId="36C8BAAA" w14:textId="643CF6C7" w:rsidR="0061797E" w:rsidRPr="00E14D8C" w:rsidRDefault="00D532AA" w:rsidP="00BE3F0B">
      <w:pPr>
        <w:spacing w:line="360" w:lineRule="auto"/>
        <w:jc w:val="both"/>
        <w:rPr>
          <w:lang w:val="en-GB"/>
        </w:rPr>
      </w:pPr>
      <w:r w:rsidRPr="00E14D8C">
        <w:rPr>
          <w:lang w:val="en-US"/>
        </w:rPr>
        <w:t xml:space="preserve">As a general rule, injuries resulting from the use of a motor vehicle are considered </w:t>
      </w:r>
      <w:r w:rsidR="0041674D" w:rsidRPr="00E14D8C">
        <w:rPr>
          <w:lang w:val="en-US"/>
        </w:rPr>
        <w:t>‘</w:t>
      </w:r>
      <w:r w:rsidR="00786C66" w:rsidRPr="00E14D8C">
        <w:rPr>
          <w:lang w:val="en-US"/>
        </w:rPr>
        <w:t>grave</w:t>
      </w:r>
      <w:r w:rsidR="0041674D" w:rsidRPr="00E14D8C">
        <w:rPr>
          <w:lang w:val="en-US"/>
        </w:rPr>
        <w:t>’</w:t>
      </w:r>
      <w:r w:rsidR="00786C66" w:rsidRPr="00E14D8C">
        <w:rPr>
          <w:lang w:val="en-US"/>
        </w:rPr>
        <w:t xml:space="preserve"> </w:t>
      </w:r>
      <w:r w:rsidR="001C2DB0" w:rsidRPr="00E14D8C">
        <w:rPr>
          <w:lang w:val="en-US"/>
        </w:rPr>
        <w:t xml:space="preserve">if </w:t>
      </w:r>
      <w:r w:rsidRPr="00E14D8C">
        <w:rPr>
          <w:lang w:val="en-US"/>
        </w:rPr>
        <w:t xml:space="preserve">they </w:t>
      </w:r>
      <w:r w:rsidR="001C2DB0" w:rsidRPr="00E14D8C">
        <w:rPr>
          <w:lang w:val="en-US"/>
        </w:rPr>
        <w:t>result in</w:t>
      </w:r>
      <w:r w:rsidR="00786C66" w:rsidRPr="00E14D8C">
        <w:rPr>
          <w:lang w:val="en-US"/>
        </w:rPr>
        <w:t xml:space="preserve"> death or</w:t>
      </w:r>
      <w:r w:rsidR="001C2DB0" w:rsidRPr="00E14D8C">
        <w:rPr>
          <w:lang w:val="en-US"/>
        </w:rPr>
        <w:t xml:space="preserve"> when they</w:t>
      </w:r>
      <w:r w:rsidR="00786C66" w:rsidRPr="00E14D8C">
        <w:rPr>
          <w:lang w:val="en-US"/>
        </w:rPr>
        <w:t xml:space="preserve"> permanent</w:t>
      </w:r>
      <w:r w:rsidR="001C2DB0" w:rsidRPr="00E14D8C">
        <w:rPr>
          <w:lang w:val="en-US"/>
        </w:rPr>
        <w:t>ly</w:t>
      </w:r>
      <w:r w:rsidR="00786C66" w:rsidRPr="00E14D8C">
        <w:rPr>
          <w:lang w:val="en-US"/>
        </w:rPr>
        <w:t xml:space="preserve"> disable any person</w:t>
      </w:r>
      <w:r w:rsidR="00142EE2" w:rsidRPr="00E14D8C">
        <w:rPr>
          <w:lang w:val="en-US"/>
        </w:rPr>
        <w:t>.</w:t>
      </w:r>
      <w:r w:rsidR="009F2E12" w:rsidRPr="00E14D8C">
        <w:rPr>
          <w:rStyle w:val="FootnoteReference"/>
          <w:lang w:val="en-US"/>
        </w:rPr>
        <w:footnoteReference w:id="137"/>
      </w:r>
      <w:r w:rsidR="009F2E12" w:rsidRPr="00E14D8C">
        <w:rPr>
          <w:lang w:val="en-US"/>
        </w:rPr>
        <w:t xml:space="preserve"> </w:t>
      </w:r>
      <w:r w:rsidR="003D755B" w:rsidRPr="00E14D8C">
        <w:rPr>
          <w:lang w:val="en-US"/>
        </w:rPr>
        <w:t>A</w:t>
      </w:r>
      <w:r w:rsidR="00142EE2" w:rsidRPr="00E14D8C">
        <w:rPr>
          <w:lang w:val="en-US"/>
        </w:rPr>
        <w:t xml:space="preserve"> motor vehicle such as an</w:t>
      </w:r>
      <w:r w:rsidR="008E19BF" w:rsidRPr="00E14D8C">
        <w:rPr>
          <w:lang w:val="en-US"/>
        </w:rPr>
        <w:t xml:space="preserve"> autonomous </w:t>
      </w:r>
      <w:r w:rsidR="00142EE2" w:rsidRPr="00E14D8C">
        <w:rPr>
          <w:lang w:val="en-US"/>
        </w:rPr>
        <w:t xml:space="preserve">car </w:t>
      </w:r>
      <w:r w:rsidR="00CA65E3" w:rsidRPr="00E14D8C">
        <w:rPr>
          <w:lang w:val="en-US"/>
        </w:rPr>
        <w:t xml:space="preserve">- </w:t>
      </w:r>
      <w:r w:rsidR="00142EE2" w:rsidRPr="00E14D8C">
        <w:rPr>
          <w:lang w:val="en-US"/>
        </w:rPr>
        <w:t xml:space="preserve">including one that is </w:t>
      </w:r>
      <w:r w:rsidR="00251847">
        <w:rPr>
          <w:lang w:val="en-US"/>
        </w:rPr>
        <w:t>self-driving</w:t>
      </w:r>
      <w:r w:rsidR="00251847" w:rsidRPr="00E14D8C">
        <w:rPr>
          <w:lang w:val="en-US"/>
        </w:rPr>
        <w:t xml:space="preserve"> </w:t>
      </w:r>
      <w:r w:rsidR="00142EE2" w:rsidRPr="00E14D8C">
        <w:rPr>
          <w:lang w:val="en-US"/>
        </w:rPr>
        <w:t>–</w:t>
      </w:r>
      <w:r w:rsidR="008E19BF" w:rsidRPr="00E14D8C">
        <w:rPr>
          <w:lang w:val="en-US"/>
        </w:rPr>
        <w:t xml:space="preserve"> would</w:t>
      </w:r>
      <w:r w:rsidR="00142EE2" w:rsidRPr="00E14D8C">
        <w:rPr>
          <w:lang w:val="en-US"/>
        </w:rPr>
        <w:t xml:space="preserve"> </w:t>
      </w:r>
      <w:r w:rsidR="008E19BF" w:rsidRPr="00E14D8C">
        <w:rPr>
          <w:lang w:val="en-US"/>
        </w:rPr>
        <w:t>be considered</w:t>
      </w:r>
      <w:r w:rsidR="009F2E12" w:rsidRPr="00E14D8C">
        <w:rPr>
          <w:lang w:val="en-US"/>
        </w:rPr>
        <w:t xml:space="preserve"> to </w:t>
      </w:r>
      <w:r w:rsidR="008E19BF" w:rsidRPr="00E14D8C">
        <w:rPr>
          <w:lang w:val="en-US"/>
        </w:rPr>
        <w:t xml:space="preserve">have </w:t>
      </w:r>
      <w:r w:rsidR="009F2E12" w:rsidRPr="00E14D8C">
        <w:rPr>
          <w:lang w:val="en-US"/>
        </w:rPr>
        <w:t>permanently disable</w:t>
      </w:r>
      <w:r w:rsidR="008E19BF" w:rsidRPr="00E14D8C">
        <w:rPr>
          <w:lang w:val="en-US"/>
        </w:rPr>
        <w:t>d</w:t>
      </w:r>
      <w:r w:rsidR="009F2E12" w:rsidRPr="00E14D8C">
        <w:rPr>
          <w:lang w:val="en-US"/>
        </w:rPr>
        <w:t xml:space="preserve"> any person </w:t>
      </w:r>
      <w:r w:rsidR="008E19BF" w:rsidRPr="00E14D8C">
        <w:rPr>
          <w:lang w:val="en-US"/>
        </w:rPr>
        <w:t>if</w:t>
      </w:r>
      <w:r w:rsidR="009F2E12" w:rsidRPr="00E14D8C">
        <w:rPr>
          <w:lang w:val="en-US"/>
        </w:rPr>
        <w:t xml:space="preserve"> it</w:t>
      </w:r>
      <w:r w:rsidR="008E19BF" w:rsidRPr="00E14D8C">
        <w:rPr>
          <w:lang w:val="en-US"/>
        </w:rPr>
        <w:t>s use has</w:t>
      </w:r>
      <w:r w:rsidR="009F2E12" w:rsidRPr="00E14D8C">
        <w:rPr>
          <w:lang w:val="en-US"/>
        </w:rPr>
        <w:t xml:space="preserve"> result</w:t>
      </w:r>
      <w:r w:rsidR="008E19BF" w:rsidRPr="00E14D8C">
        <w:rPr>
          <w:lang w:val="en-US"/>
        </w:rPr>
        <w:t>ed</w:t>
      </w:r>
      <w:r w:rsidR="009F2E12" w:rsidRPr="00E14D8C">
        <w:rPr>
          <w:lang w:val="en-US"/>
        </w:rPr>
        <w:t xml:space="preserve"> in the </w:t>
      </w:r>
      <w:r w:rsidR="0041674D" w:rsidRPr="00E14D8C">
        <w:rPr>
          <w:lang w:val="en-US"/>
        </w:rPr>
        <w:t>‘</w:t>
      </w:r>
      <w:r w:rsidR="009F2E12" w:rsidRPr="00E14D8C">
        <w:rPr>
          <w:lang w:val="en-US"/>
        </w:rPr>
        <w:t>permanent privation</w:t>
      </w:r>
      <w:r w:rsidR="0041674D" w:rsidRPr="00E14D8C">
        <w:rPr>
          <w:lang w:val="en-US"/>
        </w:rPr>
        <w:t>’</w:t>
      </w:r>
      <w:r w:rsidR="009F2E12" w:rsidRPr="00E14D8C">
        <w:rPr>
          <w:lang w:val="en-US"/>
        </w:rPr>
        <w:t xml:space="preserve"> of the </w:t>
      </w:r>
      <w:r w:rsidR="0041674D" w:rsidRPr="00E14D8C">
        <w:rPr>
          <w:lang w:val="en-US"/>
        </w:rPr>
        <w:t>victim’s</w:t>
      </w:r>
      <w:r w:rsidR="009F2E12" w:rsidRPr="00E14D8C">
        <w:rPr>
          <w:lang w:val="en-US"/>
        </w:rPr>
        <w:t xml:space="preserve"> sight or hearing; permanently destroys any member or joint; permanently disfigures the head o</w:t>
      </w:r>
      <w:r w:rsidR="00970F59" w:rsidRPr="00E14D8C">
        <w:rPr>
          <w:lang w:val="en-US"/>
        </w:rPr>
        <w:t>r the</w:t>
      </w:r>
      <w:r w:rsidR="009F2E12" w:rsidRPr="00E14D8C">
        <w:rPr>
          <w:lang w:val="en-US"/>
        </w:rPr>
        <w:t xml:space="preserve"> face.</w:t>
      </w:r>
      <w:r w:rsidR="009F2E12" w:rsidRPr="00E14D8C">
        <w:rPr>
          <w:vertAlign w:val="superscript"/>
          <w:lang w:val="en-GB"/>
        </w:rPr>
        <w:footnoteReference w:id="138"/>
      </w:r>
      <w:r w:rsidR="009F2E12" w:rsidRPr="00E14D8C">
        <w:rPr>
          <w:lang w:val="en-GB"/>
        </w:rPr>
        <w:t xml:space="preserve"> </w:t>
      </w:r>
    </w:p>
    <w:p w14:paraId="1F967B10" w14:textId="77777777" w:rsidR="0061797E" w:rsidRPr="00E14D8C" w:rsidRDefault="0061797E" w:rsidP="00BE3F0B">
      <w:pPr>
        <w:spacing w:line="360" w:lineRule="auto"/>
        <w:jc w:val="both"/>
        <w:rPr>
          <w:lang w:val="en-US"/>
        </w:rPr>
      </w:pPr>
    </w:p>
    <w:p w14:paraId="1A5C5170" w14:textId="4E06DB23" w:rsidR="0061797E" w:rsidRPr="00E14D8C" w:rsidRDefault="00986B65" w:rsidP="00BE3F0B">
      <w:pPr>
        <w:spacing w:line="360" w:lineRule="auto"/>
        <w:jc w:val="both"/>
        <w:rPr>
          <w:i/>
          <w:lang w:val="en-US"/>
        </w:rPr>
      </w:pPr>
      <w:r>
        <w:rPr>
          <w:i/>
          <w:lang w:val="en-US"/>
        </w:rPr>
        <w:t xml:space="preserve">b.  </w:t>
      </w:r>
      <w:r w:rsidR="0061797E" w:rsidRPr="00E14D8C">
        <w:rPr>
          <w:i/>
          <w:lang w:val="en-US"/>
        </w:rPr>
        <w:t xml:space="preserve">The Extent of the </w:t>
      </w:r>
      <w:r w:rsidR="0041674D" w:rsidRPr="00E14D8C">
        <w:rPr>
          <w:i/>
          <w:lang w:val="en-US"/>
        </w:rPr>
        <w:t>Owner’s</w:t>
      </w:r>
      <w:r w:rsidR="0061797E" w:rsidRPr="00E14D8C">
        <w:rPr>
          <w:i/>
          <w:lang w:val="en-US"/>
        </w:rPr>
        <w:t xml:space="preserve"> Liability</w:t>
      </w:r>
    </w:p>
    <w:p w14:paraId="6D894A42" w14:textId="0EE048AA" w:rsidR="00F516D0" w:rsidRPr="00E14D8C" w:rsidRDefault="003D755B" w:rsidP="00061D25">
      <w:pPr>
        <w:spacing w:line="360" w:lineRule="auto"/>
        <w:jc w:val="both"/>
        <w:rPr>
          <w:lang w:val="en-GB"/>
        </w:rPr>
      </w:pPr>
      <w:r w:rsidRPr="00E14D8C">
        <w:rPr>
          <w:lang w:val="en-US"/>
        </w:rPr>
        <w:t xml:space="preserve">Owners of </w:t>
      </w:r>
      <w:r w:rsidR="00251847">
        <w:rPr>
          <w:lang w:val="en-US"/>
        </w:rPr>
        <w:t>self-driving</w:t>
      </w:r>
      <w:r w:rsidR="00251847" w:rsidRPr="00E14D8C">
        <w:rPr>
          <w:lang w:val="en-US"/>
        </w:rPr>
        <w:t xml:space="preserve"> </w:t>
      </w:r>
      <w:r w:rsidRPr="00E14D8C">
        <w:rPr>
          <w:lang w:val="en-US"/>
        </w:rPr>
        <w:t>cars</w:t>
      </w:r>
      <w:r w:rsidR="00BE3F0B" w:rsidRPr="00E14D8C">
        <w:rPr>
          <w:lang w:val="en-US"/>
        </w:rPr>
        <w:t xml:space="preserve"> would be liable for all injuries</w:t>
      </w:r>
      <w:r w:rsidRPr="00E14D8C">
        <w:rPr>
          <w:lang w:val="en-US"/>
        </w:rPr>
        <w:t xml:space="preserve"> of the nature indicated above</w:t>
      </w:r>
      <w:r w:rsidR="00BE3F0B" w:rsidRPr="00E14D8C">
        <w:rPr>
          <w:lang w:val="en-US"/>
        </w:rPr>
        <w:t>.</w:t>
      </w:r>
      <w:r w:rsidR="0053669E" w:rsidRPr="00E14D8C">
        <w:rPr>
          <w:lang w:val="en-US"/>
        </w:rPr>
        <w:t xml:space="preserve"> </w:t>
      </w:r>
      <w:r w:rsidR="00BE3F0B" w:rsidRPr="00E14D8C">
        <w:rPr>
          <w:lang w:val="en-US"/>
        </w:rPr>
        <w:t xml:space="preserve">It is irrelevant whether the </w:t>
      </w:r>
      <w:r w:rsidR="007E50FE" w:rsidRPr="00E14D8C">
        <w:rPr>
          <w:lang w:val="en-US"/>
        </w:rPr>
        <w:t>harm</w:t>
      </w:r>
      <w:r w:rsidR="00BE3F0B" w:rsidRPr="00E14D8C">
        <w:rPr>
          <w:lang w:val="en-US"/>
        </w:rPr>
        <w:t xml:space="preserve"> has been caused to the owner</w:t>
      </w:r>
      <w:r w:rsidR="00B868CE" w:rsidRPr="00E14D8C">
        <w:rPr>
          <w:lang w:val="en-US"/>
        </w:rPr>
        <w:t>, the</w:t>
      </w:r>
      <w:r w:rsidR="00BE3F0B" w:rsidRPr="00E14D8C">
        <w:rPr>
          <w:lang w:val="en-US"/>
        </w:rPr>
        <w:t xml:space="preserve"> driver</w:t>
      </w:r>
      <w:r w:rsidR="00B868CE" w:rsidRPr="00E14D8C">
        <w:rPr>
          <w:lang w:val="en-US"/>
        </w:rPr>
        <w:t>,</w:t>
      </w:r>
      <w:r w:rsidR="00BE3F0B" w:rsidRPr="00E14D8C">
        <w:rPr>
          <w:lang w:val="en-US"/>
        </w:rPr>
        <w:t xml:space="preserve"> or </w:t>
      </w:r>
      <w:r w:rsidR="00B868CE" w:rsidRPr="00E14D8C">
        <w:rPr>
          <w:lang w:val="en-US"/>
        </w:rPr>
        <w:t>another</w:t>
      </w:r>
      <w:r w:rsidR="00BE3F0B" w:rsidRPr="00E14D8C">
        <w:rPr>
          <w:lang w:val="en-US"/>
        </w:rPr>
        <w:t xml:space="preserve"> person.</w:t>
      </w:r>
      <w:r w:rsidR="00BE3F0B" w:rsidRPr="00E14D8C">
        <w:rPr>
          <w:rStyle w:val="FootnoteReference"/>
          <w:lang w:val="en-US"/>
        </w:rPr>
        <w:footnoteReference w:id="139"/>
      </w:r>
      <w:r w:rsidR="00BE3F0B" w:rsidRPr="00E14D8C">
        <w:rPr>
          <w:lang w:val="en-US"/>
        </w:rPr>
        <w:t xml:space="preserve"> Drivers are not liable for any accident occurring from the use of any motor vehicle.</w:t>
      </w:r>
      <w:r w:rsidR="0053669E" w:rsidRPr="00E14D8C">
        <w:rPr>
          <w:lang w:val="en-GB"/>
        </w:rPr>
        <w:t xml:space="preserve"> </w:t>
      </w:r>
      <w:r w:rsidR="00553988" w:rsidRPr="00E14D8C">
        <w:rPr>
          <w:lang w:val="en-US"/>
        </w:rPr>
        <w:t xml:space="preserve">The </w:t>
      </w:r>
      <w:r w:rsidR="0041674D" w:rsidRPr="00E14D8C">
        <w:rPr>
          <w:lang w:val="en-US"/>
        </w:rPr>
        <w:t>owner’s</w:t>
      </w:r>
      <w:r w:rsidR="007E50FE" w:rsidRPr="00E14D8C">
        <w:rPr>
          <w:lang w:val="en-US"/>
        </w:rPr>
        <w:t xml:space="preserve"> liability</w:t>
      </w:r>
      <w:r w:rsidR="00553988" w:rsidRPr="00E14D8C">
        <w:rPr>
          <w:lang w:val="en-US"/>
        </w:rPr>
        <w:t xml:space="preserve"> </w:t>
      </w:r>
      <w:r w:rsidR="00142EE2" w:rsidRPr="00E14D8C">
        <w:rPr>
          <w:lang w:val="en-US"/>
        </w:rPr>
        <w:t xml:space="preserve">for such injuries is absolute and </w:t>
      </w:r>
      <w:r w:rsidR="00553988" w:rsidRPr="00E14D8C">
        <w:rPr>
          <w:lang w:val="en-US"/>
        </w:rPr>
        <w:t>is based on</w:t>
      </w:r>
      <w:r w:rsidR="00F56B3B" w:rsidRPr="00E14D8C">
        <w:rPr>
          <w:lang w:val="en-US"/>
        </w:rPr>
        <w:t xml:space="preserve"> </w:t>
      </w:r>
      <w:r w:rsidR="007E50FE" w:rsidRPr="00E14D8C">
        <w:rPr>
          <w:lang w:val="en-US"/>
        </w:rPr>
        <w:t xml:space="preserve">the </w:t>
      </w:r>
      <w:r w:rsidR="00F56B3B" w:rsidRPr="00E14D8C">
        <w:rPr>
          <w:lang w:val="en-US"/>
        </w:rPr>
        <w:t>principle of no-fault liability</w:t>
      </w:r>
      <w:r w:rsidR="00142EE2" w:rsidRPr="00E14D8C">
        <w:rPr>
          <w:lang w:val="en-US"/>
        </w:rPr>
        <w:t xml:space="preserve"> as prescribed under Section 140 of the MVA.</w:t>
      </w:r>
      <w:r w:rsidR="007D4BF1" w:rsidRPr="00E14D8C">
        <w:rPr>
          <w:rStyle w:val="FootnoteReference"/>
          <w:lang w:val="en-US"/>
        </w:rPr>
        <w:footnoteReference w:id="140"/>
      </w:r>
      <w:r w:rsidRPr="00E14D8C">
        <w:rPr>
          <w:lang w:val="en-US"/>
        </w:rPr>
        <w:t xml:space="preserve"> </w:t>
      </w:r>
      <w:r w:rsidR="00142EE2" w:rsidRPr="00E14D8C">
        <w:rPr>
          <w:lang w:val="en-US"/>
        </w:rPr>
        <w:t xml:space="preserve">Being unconditional by nature, </w:t>
      </w:r>
      <w:r w:rsidR="00AA2FEB" w:rsidRPr="00E14D8C">
        <w:rPr>
          <w:lang w:val="en-US"/>
        </w:rPr>
        <w:t>owners are</w:t>
      </w:r>
      <w:r w:rsidR="00142EE2" w:rsidRPr="00E14D8C">
        <w:rPr>
          <w:lang w:val="en-US"/>
        </w:rPr>
        <w:t xml:space="preserve"> prohibited from extinguishing or diminishing </w:t>
      </w:r>
      <w:r w:rsidR="00AA2FEB" w:rsidRPr="00E14D8C">
        <w:rPr>
          <w:lang w:val="en-US"/>
        </w:rPr>
        <w:t>their</w:t>
      </w:r>
      <w:r w:rsidR="00142EE2" w:rsidRPr="00E14D8C">
        <w:rPr>
          <w:lang w:val="en-US"/>
        </w:rPr>
        <w:t xml:space="preserve"> liability for such injuries </w:t>
      </w:r>
      <w:r w:rsidR="00553988" w:rsidRPr="00E14D8C">
        <w:rPr>
          <w:lang w:val="en-US"/>
        </w:rPr>
        <w:t>on any ground whatsoever – including in circumstances where the accident was attributable to an act of God.</w:t>
      </w:r>
      <w:r w:rsidR="0053669E" w:rsidRPr="00E14D8C">
        <w:rPr>
          <w:lang w:val="en-US"/>
        </w:rPr>
        <w:t xml:space="preserve"> </w:t>
      </w:r>
      <w:r w:rsidR="00553988" w:rsidRPr="00E14D8C">
        <w:rPr>
          <w:lang w:val="en-US"/>
        </w:rPr>
        <w:t xml:space="preserve">The fault, neglect or default on the part of the injured or </w:t>
      </w:r>
      <w:r w:rsidR="00C42353" w:rsidRPr="00E14D8C">
        <w:rPr>
          <w:lang w:val="en-US"/>
        </w:rPr>
        <w:t xml:space="preserve">the </w:t>
      </w:r>
      <w:r w:rsidR="00553988" w:rsidRPr="00E14D8C">
        <w:rPr>
          <w:lang w:val="en-US"/>
        </w:rPr>
        <w:t xml:space="preserve">deceased </w:t>
      </w:r>
      <w:r w:rsidR="007D4BF1" w:rsidRPr="00E14D8C">
        <w:rPr>
          <w:lang w:val="en-US"/>
        </w:rPr>
        <w:t>is</w:t>
      </w:r>
      <w:r w:rsidR="00553988" w:rsidRPr="00E14D8C">
        <w:rPr>
          <w:lang w:val="en-US"/>
        </w:rPr>
        <w:t xml:space="preserve"> similarly irrelevant in </w:t>
      </w:r>
      <w:r w:rsidR="007D4BF1" w:rsidRPr="00E14D8C">
        <w:rPr>
          <w:lang w:val="en-US"/>
        </w:rPr>
        <w:t xml:space="preserve">determining the extent of the </w:t>
      </w:r>
      <w:r w:rsidR="0041674D" w:rsidRPr="00E14D8C">
        <w:rPr>
          <w:lang w:val="en-US"/>
        </w:rPr>
        <w:t>owner’s</w:t>
      </w:r>
      <w:r w:rsidR="00553988" w:rsidRPr="00E14D8C">
        <w:rPr>
          <w:lang w:val="en-US"/>
        </w:rPr>
        <w:t xml:space="preserve"> liability</w:t>
      </w:r>
      <w:r w:rsidR="00553988" w:rsidRPr="00E14D8C">
        <w:rPr>
          <w:rStyle w:val="FootnoteReference"/>
          <w:lang w:val="en-US"/>
        </w:rPr>
        <w:footnoteReference w:id="141"/>
      </w:r>
      <w:r w:rsidR="00553988" w:rsidRPr="00E14D8C">
        <w:rPr>
          <w:lang w:val="en-US"/>
        </w:rPr>
        <w:t xml:space="preserve"> – who continue</w:t>
      </w:r>
      <w:r w:rsidR="007D4BF1" w:rsidRPr="00E14D8C">
        <w:rPr>
          <w:lang w:val="en-US"/>
        </w:rPr>
        <w:t>s</w:t>
      </w:r>
      <w:r w:rsidR="00553988" w:rsidRPr="00E14D8C">
        <w:rPr>
          <w:lang w:val="en-US"/>
        </w:rPr>
        <w:t xml:space="preserve"> to be </w:t>
      </w:r>
      <w:r w:rsidR="00427C23" w:rsidRPr="00E14D8C">
        <w:rPr>
          <w:lang w:val="en-US"/>
        </w:rPr>
        <w:t>responsible</w:t>
      </w:r>
      <w:r w:rsidR="00553988" w:rsidRPr="00E14D8C">
        <w:rPr>
          <w:lang w:val="en-US"/>
        </w:rPr>
        <w:t xml:space="preserve"> at all times unless </w:t>
      </w:r>
      <w:r w:rsidR="007E50FE" w:rsidRPr="00E14D8C">
        <w:rPr>
          <w:lang w:val="en-US"/>
        </w:rPr>
        <w:t>they</w:t>
      </w:r>
      <w:r w:rsidR="00553988" w:rsidRPr="00E14D8C">
        <w:rPr>
          <w:lang w:val="en-US"/>
        </w:rPr>
        <w:t xml:space="preserve"> can demonstrate that the vehicle was stolen by any person – who is not an employee - at the time of the accident.</w:t>
      </w:r>
      <w:r w:rsidR="00553988" w:rsidRPr="00E14D8C">
        <w:rPr>
          <w:rStyle w:val="FootnoteReference"/>
          <w:lang w:val="en-US"/>
        </w:rPr>
        <w:footnoteReference w:id="142"/>
      </w:r>
      <w:r w:rsidR="00376BBB" w:rsidRPr="00E14D8C">
        <w:rPr>
          <w:lang w:val="en-US"/>
        </w:rPr>
        <w:t xml:space="preserve"> </w:t>
      </w:r>
      <w:r w:rsidR="00AA2FEB" w:rsidRPr="00E14D8C">
        <w:rPr>
          <w:lang w:val="en-US"/>
        </w:rPr>
        <w:t>Thus</w:t>
      </w:r>
      <w:r w:rsidR="00BE3F0B" w:rsidRPr="00E14D8C">
        <w:rPr>
          <w:lang w:val="en-US"/>
        </w:rPr>
        <w:t xml:space="preserve">, owners of two or more vehicles may jointly and severally </w:t>
      </w:r>
      <w:r w:rsidR="00390A8C" w:rsidRPr="00E14D8C">
        <w:rPr>
          <w:lang w:val="en-US"/>
        </w:rPr>
        <w:t>if the injury is attributable to the use of two or more vehicles</w:t>
      </w:r>
      <w:r w:rsidR="00BE3F0B" w:rsidRPr="00E14D8C">
        <w:rPr>
          <w:lang w:val="en-US"/>
        </w:rPr>
        <w:t>.</w:t>
      </w:r>
      <w:r w:rsidR="00BE3F0B" w:rsidRPr="00E14D8C">
        <w:rPr>
          <w:rStyle w:val="FootnoteReference"/>
          <w:lang w:val="en-US"/>
        </w:rPr>
        <w:footnoteReference w:id="143"/>
      </w:r>
      <w:r w:rsidR="00BE3F0B" w:rsidRPr="00E14D8C">
        <w:rPr>
          <w:lang w:val="en-US"/>
        </w:rPr>
        <w:t xml:space="preserve"> At other times, companies or corporations that have rented or leased such cars may be jointly and severally liable for such damage </w:t>
      </w:r>
      <w:r w:rsidR="003718EC">
        <w:rPr>
          <w:lang w:val="en-US"/>
        </w:rPr>
        <w:t>to</w:t>
      </w:r>
      <w:r w:rsidR="00BE3F0B" w:rsidRPr="00E14D8C">
        <w:rPr>
          <w:lang w:val="en-US"/>
        </w:rPr>
        <w:t xml:space="preserve"> the person to whom the car has been rented or leased.</w:t>
      </w:r>
      <w:r w:rsidR="00BE3F0B" w:rsidRPr="00E14D8C">
        <w:rPr>
          <w:rStyle w:val="FootnoteReference"/>
          <w:color w:val="000000" w:themeColor="text1"/>
          <w:lang w:val="en-US"/>
        </w:rPr>
        <w:footnoteReference w:id="144"/>
      </w:r>
      <w:r w:rsidR="00BE3F0B" w:rsidRPr="00E14D8C">
        <w:rPr>
          <w:lang w:val="en-US"/>
        </w:rPr>
        <w:t xml:space="preserve"> </w:t>
      </w:r>
    </w:p>
    <w:p w14:paraId="5ABD52EC" w14:textId="77777777" w:rsidR="0061797E" w:rsidRPr="00E14D8C" w:rsidRDefault="00662D14" w:rsidP="00061D25">
      <w:pPr>
        <w:spacing w:line="360" w:lineRule="auto"/>
        <w:jc w:val="both"/>
        <w:rPr>
          <w:lang w:val="en-US"/>
        </w:rPr>
      </w:pPr>
      <w:r w:rsidRPr="00E14D8C">
        <w:rPr>
          <w:lang w:val="en-US"/>
        </w:rPr>
        <w:t xml:space="preserve">      </w:t>
      </w:r>
      <w:r w:rsidR="00BE3F0B" w:rsidRPr="00E14D8C">
        <w:rPr>
          <w:lang w:val="en-US"/>
        </w:rPr>
        <w:t xml:space="preserve">    </w:t>
      </w:r>
    </w:p>
    <w:p w14:paraId="65740071" w14:textId="19B19DFE" w:rsidR="0061797E" w:rsidRPr="00E14D8C" w:rsidRDefault="00986B65" w:rsidP="00061D25">
      <w:pPr>
        <w:spacing w:line="360" w:lineRule="auto"/>
        <w:jc w:val="both"/>
        <w:rPr>
          <w:i/>
          <w:lang w:val="en-US"/>
        </w:rPr>
      </w:pPr>
      <w:r>
        <w:rPr>
          <w:i/>
          <w:lang w:val="en-US"/>
        </w:rPr>
        <w:lastRenderedPageBreak/>
        <w:t xml:space="preserve">c.  </w:t>
      </w:r>
      <w:r w:rsidR="0061797E" w:rsidRPr="00E14D8C">
        <w:rPr>
          <w:i/>
          <w:lang w:val="en-US"/>
        </w:rPr>
        <w:t>Grievous Hurt: A Form of Grave Injuries?</w:t>
      </w:r>
    </w:p>
    <w:p w14:paraId="2DF836AA" w14:textId="4F0F852B" w:rsidR="0061797E" w:rsidRPr="00E14D8C" w:rsidRDefault="0061797E" w:rsidP="00061D25">
      <w:pPr>
        <w:spacing w:line="360" w:lineRule="auto"/>
        <w:jc w:val="both"/>
        <w:rPr>
          <w:lang w:val="en-US"/>
        </w:rPr>
      </w:pPr>
      <w:r w:rsidRPr="00E14D8C">
        <w:t xml:space="preserve">A </w:t>
      </w:r>
      <w:r w:rsidRPr="00E14D8C">
        <w:rPr>
          <w:lang w:val="en-US"/>
        </w:rPr>
        <w:t>close examination of Section 164, which was added by an amendment to the MVA in 2019, further indicates that injuries that grievously hurt</w:t>
      </w:r>
      <w:r w:rsidRPr="00E14D8C">
        <w:rPr>
          <w:rStyle w:val="FootnoteReference"/>
          <w:lang w:val="en-US"/>
        </w:rPr>
        <w:footnoteReference w:id="145"/>
      </w:r>
      <w:r w:rsidRPr="00E14D8C">
        <w:rPr>
          <w:lang w:val="en-US"/>
        </w:rPr>
        <w:t xml:space="preserve"> any person would similarly be considered </w:t>
      </w:r>
      <w:r w:rsidR="0041674D" w:rsidRPr="00E14D8C">
        <w:rPr>
          <w:lang w:val="en-US"/>
        </w:rPr>
        <w:t>‘</w:t>
      </w:r>
      <w:r w:rsidRPr="00E14D8C">
        <w:rPr>
          <w:lang w:val="en-US"/>
        </w:rPr>
        <w:t>grave</w:t>
      </w:r>
      <w:r w:rsidR="0041674D" w:rsidRPr="00E14D8C">
        <w:rPr>
          <w:lang w:val="en-US"/>
        </w:rPr>
        <w:t>’</w:t>
      </w:r>
      <w:r w:rsidRPr="00E14D8C">
        <w:rPr>
          <w:lang w:val="en-US"/>
        </w:rPr>
        <w:t>.</w:t>
      </w:r>
      <w:r w:rsidRPr="00E14D8C">
        <w:rPr>
          <w:rStyle w:val="FootnoteReference"/>
          <w:lang w:val="en-US"/>
        </w:rPr>
        <w:footnoteReference w:id="146"/>
      </w:r>
      <w:r w:rsidRPr="00E14D8C">
        <w:rPr>
          <w:lang w:val="en-US"/>
        </w:rPr>
        <w:t xml:space="preserve"> Although the provisions of the MVA do not provide any clarification to this effect, it is likely that </w:t>
      </w:r>
      <w:r w:rsidR="007E50FE" w:rsidRPr="00E14D8C">
        <w:rPr>
          <w:lang w:val="en-US"/>
        </w:rPr>
        <w:t>the no-fault liability rule could additionally govern such injuries</w:t>
      </w:r>
      <w:r w:rsidRPr="00E14D8C">
        <w:rPr>
          <w:lang w:val="en-US"/>
        </w:rPr>
        <w:t>.</w:t>
      </w:r>
      <w:r w:rsidRPr="00E14D8C">
        <w:rPr>
          <w:rStyle w:val="FootnoteReference"/>
          <w:lang w:val="en-US"/>
        </w:rPr>
        <w:footnoteReference w:id="147"/>
      </w:r>
      <w:r w:rsidRPr="00E14D8C">
        <w:rPr>
          <w:lang w:val="en-US"/>
        </w:rPr>
        <w:t xml:space="preserve"> However, it is interesting to note that the criteria to ascertain the circumstances in which a person would be considered to have been grievously hurt </w:t>
      </w:r>
      <w:r w:rsidR="007E50FE" w:rsidRPr="00E14D8C">
        <w:rPr>
          <w:lang w:val="en-US"/>
        </w:rPr>
        <w:t>by</w:t>
      </w:r>
      <w:r w:rsidRPr="00E14D8C">
        <w:rPr>
          <w:lang w:val="en-US"/>
        </w:rPr>
        <w:t xml:space="preserve"> a motor vehicle are identical to those employed to determine the occurrence of permanent disablement.</w:t>
      </w:r>
      <w:r w:rsidR="0053669E" w:rsidRPr="00E14D8C">
        <w:rPr>
          <w:lang w:val="en-US"/>
        </w:rPr>
        <w:t xml:space="preserve"> </w:t>
      </w:r>
      <w:r w:rsidRPr="00E14D8C">
        <w:rPr>
          <w:lang w:val="en-US"/>
        </w:rPr>
        <w:t xml:space="preserve">Nonetheless, the </w:t>
      </w:r>
      <w:r w:rsidR="0041674D" w:rsidRPr="00E14D8C">
        <w:rPr>
          <w:lang w:val="en-US"/>
        </w:rPr>
        <w:t xml:space="preserve">expressions’ </w:t>
      </w:r>
      <w:r w:rsidRPr="00E14D8C">
        <w:rPr>
          <w:lang w:val="en-US"/>
        </w:rPr>
        <w:t>permanent disablement</w:t>
      </w:r>
      <w:r w:rsidR="0041674D" w:rsidRPr="00E14D8C">
        <w:rPr>
          <w:lang w:val="en-US"/>
        </w:rPr>
        <w:t>’</w:t>
      </w:r>
      <w:r w:rsidRPr="00E14D8C">
        <w:rPr>
          <w:lang w:val="en-US"/>
        </w:rPr>
        <w:t xml:space="preserve"> and </w:t>
      </w:r>
      <w:r w:rsidR="0041674D" w:rsidRPr="00E14D8C">
        <w:rPr>
          <w:lang w:val="en-US"/>
        </w:rPr>
        <w:t>‘</w:t>
      </w:r>
      <w:r w:rsidRPr="00E14D8C">
        <w:rPr>
          <w:lang w:val="en-US"/>
        </w:rPr>
        <w:t>grievous hurt</w:t>
      </w:r>
      <w:r w:rsidR="0041674D" w:rsidRPr="00E14D8C">
        <w:rPr>
          <w:lang w:val="en-US"/>
        </w:rPr>
        <w:t>’</w:t>
      </w:r>
      <w:r w:rsidRPr="00E14D8C">
        <w:rPr>
          <w:lang w:val="en-US"/>
        </w:rPr>
        <w:t xml:space="preserve"> are not </w:t>
      </w:r>
      <w:r w:rsidR="0041674D" w:rsidRPr="00E14D8C">
        <w:rPr>
          <w:lang w:val="en-US"/>
        </w:rPr>
        <w:t>used</w:t>
      </w:r>
      <w:r w:rsidRPr="00E14D8C">
        <w:rPr>
          <w:lang w:val="en-US"/>
        </w:rPr>
        <w:t xml:space="preserve"> </w:t>
      </w:r>
      <w:r w:rsidR="007E50FE" w:rsidRPr="00E14D8C">
        <w:rPr>
          <w:lang w:val="en-US"/>
        </w:rPr>
        <w:t>interchangeably</w:t>
      </w:r>
      <w:r w:rsidRPr="00E14D8C">
        <w:rPr>
          <w:lang w:val="en-US"/>
        </w:rPr>
        <w:t xml:space="preserve"> </w:t>
      </w:r>
      <w:r w:rsidR="007E50FE" w:rsidRPr="00E14D8C">
        <w:rPr>
          <w:lang w:val="en-US"/>
        </w:rPr>
        <w:t>since</w:t>
      </w:r>
      <w:r w:rsidRPr="00E14D8C">
        <w:rPr>
          <w:lang w:val="en-US"/>
        </w:rPr>
        <w:t xml:space="preserve"> they are each governed by distinct compensation regimes</w:t>
      </w:r>
      <w:r w:rsidRPr="00E14D8C">
        <w:rPr>
          <w:lang w:val="en-US"/>
        </w:rPr>
        <w:t>.</w:t>
      </w:r>
      <w:r w:rsidRPr="00E14D8C">
        <w:rPr>
          <w:rStyle w:val="FootnoteReference"/>
          <w:lang w:val="en-US"/>
        </w:rPr>
        <w:footnoteReference w:id="148"/>
      </w:r>
    </w:p>
    <w:p w14:paraId="4739CDC0" w14:textId="77777777" w:rsidR="0061797E" w:rsidRPr="00E14D8C" w:rsidRDefault="0061797E" w:rsidP="00061D25">
      <w:pPr>
        <w:spacing w:line="360" w:lineRule="auto"/>
        <w:jc w:val="both"/>
        <w:rPr>
          <w:lang w:val="en-US"/>
        </w:rPr>
      </w:pPr>
    </w:p>
    <w:p w14:paraId="012FD2BD" w14:textId="0701ABD6" w:rsidR="0061797E" w:rsidRPr="00E14D8C" w:rsidRDefault="00986B65" w:rsidP="00061D25">
      <w:pPr>
        <w:spacing w:line="360" w:lineRule="auto"/>
        <w:jc w:val="both"/>
        <w:rPr>
          <w:i/>
          <w:lang w:val="en-US"/>
        </w:rPr>
      </w:pPr>
      <w:r>
        <w:rPr>
          <w:i/>
          <w:lang w:val="en-US"/>
        </w:rPr>
        <w:t xml:space="preserve">d.  </w:t>
      </w:r>
      <w:r w:rsidR="00174BC0" w:rsidRPr="00E14D8C">
        <w:rPr>
          <w:i/>
          <w:lang w:val="en-US"/>
        </w:rPr>
        <w:t>The Determination of Compensation</w:t>
      </w:r>
      <w:r w:rsidR="000C5022" w:rsidRPr="00E14D8C">
        <w:rPr>
          <w:i/>
          <w:lang w:val="en-US"/>
        </w:rPr>
        <w:t>: A form of Remedy or a Source o</w:t>
      </w:r>
      <w:r w:rsidR="00013446" w:rsidRPr="00E14D8C">
        <w:rPr>
          <w:i/>
          <w:lang w:val="en-US"/>
        </w:rPr>
        <w:t>f</w:t>
      </w:r>
      <w:r w:rsidR="000C5022" w:rsidRPr="00E14D8C">
        <w:rPr>
          <w:i/>
          <w:lang w:val="en-US"/>
        </w:rPr>
        <w:t xml:space="preserve"> Major Hurdle?</w:t>
      </w:r>
      <w:r w:rsidR="00174BC0" w:rsidRPr="00E14D8C">
        <w:rPr>
          <w:i/>
          <w:lang w:val="en-US"/>
        </w:rPr>
        <w:t xml:space="preserve"> </w:t>
      </w:r>
    </w:p>
    <w:p w14:paraId="187C2D19" w14:textId="52E2DEE6" w:rsidR="00142EE2" w:rsidRPr="00E14D8C" w:rsidRDefault="00AA2FEB" w:rsidP="00061D25">
      <w:pPr>
        <w:spacing w:line="360" w:lineRule="auto"/>
        <w:jc w:val="both"/>
        <w:rPr>
          <w:lang w:val="en-US"/>
        </w:rPr>
      </w:pPr>
      <w:r w:rsidRPr="00E14D8C">
        <w:rPr>
          <w:lang w:val="en-US"/>
        </w:rPr>
        <w:t>The MVA entitles victims of such injuries to</w:t>
      </w:r>
      <w:r w:rsidR="00C71707" w:rsidRPr="00E14D8C">
        <w:rPr>
          <w:lang w:val="en-US"/>
        </w:rPr>
        <w:t xml:space="preserve"> damages in </w:t>
      </w:r>
      <w:r w:rsidR="00142EE2" w:rsidRPr="00E14D8C">
        <w:rPr>
          <w:lang w:val="en-US"/>
        </w:rPr>
        <w:t>the form of compensation.</w:t>
      </w:r>
      <w:r w:rsidR="0053669E" w:rsidRPr="00E14D8C">
        <w:rPr>
          <w:lang w:val="en-US"/>
        </w:rPr>
        <w:t xml:space="preserve"> </w:t>
      </w:r>
      <w:r w:rsidR="00662D14" w:rsidRPr="00E14D8C">
        <w:rPr>
          <w:lang w:val="en-US"/>
        </w:rPr>
        <w:t xml:space="preserve">The </w:t>
      </w:r>
      <w:r w:rsidR="0041674D" w:rsidRPr="00E14D8C">
        <w:rPr>
          <w:lang w:val="en-US"/>
        </w:rPr>
        <w:t>owner’s</w:t>
      </w:r>
      <w:r w:rsidRPr="00E14D8C">
        <w:rPr>
          <w:lang w:val="en-US"/>
        </w:rPr>
        <w:t xml:space="preserve"> liability to compensate the victim</w:t>
      </w:r>
      <w:r w:rsidR="00662D14" w:rsidRPr="00E14D8C">
        <w:rPr>
          <w:lang w:val="en-US"/>
        </w:rPr>
        <w:t xml:space="preserve"> is ultimately borne by </w:t>
      </w:r>
      <w:r w:rsidRPr="00E14D8C">
        <w:rPr>
          <w:lang w:val="en-US"/>
        </w:rPr>
        <w:t xml:space="preserve">the </w:t>
      </w:r>
      <w:r w:rsidR="0041674D" w:rsidRPr="00E14D8C">
        <w:rPr>
          <w:lang w:val="en-US"/>
        </w:rPr>
        <w:t>latter’s</w:t>
      </w:r>
      <w:r w:rsidR="00662D14" w:rsidRPr="00E14D8C">
        <w:rPr>
          <w:lang w:val="en-US"/>
        </w:rPr>
        <w:t xml:space="preserve"> insurer</w:t>
      </w:r>
      <w:r w:rsidR="007E50FE" w:rsidRPr="00E14D8C">
        <w:rPr>
          <w:lang w:val="en-US"/>
        </w:rPr>
        <w:t>,</w:t>
      </w:r>
      <w:r w:rsidR="00662D14" w:rsidRPr="00E14D8C">
        <w:rPr>
          <w:lang w:val="en-US"/>
        </w:rPr>
        <w:t xml:space="preserve"> who will, as a general rule, be obligated to indemnify the former for the loss incurred through the payment of damages.</w:t>
      </w:r>
      <w:r w:rsidR="00662D14" w:rsidRPr="00E14D8C">
        <w:rPr>
          <w:rStyle w:val="FootnoteReference"/>
          <w:lang w:val="en-US"/>
        </w:rPr>
        <w:footnoteReference w:id="149"/>
      </w:r>
      <w:r w:rsidR="00662D14" w:rsidRPr="00E14D8C">
        <w:rPr>
          <w:lang w:val="en-US"/>
        </w:rPr>
        <w:t xml:space="preserve"> </w:t>
      </w:r>
      <w:r w:rsidR="000C5022" w:rsidRPr="00E14D8C">
        <w:rPr>
          <w:lang w:val="en-US"/>
        </w:rPr>
        <w:t>However, i</w:t>
      </w:r>
      <w:r w:rsidR="00C365FE" w:rsidRPr="00E14D8C">
        <w:rPr>
          <w:lang w:val="en-US"/>
        </w:rPr>
        <w:t xml:space="preserve">nsurers </w:t>
      </w:r>
      <w:r w:rsidR="000C5022" w:rsidRPr="00E14D8C">
        <w:rPr>
          <w:lang w:val="en-US"/>
        </w:rPr>
        <w:t>are permitted to</w:t>
      </w:r>
      <w:r w:rsidRPr="00E14D8C">
        <w:rPr>
          <w:lang w:val="en-US"/>
        </w:rPr>
        <w:t xml:space="preserve"> avoid</w:t>
      </w:r>
      <w:r w:rsidR="00C365FE" w:rsidRPr="00E14D8C">
        <w:rPr>
          <w:lang w:val="en-US"/>
        </w:rPr>
        <w:t xml:space="preserve"> their liability towards owners</w:t>
      </w:r>
      <w:r w:rsidR="00662D14" w:rsidRPr="00E14D8C">
        <w:rPr>
          <w:lang w:val="en-US"/>
        </w:rPr>
        <w:t xml:space="preserve"> </w:t>
      </w:r>
      <w:r w:rsidR="000C5022" w:rsidRPr="00E14D8C">
        <w:rPr>
          <w:lang w:val="en-US"/>
        </w:rPr>
        <w:t xml:space="preserve">if the motor vehicle caused any damage </w:t>
      </w:r>
      <w:r w:rsidR="007E50FE" w:rsidRPr="00E14D8C">
        <w:rPr>
          <w:lang w:val="en-US"/>
        </w:rPr>
        <w:t xml:space="preserve">to </w:t>
      </w:r>
      <w:r w:rsidR="000C5022" w:rsidRPr="00E14D8C">
        <w:rPr>
          <w:lang w:val="en-US"/>
        </w:rPr>
        <w:t xml:space="preserve">the </w:t>
      </w:r>
      <w:r w:rsidR="0041674D" w:rsidRPr="00E14D8C">
        <w:rPr>
          <w:lang w:val="en-US"/>
        </w:rPr>
        <w:t>latter’s</w:t>
      </w:r>
      <w:r w:rsidR="00662D14" w:rsidRPr="00E14D8C">
        <w:rPr>
          <w:lang w:val="en-US"/>
        </w:rPr>
        <w:t xml:space="preserve"> employee(s)</w:t>
      </w:r>
      <w:r w:rsidR="000C5022" w:rsidRPr="00E14D8C">
        <w:rPr>
          <w:lang w:val="en-US"/>
        </w:rPr>
        <w:t>.</w:t>
      </w:r>
      <w:r w:rsidR="000C5022" w:rsidRPr="00E14D8C">
        <w:rPr>
          <w:rStyle w:val="FootnoteReference"/>
          <w:lang w:val="en-US"/>
        </w:rPr>
        <w:footnoteReference w:id="150"/>
      </w:r>
      <w:r w:rsidR="000C5022" w:rsidRPr="00E14D8C">
        <w:rPr>
          <w:lang w:val="en-US"/>
        </w:rPr>
        <w:t xml:space="preserve"> As a general rule, Indian law does not obligate insurers to cover the liability for any </w:t>
      </w:r>
      <w:r w:rsidR="007E50FE" w:rsidRPr="00E14D8C">
        <w:rPr>
          <w:lang w:val="en-US"/>
        </w:rPr>
        <w:t>injury</w:t>
      </w:r>
      <w:r w:rsidR="000C5022" w:rsidRPr="00E14D8C">
        <w:rPr>
          <w:lang w:val="en-US"/>
        </w:rPr>
        <w:t xml:space="preserve"> sustained by employees of the owner who are engaged </w:t>
      </w:r>
      <w:r w:rsidR="00662D14" w:rsidRPr="00E14D8C">
        <w:rPr>
          <w:lang w:val="en-US"/>
        </w:rPr>
        <w:t xml:space="preserve">as drivers or conductors </w:t>
      </w:r>
      <w:r w:rsidR="00EF7335" w:rsidRPr="00E14D8C">
        <w:rPr>
          <w:lang w:val="en-US"/>
        </w:rPr>
        <w:t>who</w:t>
      </w:r>
      <w:r w:rsidR="000C5022" w:rsidRPr="00E14D8C">
        <w:rPr>
          <w:lang w:val="en-US"/>
        </w:rPr>
        <w:t xml:space="preserve"> are </w:t>
      </w:r>
      <w:r w:rsidR="00662D14" w:rsidRPr="00E14D8C">
        <w:rPr>
          <w:lang w:val="en-US"/>
        </w:rPr>
        <w:t xml:space="preserve">responsible for examining the tickets of </w:t>
      </w:r>
      <w:r w:rsidR="007E50FE" w:rsidRPr="00E14D8C">
        <w:rPr>
          <w:lang w:val="en-US"/>
        </w:rPr>
        <w:t>a</w:t>
      </w:r>
      <w:r w:rsidR="00662D14" w:rsidRPr="00E14D8C">
        <w:rPr>
          <w:lang w:val="en-US"/>
        </w:rPr>
        <w:t xml:space="preserve"> vehicle that was being used for public purposes at the time of the incident.</w:t>
      </w:r>
      <w:r w:rsidR="00662D14" w:rsidRPr="00E14D8C">
        <w:rPr>
          <w:rStyle w:val="FootnoteReference"/>
          <w:lang w:val="en-US"/>
        </w:rPr>
        <w:footnoteReference w:id="151"/>
      </w:r>
      <w:r w:rsidR="00662D14" w:rsidRPr="00E14D8C">
        <w:rPr>
          <w:lang w:val="en-US"/>
        </w:rPr>
        <w:t xml:space="preserve"> </w:t>
      </w:r>
      <w:r w:rsidR="007E50FE" w:rsidRPr="00E14D8C">
        <w:rPr>
          <w:lang w:val="en-US"/>
        </w:rPr>
        <w:t>The</w:t>
      </w:r>
      <w:r w:rsidR="00662D14" w:rsidRPr="00E14D8C">
        <w:rPr>
          <w:lang w:val="en-US"/>
        </w:rPr>
        <w:t xml:space="preserve"> liability for the injuries would exclusively rest on the owner</w:t>
      </w:r>
      <w:r w:rsidR="007E50FE" w:rsidRPr="00E14D8C">
        <w:rPr>
          <w:lang w:val="en-US"/>
        </w:rPr>
        <w:t xml:space="preserve"> in such circumstances</w:t>
      </w:r>
      <w:r w:rsidR="00662D14" w:rsidRPr="00E14D8C">
        <w:rPr>
          <w:lang w:val="en-US"/>
        </w:rPr>
        <w:t>.</w:t>
      </w:r>
      <w:r w:rsidR="00B93B8E" w:rsidRPr="00E14D8C">
        <w:rPr>
          <w:lang w:val="en-US"/>
        </w:rPr>
        <w:t xml:space="preserve"> </w:t>
      </w:r>
    </w:p>
    <w:p w14:paraId="385A7B24" w14:textId="2C0A9313" w:rsidR="00C71707" w:rsidRPr="00E14D8C" w:rsidRDefault="00662D14" w:rsidP="00061D25">
      <w:pPr>
        <w:spacing w:line="360" w:lineRule="auto"/>
        <w:jc w:val="both"/>
        <w:rPr>
          <w:lang w:val="en-US"/>
        </w:rPr>
      </w:pPr>
      <w:r w:rsidRPr="00E14D8C">
        <w:rPr>
          <w:lang w:val="en-US"/>
        </w:rPr>
        <w:t xml:space="preserve">       </w:t>
      </w:r>
      <w:r w:rsidR="0061797E" w:rsidRPr="00E14D8C">
        <w:rPr>
          <w:lang w:val="en-US"/>
        </w:rPr>
        <w:t>Legal representatives of the deceased in case of death or victims who have been permanently disabled are</w:t>
      </w:r>
      <w:r w:rsidR="00B3522B" w:rsidRPr="00E14D8C">
        <w:rPr>
          <w:lang w:val="en-US"/>
        </w:rPr>
        <w:t xml:space="preserve"> </w:t>
      </w:r>
      <w:r w:rsidR="0061797E" w:rsidRPr="00E14D8C">
        <w:rPr>
          <w:lang w:val="en-US"/>
        </w:rPr>
        <w:t>entitled</w:t>
      </w:r>
      <w:r w:rsidR="00B3522B" w:rsidRPr="00E14D8C">
        <w:rPr>
          <w:lang w:val="en-US"/>
        </w:rPr>
        <w:t xml:space="preserve"> to an interim and, subsequently, final </w:t>
      </w:r>
      <w:r w:rsidR="00B330B4" w:rsidRPr="00E14D8C">
        <w:rPr>
          <w:lang w:val="en-US"/>
        </w:rPr>
        <w:t xml:space="preserve">compensation </w:t>
      </w:r>
      <w:r w:rsidR="00C71707" w:rsidRPr="00E14D8C">
        <w:rPr>
          <w:lang w:val="en-US"/>
        </w:rPr>
        <w:t>as calculated under Sections 140 and 163A of the MVA</w:t>
      </w:r>
      <w:r w:rsidR="00A239A0" w:rsidRPr="00E14D8C">
        <w:rPr>
          <w:lang w:val="en-US"/>
        </w:rPr>
        <w:t>.</w:t>
      </w:r>
      <w:r w:rsidR="00B3522B" w:rsidRPr="00E14D8C">
        <w:rPr>
          <w:rStyle w:val="FootnoteReference"/>
          <w:lang w:val="en-US"/>
        </w:rPr>
        <w:footnoteReference w:id="152"/>
      </w:r>
      <w:r w:rsidR="00B3522B" w:rsidRPr="00E14D8C">
        <w:rPr>
          <w:lang w:val="en-US"/>
        </w:rPr>
        <w:t xml:space="preserve"> As such, t</w:t>
      </w:r>
      <w:r w:rsidR="00C71707" w:rsidRPr="00E14D8C">
        <w:rPr>
          <w:lang w:val="en-US"/>
        </w:rPr>
        <w:t xml:space="preserve">he mechanism to ascertain </w:t>
      </w:r>
      <w:r w:rsidR="00C71707" w:rsidRPr="00E14D8C">
        <w:rPr>
          <w:lang w:val="en-US"/>
        </w:rPr>
        <w:lastRenderedPageBreak/>
        <w:t xml:space="preserve">the </w:t>
      </w:r>
      <w:r w:rsidRPr="00E14D8C">
        <w:rPr>
          <w:lang w:val="en-US"/>
        </w:rPr>
        <w:t xml:space="preserve">compensation payable by the owner </w:t>
      </w:r>
      <w:r w:rsidR="00B3522B" w:rsidRPr="00E14D8C">
        <w:rPr>
          <w:lang w:val="en-US"/>
        </w:rPr>
        <w:t>for such injuries</w:t>
      </w:r>
      <w:r w:rsidR="00142EE2" w:rsidRPr="00E14D8C">
        <w:rPr>
          <w:lang w:val="en-US"/>
        </w:rPr>
        <w:t xml:space="preserve"> </w:t>
      </w:r>
      <w:r w:rsidR="00B3522B" w:rsidRPr="00E14D8C">
        <w:rPr>
          <w:lang w:val="en-US"/>
        </w:rPr>
        <w:t xml:space="preserve">has a history of </w:t>
      </w:r>
      <w:r w:rsidR="007E50FE" w:rsidRPr="00E14D8C">
        <w:rPr>
          <w:lang w:val="en-US"/>
        </w:rPr>
        <w:t xml:space="preserve">being </w:t>
      </w:r>
      <w:r w:rsidR="0061797E" w:rsidRPr="00E14D8C">
        <w:rPr>
          <w:lang w:val="en-US"/>
        </w:rPr>
        <w:t>misinterpreted by courts</w:t>
      </w:r>
      <w:r w:rsidR="007E50FE" w:rsidRPr="00E14D8C">
        <w:rPr>
          <w:lang w:val="en-US"/>
        </w:rPr>
        <w:t>,</w:t>
      </w:r>
      <w:r w:rsidR="00B3522B" w:rsidRPr="00E14D8C">
        <w:rPr>
          <w:rStyle w:val="FootnoteReference"/>
          <w:lang w:val="en-US"/>
        </w:rPr>
        <w:footnoteReference w:id="153"/>
      </w:r>
      <w:r w:rsidR="007E50FE" w:rsidRPr="00E14D8C">
        <w:rPr>
          <w:lang w:val="en-US"/>
        </w:rPr>
        <w:t xml:space="preserve"> </w:t>
      </w:r>
      <w:r w:rsidR="00B3522B" w:rsidRPr="00E14D8C">
        <w:rPr>
          <w:lang w:val="en-US"/>
        </w:rPr>
        <w:t>given the lack of</w:t>
      </w:r>
      <w:r w:rsidR="00C71707" w:rsidRPr="00E14D8C">
        <w:rPr>
          <w:lang w:val="en-US"/>
        </w:rPr>
        <w:t xml:space="preserve"> </w:t>
      </w:r>
      <w:r w:rsidR="00B3522B" w:rsidRPr="00E14D8C">
        <w:rPr>
          <w:lang w:val="en-US"/>
        </w:rPr>
        <w:t xml:space="preserve">any </w:t>
      </w:r>
      <w:r w:rsidR="00C71707" w:rsidRPr="00E14D8C">
        <w:rPr>
          <w:lang w:val="en-US"/>
        </w:rPr>
        <w:t xml:space="preserve">clear </w:t>
      </w:r>
      <w:r w:rsidR="00B3522B" w:rsidRPr="00E14D8C">
        <w:rPr>
          <w:lang w:val="en-US"/>
        </w:rPr>
        <w:t>indicia</w:t>
      </w:r>
      <w:r w:rsidR="00C71707" w:rsidRPr="00E14D8C">
        <w:rPr>
          <w:lang w:val="en-US"/>
        </w:rPr>
        <w:t xml:space="preserve"> </w:t>
      </w:r>
      <w:r w:rsidR="0061797E" w:rsidRPr="00E14D8C">
        <w:rPr>
          <w:lang w:val="en-US"/>
        </w:rPr>
        <w:t>concerning</w:t>
      </w:r>
      <w:r w:rsidR="00C71707" w:rsidRPr="00E14D8C">
        <w:rPr>
          <w:lang w:val="en-US"/>
        </w:rPr>
        <w:t xml:space="preserve"> the </w:t>
      </w:r>
      <w:r w:rsidR="003A6053" w:rsidRPr="00E14D8C">
        <w:rPr>
          <w:lang w:val="en-US"/>
        </w:rPr>
        <w:t xml:space="preserve">precise </w:t>
      </w:r>
      <w:r w:rsidR="00C71707" w:rsidRPr="00E14D8C">
        <w:rPr>
          <w:lang w:val="en-US"/>
        </w:rPr>
        <w:t xml:space="preserve">circumstances in which the </w:t>
      </w:r>
      <w:r w:rsidR="00C365FE" w:rsidRPr="00E14D8C">
        <w:rPr>
          <w:lang w:val="en-US"/>
        </w:rPr>
        <w:t>legal representatives</w:t>
      </w:r>
      <w:r w:rsidR="00C71707" w:rsidRPr="00E14D8C">
        <w:rPr>
          <w:lang w:val="en-US"/>
        </w:rPr>
        <w:t xml:space="preserve"> or the injured party</w:t>
      </w:r>
      <w:r w:rsidR="0061797E" w:rsidRPr="00E14D8C">
        <w:rPr>
          <w:lang w:val="en-US"/>
        </w:rPr>
        <w:t xml:space="preserve">, </w:t>
      </w:r>
      <w:r w:rsidR="00C71707" w:rsidRPr="00E14D8C">
        <w:rPr>
          <w:lang w:val="en-US"/>
        </w:rPr>
        <w:t>as the case may be</w:t>
      </w:r>
      <w:r w:rsidR="0061797E" w:rsidRPr="00E14D8C">
        <w:rPr>
          <w:lang w:val="en-US"/>
        </w:rPr>
        <w:t xml:space="preserve">, </w:t>
      </w:r>
      <w:r w:rsidR="00C71707" w:rsidRPr="00E14D8C">
        <w:rPr>
          <w:lang w:val="en-US"/>
        </w:rPr>
        <w:t xml:space="preserve">may avail compensation under </w:t>
      </w:r>
      <w:r w:rsidR="00B3522B" w:rsidRPr="00E14D8C">
        <w:rPr>
          <w:lang w:val="en-US"/>
        </w:rPr>
        <w:t xml:space="preserve">each of the </w:t>
      </w:r>
      <w:r w:rsidR="000B3656" w:rsidRPr="00E14D8C">
        <w:rPr>
          <w:lang w:val="en-US"/>
        </w:rPr>
        <w:t>provisions mentioned above</w:t>
      </w:r>
      <w:r w:rsidR="00C71707" w:rsidRPr="00E14D8C">
        <w:rPr>
          <w:lang w:val="en-US"/>
        </w:rPr>
        <w:t>.</w:t>
      </w:r>
      <w:r w:rsidR="00EE6927" w:rsidRPr="00E14D8C">
        <w:rPr>
          <w:rStyle w:val="FootnoteReference"/>
          <w:lang w:val="en-US"/>
        </w:rPr>
        <w:footnoteReference w:id="154"/>
      </w:r>
      <w:r w:rsidR="00C71707" w:rsidRPr="00E14D8C">
        <w:rPr>
          <w:lang w:val="en-US"/>
        </w:rPr>
        <w:t xml:space="preserve"> </w:t>
      </w:r>
      <w:r w:rsidR="003A6053" w:rsidRPr="00E14D8C">
        <w:rPr>
          <w:lang w:val="en-US"/>
        </w:rPr>
        <w:t xml:space="preserve">It has not been uncommon for the courts to be misguided </w:t>
      </w:r>
      <w:r w:rsidR="004173E0" w:rsidRPr="00E14D8C">
        <w:rPr>
          <w:lang w:val="en-US"/>
        </w:rPr>
        <w:t>regarding</w:t>
      </w:r>
      <w:r w:rsidR="003A6053" w:rsidRPr="00E14D8C">
        <w:rPr>
          <w:lang w:val="en-US"/>
        </w:rPr>
        <w:t xml:space="preserve"> the determination of damages in such matters</w:t>
      </w:r>
      <w:r w:rsidR="007E50FE" w:rsidRPr="00E14D8C">
        <w:rPr>
          <w:lang w:val="en-US"/>
        </w:rPr>
        <w:t>.</w:t>
      </w:r>
      <w:r w:rsidR="00EE6927" w:rsidRPr="00E14D8C">
        <w:rPr>
          <w:rStyle w:val="FootnoteReference"/>
          <w:lang w:val="en-US"/>
        </w:rPr>
        <w:footnoteReference w:id="155"/>
      </w:r>
      <w:r w:rsidR="003A6053" w:rsidRPr="00E14D8C">
        <w:rPr>
          <w:lang w:val="en-US"/>
        </w:rPr>
        <w:t xml:space="preserve"> </w:t>
      </w:r>
      <w:r w:rsidR="007E50FE" w:rsidRPr="00E14D8C">
        <w:rPr>
          <w:lang w:val="en-US"/>
        </w:rPr>
        <w:t>A</w:t>
      </w:r>
      <w:r w:rsidR="003A6053" w:rsidRPr="00E14D8C">
        <w:rPr>
          <w:lang w:val="en-US"/>
        </w:rPr>
        <w:t xml:space="preserve"> combined analysis of Sections 141 and 163B</w:t>
      </w:r>
      <w:r w:rsidR="000B3656" w:rsidRPr="00E14D8C">
        <w:rPr>
          <w:lang w:val="en-US"/>
        </w:rPr>
        <w:t xml:space="preserve"> that were </w:t>
      </w:r>
      <w:r w:rsidR="00DF3C1B" w:rsidRPr="00E14D8C">
        <w:rPr>
          <w:lang w:val="en-US"/>
        </w:rPr>
        <w:t xml:space="preserve">added by an amendment to the MVA in 1994 </w:t>
      </w:r>
      <w:r w:rsidR="007E50FE" w:rsidRPr="00E14D8C">
        <w:rPr>
          <w:lang w:val="en-US"/>
        </w:rPr>
        <w:t>indicates</w:t>
      </w:r>
      <w:r w:rsidR="003A6053" w:rsidRPr="00E14D8C">
        <w:rPr>
          <w:lang w:val="en-US"/>
        </w:rPr>
        <w:t xml:space="preserve"> that the compensation regimes under Section 140 and 163A </w:t>
      </w:r>
      <w:r w:rsidR="00DF3C1B" w:rsidRPr="00E14D8C">
        <w:rPr>
          <w:lang w:val="en-US"/>
        </w:rPr>
        <w:t xml:space="preserve">preclude the deceased or the injured party </w:t>
      </w:r>
      <w:r w:rsidR="000B3656" w:rsidRPr="00E14D8C">
        <w:rPr>
          <w:lang w:val="en-US"/>
        </w:rPr>
        <w:t>from claiming</w:t>
      </w:r>
      <w:r w:rsidR="00DF3C1B" w:rsidRPr="00E14D8C">
        <w:rPr>
          <w:lang w:val="en-US"/>
        </w:rPr>
        <w:t xml:space="preserve"> damages </w:t>
      </w:r>
      <w:r w:rsidR="000B3656" w:rsidRPr="00E14D8C">
        <w:rPr>
          <w:lang w:val="en-US"/>
        </w:rPr>
        <w:t xml:space="preserve">under </w:t>
      </w:r>
      <w:r w:rsidR="00DF3C1B" w:rsidRPr="00E14D8C">
        <w:rPr>
          <w:lang w:val="en-US"/>
        </w:rPr>
        <w:t>both the provisions simultaneously</w:t>
      </w:r>
      <w:r w:rsidR="00DF3C1B" w:rsidRPr="00E14D8C">
        <w:rPr>
          <w:lang w:val="en-US"/>
        </w:rPr>
        <w:t>.</w:t>
      </w:r>
      <w:r w:rsidR="00DF3C1B" w:rsidRPr="00E14D8C">
        <w:rPr>
          <w:rStyle w:val="FootnoteReference"/>
          <w:lang w:val="en-US"/>
        </w:rPr>
        <w:footnoteReference w:id="156"/>
      </w:r>
      <w:r w:rsidR="00DF3C1B" w:rsidRPr="00E14D8C">
        <w:rPr>
          <w:lang w:val="en-US"/>
        </w:rPr>
        <w:t xml:space="preserve"> </w:t>
      </w:r>
      <w:r w:rsidR="003A6053" w:rsidRPr="00E14D8C">
        <w:rPr>
          <w:lang w:val="en-US"/>
        </w:rPr>
        <w:t xml:space="preserve"> </w:t>
      </w:r>
      <w:r w:rsidR="007E50FE" w:rsidRPr="00E14D8C">
        <w:rPr>
          <w:lang w:val="en-US"/>
        </w:rPr>
        <w:t>Nonetheless, a</w:t>
      </w:r>
      <w:r w:rsidR="00B3522B" w:rsidRPr="00E14D8C">
        <w:rPr>
          <w:lang w:val="en-US"/>
        </w:rPr>
        <w:t xml:space="preserve">lthough the provisions of the MVA continue to remain silent on this aspect, the decision of the </w:t>
      </w:r>
      <w:r w:rsidR="003A6053" w:rsidRPr="00E14D8C">
        <w:rPr>
          <w:lang w:val="en-US"/>
        </w:rPr>
        <w:t xml:space="preserve">Supreme Court in </w:t>
      </w:r>
      <w:r w:rsidR="003A6053" w:rsidRPr="00E14D8C">
        <w:rPr>
          <w:i/>
          <w:lang w:val="en-US"/>
        </w:rPr>
        <w:t xml:space="preserve">Oriental Insurance Co Ltd v </w:t>
      </w:r>
      <w:proofErr w:type="spellStart"/>
      <w:r w:rsidR="003A6053" w:rsidRPr="00E14D8C">
        <w:rPr>
          <w:i/>
          <w:lang w:val="en-US"/>
        </w:rPr>
        <w:t>Hansrajbhai</w:t>
      </w:r>
      <w:proofErr w:type="spellEnd"/>
      <w:r w:rsidR="003A6053" w:rsidRPr="00E14D8C">
        <w:rPr>
          <w:i/>
          <w:lang w:val="en-US"/>
        </w:rPr>
        <w:t xml:space="preserve"> v </w:t>
      </w:r>
      <w:proofErr w:type="spellStart"/>
      <w:r w:rsidR="003A6053" w:rsidRPr="00E14D8C">
        <w:rPr>
          <w:i/>
          <w:lang w:val="en-US"/>
        </w:rPr>
        <w:t>Kodala</w:t>
      </w:r>
      <w:proofErr w:type="spellEnd"/>
      <w:r w:rsidR="003A6053" w:rsidRPr="00E14D8C">
        <w:rPr>
          <w:rStyle w:val="FootnoteReference"/>
          <w:i/>
          <w:lang w:val="en-US"/>
        </w:rPr>
        <w:footnoteReference w:id="157"/>
      </w:r>
      <w:r w:rsidR="003A6053" w:rsidRPr="00E14D8C">
        <w:rPr>
          <w:lang w:val="en-US"/>
        </w:rPr>
        <w:t xml:space="preserve"> and </w:t>
      </w:r>
      <w:proofErr w:type="spellStart"/>
      <w:r w:rsidR="003A6053" w:rsidRPr="00E14D8C">
        <w:rPr>
          <w:i/>
          <w:lang w:val="en-US"/>
        </w:rPr>
        <w:t>Girishbhai</w:t>
      </w:r>
      <w:proofErr w:type="spellEnd"/>
      <w:r w:rsidR="003A6053" w:rsidRPr="00E14D8C">
        <w:rPr>
          <w:i/>
          <w:lang w:val="en-US"/>
        </w:rPr>
        <w:t xml:space="preserve"> </w:t>
      </w:r>
      <w:proofErr w:type="spellStart"/>
      <w:r w:rsidR="003A6053" w:rsidRPr="00E14D8C">
        <w:rPr>
          <w:i/>
          <w:lang w:val="en-US"/>
        </w:rPr>
        <w:t>Soni</w:t>
      </w:r>
      <w:proofErr w:type="spellEnd"/>
      <w:r w:rsidR="003A6053" w:rsidRPr="00E14D8C">
        <w:rPr>
          <w:i/>
          <w:lang w:val="en-US"/>
        </w:rPr>
        <w:t xml:space="preserve"> v United India Insurance Co. Ltd, Baroda</w:t>
      </w:r>
      <w:r w:rsidR="003A6053" w:rsidRPr="00E14D8C">
        <w:rPr>
          <w:rStyle w:val="FootnoteReference"/>
          <w:lang w:val="en-US"/>
        </w:rPr>
        <w:footnoteReference w:id="158"/>
      </w:r>
      <w:r w:rsidR="003A6053" w:rsidRPr="00E14D8C">
        <w:rPr>
          <w:lang w:val="en-US"/>
        </w:rPr>
        <w:t xml:space="preserve"> </w:t>
      </w:r>
      <w:r w:rsidR="00B3522B" w:rsidRPr="00E14D8C">
        <w:rPr>
          <w:lang w:val="en-US"/>
        </w:rPr>
        <w:t>clarifies</w:t>
      </w:r>
      <w:r w:rsidR="003A6053" w:rsidRPr="00E14D8C">
        <w:rPr>
          <w:lang w:val="en-US"/>
        </w:rPr>
        <w:t xml:space="preserve"> the remedies available under Sections 140 and 163A are, in fact, intended to govern the mechanism to determine the interim and, subsequently, the final compensation that may be available to the survivors </w:t>
      </w:r>
      <w:r w:rsidR="00B3522B" w:rsidRPr="00E14D8C">
        <w:rPr>
          <w:lang w:val="en-US"/>
        </w:rPr>
        <w:t xml:space="preserve">of the deceased or to persons who have been permanently disabled. </w:t>
      </w:r>
    </w:p>
    <w:p w14:paraId="0EDA901C" w14:textId="732A3A6D" w:rsidR="00817DB4" w:rsidRPr="00E14D8C" w:rsidRDefault="00817DB4" w:rsidP="003E69E8">
      <w:pPr>
        <w:spacing w:line="360" w:lineRule="auto"/>
        <w:jc w:val="both"/>
        <w:rPr>
          <w:lang w:val="en-US"/>
        </w:rPr>
      </w:pPr>
      <w:r w:rsidRPr="00E14D8C">
        <w:rPr>
          <w:lang w:val="en-US"/>
        </w:rPr>
        <w:t xml:space="preserve">      </w:t>
      </w:r>
      <w:r w:rsidR="000B3656" w:rsidRPr="00E14D8C">
        <w:rPr>
          <w:lang w:val="en-US"/>
        </w:rPr>
        <w:t>Therefore, the remedies are</w:t>
      </w:r>
      <w:r w:rsidR="003E69E8" w:rsidRPr="00E14D8C">
        <w:rPr>
          <w:lang w:val="en-US"/>
        </w:rPr>
        <w:t xml:space="preserve"> two-pronged and are designed to provide expeditious relief to </w:t>
      </w:r>
      <w:r w:rsidR="00B3522B" w:rsidRPr="00E14D8C">
        <w:rPr>
          <w:lang w:val="en-US"/>
        </w:rPr>
        <w:t>the permanently disabled</w:t>
      </w:r>
      <w:r w:rsidR="003E69E8" w:rsidRPr="00E14D8C">
        <w:rPr>
          <w:lang w:val="en-US"/>
        </w:rPr>
        <w:t xml:space="preserve"> or </w:t>
      </w:r>
      <w:r w:rsidR="00B3522B" w:rsidRPr="00E14D8C">
        <w:rPr>
          <w:lang w:val="en-US"/>
        </w:rPr>
        <w:t>the</w:t>
      </w:r>
      <w:r w:rsidR="003E69E8" w:rsidRPr="00E14D8C">
        <w:rPr>
          <w:lang w:val="en-US"/>
        </w:rPr>
        <w:t xml:space="preserve"> survivors </w:t>
      </w:r>
      <w:r w:rsidR="00B3522B" w:rsidRPr="00E14D8C">
        <w:rPr>
          <w:lang w:val="en-US"/>
        </w:rPr>
        <w:t xml:space="preserve">of the deceased </w:t>
      </w:r>
      <w:r w:rsidR="003E69E8" w:rsidRPr="00E14D8C">
        <w:rPr>
          <w:lang w:val="en-US"/>
        </w:rPr>
        <w:t xml:space="preserve">by </w:t>
      </w:r>
      <w:r w:rsidR="00F03653">
        <w:rPr>
          <w:lang w:val="en-US"/>
        </w:rPr>
        <w:t>minimizing</w:t>
      </w:r>
      <w:r w:rsidR="003E69E8" w:rsidRPr="00E14D8C">
        <w:rPr>
          <w:lang w:val="en-US"/>
        </w:rPr>
        <w:t xml:space="preserve"> recourse to the courts.</w:t>
      </w:r>
      <w:r w:rsidR="0053669E" w:rsidRPr="00E14D8C">
        <w:rPr>
          <w:lang w:val="en-US"/>
        </w:rPr>
        <w:t xml:space="preserve"> </w:t>
      </w:r>
      <w:r w:rsidR="00B3522B" w:rsidRPr="00E14D8C">
        <w:rPr>
          <w:lang w:val="en-US"/>
        </w:rPr>
        <w:t>Persons who are permanently disabled</w:t>
      </w:r>
      <w:r w:rsidR="00EE6927" w:rsidRPr="00E14D8C">
        <w:rPr>
          <w:lang w:val="en-US"/>
        </w:rPr>
        <w:t xml:space="preserve"> are, therefore, </w:t>
      </w:r>
      <w:r w:rsidRPr="00E14D8C">
        <w:rPr>
          <w:lang w:val="en-US"/>
        </w:rPr>
        <w:t>promptly</w:t>
      </w:r>
      <w:r w:rsidR="00EE6927" w:rsidRPr="00E14D8C">
        <w:rPr>
          <w:lang w:val="en-US"/>
        </w:rPr>
        <w:t xml:space="preserve"> eligible </w:t>
      </w:r>
      <w:r w:rsidR="000B3656" w:rsidRPr="00E14D8C">
        <w:rPr>
          <w:lang w:val="en-US"/>
        </w:rPr>
        <w:t>for</w:t>
      </w:r>
      <w:r w:rsidR="00EE6927" w:rsidRPr="00E14D8C">
        <w:rPr>
          <w:lang w:val="en-US"/>
        </w:rPr>
        <w:t xml:space="preserve"> an interim compensation of </w:t>
      </w:r>
      <w:r w:rsidR="00C365FE" w:rsidRPr="00E14D8C">
        <w:rPr>
          <w:lang w:val="en-US"/>
        </w:rPr>
        <w:t xml:space="preserve">INR 25,000 </w:t>
      </w:r>
      <w:r w:rsidR="00EE6927" w:rsidRPr="00E14D8C">
        <w:rPr>
          <w:lang w:val="en-US"/>
        </w:rPr>
        <w:t>under Section 140</w:t>
      </w:r>
      <w:r w:rsidR="00B3522B" w:rsidRPr="00E14D8C">
        <w:rPr>
          <w:rStyle w:val="FootnoteReference"/>
          <w:lang w:val="en-US"/>
        </w:rPr>
        <w:footnoteReference w:id="159"/>
      </w:r>
      <w:r w:rsidR="00EE6927" w:rsidRPr="00E14D8C">
        <w:rPr>
          <w:lang w:val="en-US"/>
        </w:rPr>
        <w:t xml:space="preserve"> as soon as the Claims Tribunal</w:t>
      </w:r>
      <w:r w:rsidR="00EE6927" w:rsidRPr="00E14D8C">
        <w:rPr>
          <w:rStyle w:val="FootnoteReference"/>
          <w:lang w:val="en-US"/>
        </w:rPr>
        <w:footnoteReference w:id="160"/>
      </w:r>
      <w:r w:rsidR="00EE6927" w:rsidRPr="00E14D8C">
        <w:rPr>
          <w:lang w:val="en-US"/>
        </w:rPr>
        <w:t xml:space="preserve"> has ascertained that a) the motor vehicle was used; b) it was involved in an accident</w:t>
      </w:r>
      <w:r w:rsidR="000B3656" w:rsidRPr="00E14D8C">
        <w:rPr>
          <w:lang w:val="en-US"/>
        </w:rPr>
        <w:t>, and</w:t>
      </w:r>
      <w:r w:rsidR="00EE6927" w:rsidRPr="00E14D8C">
        <w:rPr>
          <w:lang w:val="en-US"/>
        </w:rPr>
        <w:t xml:space="preserve"> c) that it caused the death or permanently disabled the victim.</w:t>
      </w:r>
      <w:r w:rsidR="00EE6927" w:rsidRPr="00E14D8C">
        <w:rPr>
          <w:rStyle w:val="FootnoteReference"/>
          <w:lang w:val="en-US"/>
        </w:rPr>
        <w:footnoteReference w:id="161"/>
      </w:r>
      <w:r w:rsidR="00EE6927" w:rsidRPr="00E14D8C">
        <w:rPr>
          <w:lang w:val="en-US"/>
        </w:rPr>
        <w:t xml:space="preserve"> </w:t>
      </w:r>
      <w:r w:rsidR="00B3522B" w:rsidRPr="00E14D8C">
        <w:rPr>
          <w:lang w:val="en-US"/>
        </w:rPr>
        <w:t xml:space="preserve">Survivors of the deceased are similarly entitled to an interim compensation of </w:t>
      </w:r>
      <w:r w:rsidR="0061797E" w:rsidRPr="00E14D8C">
        <w:rPr>
          <w:lang w:val="en-US"/>
        </w:rPr>
        <w:t>INR</w:t>
      </w:r>
      <w:r w:rsidR="00B3522B" w:rsidRPr="00E14D8C">
        <w:rPr>
          <w:lang w:val="en-US"/>
        </w:rPr>
        <w:t xml:space="preserve"> 50,000.</w:t>
      </w:r>
      <w:r w:rsidR="00B3522B" w:rsidRPr="00E14D8C">
        <w:rPr>
          <w:rStyle w:val="FootnoteReference"/>
          <w:lang w:val="en-US"/>
        </w:rPr>
        <w:footnoteReference w:id="162"/>
      </w:r>
      <w:r w:rsidR="00B3522B" w:rsidRPr="00E14D8C">
        <w:rPr>
          <w:lang w:val="en-US"/>
        </w:rPr>
        <w:t xml:space="preserve"> </w:t>
      </w:r>
      <w:r w:rsidR="0061797E" w:rsidRPr="00E14D8C">
        <w:rPr>
          <w:lang w:val="en-US"/>
        </w:rPr>
        <w:t>A</w:t>
      </w:r>
      <w:r w:rsidR="00EE6927" w:rsidRPr="00E14D8C">
        <w:rPr>
          <w:lang w:val="en-US"/>
        </w:rPr>
        <w:t xml:space="preserve">t this stage, </w:t>
      </w:r>
      <w:r w:rsidR="0061797E" w:rsidRPr="00E14D8C">
        <w:rPr>
          <w:lang w:val="en-US"/>
        </w:rPr>
        <w:t>insurers are prohibited</w:t>
      </w:r>
      <w:r w:rsidR="00EE6927" w:rsidRPr="00E14D8C">
        <w:rPr>
          <w:lang w:val="en-US"/>
        </w:rPr>
        <w:t xml:space="preserve"> </w:t>
      </w:r>
      <w:r w:rsidR="00EE6927" w:rsidRPr="00E14D8C">
        <w:rPr>
          <w:lang w:val="en-US"/>
        </w:rPr>
        <w:lastRenderedPageBreak/>
        <w:t xml:space="preserve">from avoiding </w:t>
      </w:r>
      <w:r w:rsidR="0061797E" w:rsidRPr="00E14D8C">
        <w:rPr>
          <w:lang w:val="en-US"/>
        </w:rPr>
        <w:t>their</w:t>
      </w:r>
      <w:r w:rsidR="00EE6927" w:rsidRPr="00E14D8C">
        <w:rPr>
          <w:lang w:val="en-US"/>
        </w:rPr>
        <w:t xml:space="preserve"> liability to indemnify the owner on any ground</w:t>
      </w:r>
      <w:r w:rsidR="0061797E" w:rsidRPr="00E14D8C">
        <w:rPr>
          <w:lang w:val="en-US"/>
        </w:rPr>
        <w:t>.</w:t>
      </w:r>
      <w:r w:rsidR="0061797E" w:rsidRPr="00E14D8C">
        <w:rPr>
          <w:rStyle w:val="FootnoteReference"/>
          <w:lang w:val="en-US"/>
        </w:rPr>
        <w:footnoteReference w:id="163"/>
      </w:r>
      <w:r w:rsidR="0061797E" w:rsidRPr="00E14D8C">
        <w:rPr>
          <w:lang w:val="en-US"/>
        </w:rPr>
        <w:t xml:space="preserve"> Thus, it is irrelevant whether the insurer is able to subsequently demonstrate that</w:t>
      </w:r>
      <w:r w:rsidRPr="00E14D8C">
        <w:rPr>
          <w:lang w:val="en-US"/>
        </w:rPr>
        <w:t xml:space="preserve"> </w:t>
      </w:r>
      <w:r w:rsidR="0061797E" w:rsidRPr="00E14D8C">
        <w:rPr>
          <w:lang w:val="en-US"/>
        </w:rPr>
        <w:t>it was</w:t>
      </w:r>
      <w:r w:rsidRPr="00E14D8C">
        <w:rPr>
          <w:lang w:val="en-US"/>
        </w:rPr>
        <w:t xml:space="preserve"> not liable</w:t>
      </w:r>
      <w:r w:rsidR="0061797E" w:rsidRPr="00E14D8C">
        <w:rPr>
          <w:lang w:val="en-US"/>
        </w:rPr>
        <w:t xml:space="preserve"> </w:t>
      </w:r>
      <w:r w:rsidRPr="00E14D8C">
        <w:rPr>
          <w:lang w:val="en-US"/>
        </w:rPr>
        <w:t>because</w:t>
      </w:r>
      <w:r w:rsidR="00EE6927" w:rsidRPr="00E14D8C">
        <w:rPr>
          <w:lang w:val="en-US"/>
        </w:rPr>
        <w:t xml:space="preserve"> the motor vehicle was being used in contravention to the terms of the policy</w:t>
      </w:r>
      <w:r w:rsidR="00EE6927" w:rsidRPr="00E14D8C">
        <w:rPr>
          <w:rStyle w:val="FootnoteReference"/>
          <w:lang w:val="en-US"/>
        </w:rPr>
        <w:footnoteReference w:id="164"/>
      </w:r>
      <w:r w:rsidR="00EE6927" w:rsidRPr="00E14D8C">
        <w:rPr>
          <w:lang w:val="en-US"/>
        </w:rPr>
        <w:t xml:space="preserve"> or that it resulted in an injury to an employee of the owner who was engaged as a driver or a conductor.</w:t>
      </w:r>
      <w:r w:rsidR="00EE6927" w:rsidRPr="00E14D8C">
        <w:rPr>
          <w:rStyle w:val="FootnoteReference"/>
          <w:lang w:val="en-US"/>
        </w:rPr>
        <w:footnoteReference w:id="165"/>
      </w:r>
      <w:r w:rsidR="00EE6927" w:rsidRPr="00E14D8C">
        <w:rPr>
          <w:lang w:val="en-US"/>
        </w:rPr>
        <w:t xml:space="preserve"> </w:t>
      </w:r>
      <w:r w:rsidRPr="00E14D8C">
        <w:rPr>
          <w:lang w:val="en-US"/>
        </w:rPr>
        <w:t xml:space="preserve">In such circumstances, the owner may be </w:t>
      </w:r>
      <w:r w:rsidR="0061797E" w:rsidRPr="00E14D8C">
        <w:rPr>
          <w:lang w:val="en-US"/>
        </w:rPr>
        <w:t>liable</w:t>
      </w:r>
      <w:r w:rsidRPr="00E14D8C">
        <w:rPr>
          <w:lang w:val="en-US"/>
        </w:rPr>
        <w:t xml:space="preserve"> to reimburse the insurer for the loss that the latter was compelled to incur through the payment of the interim compensation.</w:t>
      </w:r>
      <w:r w:rsidRPr="00E14D8C">
        <w:rPr>
          <w:rStyle w:val="FootnoteReference"/>
          <w:lang w:val="en-US"/>
        </w:rPr>
        <w:footnoteReference w:id="166"/>
      </w:r>
      <w:r w:rsidRPr="00E14D8C">
        <w:rPr>
          <w:lang w:val="en-US"/>
        </w:rPr>
        <w:t xml:space="preserve"> </w:t>
      </w:r>
    </w:p>
    <w:p w14:paraId="36C29FCE" w14:textId="18231398" w:rsidR="00EE6927" w:rsidRPr="00E14D8C" w:rsidRDefault="00817DB4" w:rsidP="003E69E8">
      <w:pPr>
        <w:spacing w:line="360" w:lineRule="auto"/>
        <w:jc w:val="both"/>
      </w:pPr>
      <w:r w:rsidRPr="00E14D8C">
        <w:rPr>
          <w:lang w:val="en-US"/>
        </w:rPr>
        <w:t xml:space="preserve">        </w:t>
      </w:r>
      <w:r w:rsidR="00B3522B" w:rsidRPr="00E14D8C">
        <w:rPr>
          <w:lang w:val="en-US"/>
        </w:rPr>
        <w:t xml:space="preserve">Victims who have been permanently disabled or the survivors of the deceased are subsequently entitled to a final compensation </w:t>
      </w:r>
      <w:r w:rsidR="000B3656" w:rsidRPr="00E14D8C">
        <w:rPr>
          <w:lang w:val="en-US"/>
        </w:rPr>
        <w:t xml:space="preserve">of </w:t>
      </w:r>
      <w:r w:rsidR="0061797E" w:rsidRPr="00E14D8C">
        <w:rPr>
          <w:lang w:val="en-US"/>
        </w:rPr>
        <w:t>INR</w:t>
      </w:r>
      <w:r w:rsidR="00EE6927" w:rsidRPr="00E14D8C">
        <w:rPr>
          <w:lang w:val="en-US"/>
        </w:rPr>
        <w:t xml:space="preserve"> 5</w:t>
      </w:r>
      <w:r w:rsidR="0061797E" w:rsidRPr="00E14D8C">
        <w:rPr>
          <w:lang w:val="en-US"/>
        </w:rPr>
        <w:t>,</w:t>
      </w:r>
      <w:r w:rsidR="00EE6927" w:rsidRPr="00E14D8C">
        <w:rPr>
          <w:lang w:val="en-US"/>
        </w:rPr>
        <w:t>75</w:t>
      </w:r>
      <w:r w:rsidR="0061797E" w:rsidRPr="00E14D8C">
        <w:rPr>
          <w:lang w:val="en-US"/>
        </w:rPr>
        <w:t>,</w:t>
      </w:r>
      <w:r w:rsidR="00EE6927" w:rsidRPr="00E14D8C">
        <w:rPr>
          <w:lang w:val="en-US"/>
        </w:rPr>
        <w:t>000</w:t>
      </w:r>
      <w:r w:rsidR="0061797E" w:rsidRPr="00E14D8C">
        <w:rPr>
          <w:lang w:val="en-US"/>
        </w:rPr>
        <w:t xml:space="preserve"> million</w:t>
      </w:r>
      <w:r w:rsidR="0089458E" w:rsidRPr="00E14D8C">
        <w:rPr>
          <w:lang w:val="en-US"/>
        </w:rPr>
        <w:t>,</w:t>
      </w:r>
      <w:r w:rsidR="0089458E" w:rsidRPr="00E14D8C">
        <w:rPr>
          <w:rStyle w:val="FootnoteReference"/>
          <w:lang w:val="en-US"/>
        </w:rPr>
        <w:footnoteReference w:id="167"/>
      </w:r>
      <w:r w:rsidR="0089458E" w:rsidRPr="00E14D8C">
        <w:rPr>
          <w:lang w:val="en-US"/>
        </w:rPr>
        <w:t xml:space="preserve"> </w:t>
      </w:r>
      <w:r w:rsidR="00B3522B" w:rsidRPr="00E14D8C">
        <w:rPr>
          <w:lang w:val="en-US"/>
        </w:rPr>
        <w:t>which is payable by the owner and, consequently, the insurer</w:t>
      </w:r>
      <w:r w:rsidR="00B3522B" w:rsidRPr="00E14D8C">
        <w:rPr>
          <w:rStyle w:val="FootnoteReference"/>
          <w:lang w:val="en-US"/>
        </w:rPr>
        <w:footnoteReference w:id="168"/>
      </w:r>
      <w:r w:rsidR="00B3522B" w:rsidRPr="00E14D8C">
        <w:rPr>
          <w:lang w:val="en-US"/>
        </w:rPr>
        <w:t xml:space="preserve"> after</w:t>
      </w:r>
      <w:r w:rsidR="0089458E" w:rsidRPr="00E14D8C">
        <w:rPr>
          <w:lang w:val="en-US"/>
        </w:rPr>
        <w:t xml:space="preserve"> deducting the amount that was initially awarded on an interim basis.</w:t>
      </w:r>
      <w:r w:rsidR="0089458E" w:rsidRPr="00E14D8C">
        <w:rPr>
          <w:rStyle w:val="FootnoteReference"/>
          <w:lang w:val="en-US"/>
        </w:rPr>
        <w:footnoteReference w:id="169"/>
      </w:r>
      <w:r w:rsidR="0089458E" w:rsidRPr="00E14D8C">
        <w:rPr>
          <w:lang w:val="en-US"/>
        </w:rPr>
        <w:t xml:space="preserve"> </w:t>
      </w:r>
      <w:r w:rsidR="000B3656" w:rsidRPr="00E14D8C">
        <w:rPr>
          <w:lang w:val="en-US"/>
        </w:rPr>
        <w:t>However, the amount is</w:t>
      </w:r>
      <w:r w:rsidR="0089458E" w:rsidRPr="00E14D8C">
        <w:rPr>
          <w:lang w:val="en-US"/>
        </w:rPr>
        <w:t xml:space="preserve"> </w:t>
      </w:r>
      <w:r w:rsidR="00EE6927" w:rsidRPr="00E14D8C">
        <w:rPr>
          <w:lang w:val="en-US"/>
        </w:rPr>
        <w:t xml:space="preserve">subject to increase by five </w:t>
      </w:r>
      <w:r w:rsidR="000B3656" w:rsidRPr="00E14D8C">
        <w:rPr>
          <w:lang w:val="en-US"/>
        </w:rPr>
        <w:t>per cent</w:t>
      </w:r>
      <w:r w:rsidR="00EE6927" w:rsidRPr="00E14D8C">
        <w:rPr>
          <w:lang w:val="en-US"/>
        </w:rPr>
        <w:t xml:space="preserve"> each year</w:t>
      </w:r>
      <w:r w:rsidR="000B3656" w:rsidRPr="00E14D8C">
        <w:rPr>
          <w:lang w:val="en-US"/>
        </w:rPr>
        <w:t>,</w:t>
      </w:r>
      <w:r w:rsidR="00EE6927" w:rsidRPr="00E14D8C">
        <w:rPr>
          <w:lang w:val="en-US"/>
        </w:rPr>
        <w:t xml:space="preserve"> </w:t>
      </w:r>
      <w:r w:rsidR="000B3656" w:rsidRPr="00E14D8C">
        <w:rPr>
          <w:lang w:val="en-US"/>
        </w:rPr>
        <w:t>according to</w:t>
      </w:r>
      <w:r w:rsidR="00EE6927" w:rsidRPr="00E14D8C">
        <w:rPr>
          <w:lang w:val="en-US"/>
        </w:rPr>
        <w:t xml:space="preserve"> the Central </w:t>
      </w:r>
      <w:r w:rsidR="0041674D" w:rsidRPr="00E14D8C">
        <w:rPr>
          <w:lang w:val="en-US"/>
        </w:rPr>
        <w:t>Government’s</w:t>
      </w:r>
      <w:r w:rsidR="00EE6927" w:rsidRPr="00E14D8C">
        <w:rPr>
          <w:lang w:val="en-US"/>
        </w:rPr>
        <w:t xml:space="preserve"> notification in 2018.</w:t>
      </w:r>
      <w:r w:rsidR="00EE6927" w:rsidRPr="00E14D8C">
        <w:rPr>
          <w:rStyle w:val="FootnoteReference"/>
          <w:lang w:val="en-US"/>
        </w:rPr>
        <w:footnoteReference w:id="170"/>
      </w:r>
      <w:r w:rsidR="00EE6927" w:rsidRPr="00E14D8C">
        <w:rPr>
          <w:lang w:val="en-US"/>
        </w:rPr>
        <w:t xml:space="preserve"> Persons who have been permanently disabled are, </w:t>
      </w:r>
      <w:r w:rsidR="00B3522B" w:rsidRPr="00E14D8C">
        <w:rPr>
          <w:lang w:val="en-US"/>
        </w:rPr>
        <w:t>thus</w:t>
      </w:r>
      <w:r w:rsidR="00EE6927" w:rsidRPr="00E14D8C">
        <w:rPr>
          <w:lang w:val="en-US"/>
        </w:rPr>
        <w:t>, entitled to additional compensation depending on the percentage of disabilities they have suffered.</w:t>
      </w:r>
      <w:r w:rsidR="0053669E" w:rsidRPr="00E14D8C">
        <w:rPr>
          <w:lang w:val="en-US"/>
        </w:rPr>
        <w:t xml:space="preserve"> </w:t>
      </w:r>
      <w:r w:rsidR="004173E0" w:rsidRPr="00E14D8C">
        <w:rPr>
          <w:lang w:val="en-US"/>
        </w:rPr>
        <w:t>Consequently, the</w:t>
      </w:r>
      <w:r w:rsidR="00EE6927" w:rsidRPr="00E14D8C">
        <w:rPr>
          <w:lang w:val="en-US"/>
        </w:rPr>
        <w:t xml:space="preserve"> </w:t>
      </w:r>
      <w:r w:rsidR="000B3656" w:rsidRPr="00E14D8C">
        <w:rPr>
          <w:lang w:val="en-US"/>
        </w:rPr>
        <w:t>final compensation amount</w:t>
      </w:r>
      <w:r w:rsidR="00EE6927" w:rsidRPr="00E14D8C">
        <w:rPr>
          <w:lang w:val="en-US"/>
        </w:rPr>
        <w:t xml:space="preserve"> is calculated by multiplying the percentage of disabilities that the victim has suffered with the minimum amount.</w:t>
      </w:r>
      <w:r w:rsidR="00EE6927" w:rsidRPr="00E14D8C">
        <w:rPr>
          <w:rStyle w:val="FootnoteReference"/>
          <w:lang w:val="en-US"/>
        </w:rPr>
        <w:footnoteReference w:id="171"/>
      </w:r>
      <w:r w:rsidR="00EE6927" w:rsidRPr="00E14D8C">
        <w:rPr>
          <w:lang w:val="en-US"/>
        </w:rPr>
        <w:t xml:space="preserve"> By this principle, victims suffering </w:t>
      </w:r>
      <w:r w:rsidR="00EE6927" w:rsidRPr="00E14D8C">
        <w:t xml:space="preserve">25 per cent disabilities – for instance, in the form of broken limbs by being thrown before a truck during a quarrel – will be entitled to a compensation of INR </w:t>
      </w:r>
      <w:r w:rsidR="0061797E" w:rsidRPr="00E14D8C">
        <w:t>30 million</w:t>
      </w:r>
      <w:r w:rsidR="00EE6927" w:rsidRPr="00E14D8C">
        <w:t xml:space="preserve"> (INR 5,75,000 </w:t>
      </w:r>
      <w:r w:rsidR="0061797E" w:rsidRPr="00E14D8C">
        <w:t xml:space="preserve">million </w:t>
      </w:r>
      <w:r w:rsidR="00EE6927" w:rsidRPr="00E14D8C">
        <w:t xml:space="preserve">* 25). </w:t>
      </w:r>
    </w:p>
    <w:p w14:paraId="34E6E244" w14:textId="1F02238A" w:rsidR="00B3522B" w:rsidRPr="00E14D8C" w:rsidRDefault="00B3522B" w:rsidP="00B3522B">
      <w:pPr>
        <w:spacing w:line="360" w:lineRule="auto"/>
        <w:jc w:val="both"/>
        <w:rPr>
          <w:lang w:val="en-US"/>
        </w:rPr>
      </w:pPr>
      <w:r w:rsidRPr="00E14D8C">
        <w:t xml:space="preserve">      </w:t>
      </w:r>
      <w:r w:rsidR="000C5022" w:rsidRPr="00E14D8C">
        <w:t>Persons who have been grievously hurt are not similarly entitled to an interim and final compensation.</w:t>
      </w:r>
      <w:r w:rsidR="0053669E" w:rsidRPr="00E14D8C">
        <w:t xml:space="preserve"> </w:t>
      </w:r>
      <w:r w:rsidR="000C5022" w:rsidRPr="00E14D8C">
        <w:t xml:space="preserve">Instead, they provided a one-time compensation of </w:t>
      </w:r>
      <w:r w:rsidRPr="00E14D8C">
        <w:rPr>
          <w:lang w:val="en-US"/>
        </w:rPr>
        <w:t xml:space="preserve">INR </w:t>
      </w:r>
      <w:r w:rsidR="0061797E" w:rsidRPr="00E14D8C">
        <w:rPr>
          <w:lang w:val="en-US"/>
        </w:rPr>
        <w:t>25000 million</w:t>
      </w:r>
      <w:r w:rsidR="000C5022" w:rsidRPr="00E14D8C">
        <w:rPr>
          <w:lang w:val="en-US"/>
        </w:rPr>
        <w:t xml:space="preserve"> </w:t>
      </w:r>
      <w:r w:rsidR="000C5022" w:rsidRPr="00E14D8C">
        <w:rPr>
          <w:lang w:val="en-US"/>
        </w:rPr>
        <w:t>under Section 164</w:t>
      </w:r>
      <w:r w:rsidR="000C5022" w:rsidRPr="00E14D8C">
        <w:rPr>
          <w:lang w:val="en-US"/>
        </w:rPr>
        <w:t>.</w:t>
      </w:r>
      <w:r w:rsidR="0053669E" w:rsidRPr="00E14D8C">
        <w:rPr>
          <w:lang w:val="en-US"/>
        </w:rPr>
        <w:t xml:space="preserve"> </w:t>
      </w:r>
      <w:r w:rsidR="000C5022" w:rsidRPr="00E14D8C">
        <w:rPr>
          <w:lang w:val="en-US"/>
        </w:rPr>
        <w:t xml:space="preserve">The MVA fails to </w:t>
      </w:r>
      <w:r w:rsidR="000B3656" w:rsidRPr="00E14D8C">
        <w:rPr>
          <w:lang w:val="en-US"/>
        </w:rPr>
        <w:t>offer</w:t>
      </w:r>
      <w:r w:rsidR="000C5022" w:rsidRPr="00E14D8C">
        <w:rPr>
          <w:lang w:val="en-US"/>
        </w:rPr>
        <w:t xml:space="preserve"> any guidance as to the circumstances in which the Claims Tribunal may regard a permanent disablement as a grievous hurt and vice versa while determining the damages that would be awarded to the victim – considering that the criterion to ascertain the existence of each of these forms of damage is more or less identical.</w:t>
      </w:r>
      <w:r w:rsidR="0053669E" w:rsidRPr="00E14D8C">
        <w:rPr>
          <w:lang w:val="en-US"/>
        </w:rPr>
        <w:t xml:space="preserve"> </w:t>
      </w:r>
      <w:r w:rsidR="000C5022" w:rsidRPr="00E14D8C">
        <w:rPr>
          <w:lang w:val="en-US"/>
        </w:rPr>
        <w:t xml:space="preserve">Persons who have been grievously hurt by </w:t>
      </w:r>
      <w:r w:rsidR="00251847">
        <w:rPr>
          <w:lang w:val="en-US"/>
        </w:rPr>
        <w:t>self-driving</w:t>
      </w:r>
      <w:r w:rsidR="00251847" w:rsidRPr="00E14D8C">
        <w:rPr>
          <w:lang w:val="en-US"/>
        </w:rPr>
        <w:t xml:space="preserve"> </w:t>
      </w:r>
      <w:r w:rsidR="000C5022" w:rsidRPr="00E14D8C">
        <w:rPr>
          <w:lang w:val="en-US"/>
        </w:rPr>
        <w:t xml:space="preserve">cars are, thus, susceptible to being awarded compensation that is substantially less that than which is made available to victims who have </w:t>
      </w:r>
      <w:r w:rsidR="000C5022" w:rsidRPr="00E14D8C">
        <w:rPr>
          <w:lang w:val="en-US"/>
        </w:rPr>
        <w:lastRenderedPageBreak/>
        <w:t>been permanently disabled.</w:t>
      </w:r>
      <w:r w:rsidR="0053669E" w:rsidRPr="00E14D8C">
        <w:rPr>
          <w:lang w:val="en-US"/>
        </w:rPr>
        <w:t xml:space="preserve"> </w:t>
      </w:r>
      <w:r w:rsidR="000C5022" w:rsidRPr="00E14D8C">
        <w:rPr>
          <w:lang w:val="en-US"/>
        </w:rPr>
        <w:t xml:space="preserve">On the other hand, victims who have suffered such injuries in hit and run cases </w:t>
      </w:r>
      <w:r w:rsidRPr="00E14D8C">
        <w:rPr>
          <w:lang w:val="en-US"/>
        </w:rPr>
        <w:t xml:space="preserve">where the identity of the vehicle is unknown </w:t>
      </w:r>
      <w:r w:rsidR="000C5022" w:rsidRPr="00E14D8C">
        <w:rPr>
          <w:lang w:val="en-US"/>
        </w:rPr>
        <w:t xml:space="preserve">are </w:t>
      </w:r>
      <w:r w:rsidRPr="00E14D8C">
        <w:rPr>
          <w:lang w:val="en-US"/>
        </w:rPr>
        <w:t>entitled to damages of INR 50,000</w:t>
      </w:r>
      <w:r w:rsidRPr="00E14D8C">
        <w:rPr>
          <w:rStyle w:val="FootnoteReference"/>
          <w:lang w:val="en-US"/>
        </w:rPr>
        <w:footnoteReference w:id="172"/>
      </w:r>
      <w:r w:rsidRPr="00E14D8C">
        <w:rPr>
          <w:lang w:val="en-US"/>
        </w:rPr>
        <w:t xml:space="preserve"> </w:t>
      </w:r>
      <w:r w:rsidR="000C5022" w:rsidRPr="00E14D8C">
        <w:rPr>
          <w:lang w:val="en-US"/>
        </w:rPr>
        <w:t>that</w:t>
      </w:r>
      <w:r w:rsidRPr="00E14D8C">
        <w:rPr>
          <w:lang w:val="en-US"/>
        </w:rPr>
        <w:t xml:space="preserve"> will be borne by the General Insurance Industry under a </w:t>
      </w:r>
      <w:r w:rsidR="0041674D" w:rsidRPr="00E14D8C">
        <w:rPr>
          <w:lang w:val="en-US"/>
        </w:rPr>
        <w:t>‘</w:t>
      </w:r>
      <w:r w:rsidRPr="00E14D8C">
        <w:rPr>
          <w:lang w:val="en-US"/>
        </w:rPr>
        <w:t>Solatium Fund</w:t>
      </w:r>
      <w:r w:rsidR="0041674D" w:rsidRPr="00E14D8C">
        <w:rPr>
          <w:lang w:val="en-US"/>
        </w:rPr>
        <w:t>’</w:t>
      </w:r>
      <w:r w:rsidRPr="00E14D8C">
        <w:rPr>
          <w:lang w:val="en-US"/>
        </w:rPr>
        <w:t xml:space="preserve"> maintained for this purpose.</w:t>
      </w:r>
      <w:r w:rsidRPr="00E14D8C">
        <w:rPr>
          <w:rStyle w:val="FootnoteReference"/>
          <w:lang w:val="en-US"/>
        </w:rPr>
        <w:footnoteReference w:id="173"/>
      </w:r>
    </w:p>
    <w:p w14:paraId="508728B5" w14:textId="6C31808B" w:rsidR="00333489" w:rsidRPr="00E14D8C" w:rsidRDefault="00333489" w:rsidP="00B3522B">
      <w:pPr>
        <w:spacing w:line="360" w:lineRule="auto"/>
        <w:jc w:val="both"/>
      </w:pPr>
    </w:p>
    <w:p w14:paraId="421D37B4" w14:textId="08479D5D" w:rsidR="00333489" w:rsidRPr="00E14D8C" w:rsidRDefault="00986B65" w:rsidP="00B3522B">
      <w:pPr>
        <w:spacing w:line="360" w:lineRule="auto"/>
        <w:jc w:val="both"/>
        <w:rPr>
          <w:i/>
        </w:rPr>
      </w:pPr>
      <w:r>
        <w:rPr>
          <w:i/>
        </w:rPr>
        <w:t xml:space="preserve">e.  </w:t>
      </w:r>
      <w:r w:rsidR="00333489" w:rsidRPr="00E14D8C">
        <w:rPr>
          <w:i/>
        </w:rPr>
        <w:t xml:space="preserve">The Extent of the </w:t>
      </w:r>
      <w:r w:rsidR="0041674D" w:rsidRPr="00E14D8C">
        <w:rPr>
          <w:i/>
        </w:rPr>
        <w:t>Manufacturer’s</w:t>
      </w:r>
      <w:r w:rsidR="00333489" w:rsidRPr="00E14D8C">
        <w:rPr>
          <w:i/>
        </w:rPr>
        <w:t xml:space="preserve"> Liability</w:t>
      </w:r>
    </w:p>
    <w:p w14:paraId="57E2CDD1" w14:textId="51A7FE05" w:rsidR="00F1741B" w:rsidRPr="00E14D8C" w:rsidRDefault="00376BBB" w:rsidP="00F1741B">
      <w:pPr>
        <w:spacing w:line="360" w:lineRule="auto"/>
        <w:jc w:val="both"/>
      </w:pPr>
      <w:r w:rsidRPr="00E14D8C">
        <w:t xml:space="preserve"> </w:t>
      </w:r>
      <w:r w:rsidR="00FA42FB" w:rsidRPr="00E14D8C">
        <w:t xml:space="preserve">Unlike the principles of criminal law that impose a primary liability on producers for selling or delivering a motor vehicle when it is not constructed or maintained to be in the </w:t>
      </w:r>
      <w:r w:rsidR="0041674D" w:rsidRPr="00E14D8C">
        <w:t>‘</w:t>
      </w:r>
      <w:r w:rsidR="00FA42FB" w:rsidRPr="00E14D8C">
        <w:t>effective control of the use</w:t>
      </w:r>
      <w:r w:rsidR="0041674D" w:rsidRPr="00E14D8C">
        <w:t>’</w:t>
      </w:r>
      <w:r w:rsidR="00FA42FB" w:rsidRPr="00E14D8C">
        <w:t>,</w:t>
      </w:r>
      <w:r w:rsidR="00FA42FB" w:rsidRPr="00E14D8C">
        <w:rPr>
          <w:rStyle w:val="FootnoteReference"/>
        </w:rPr>
        <w:footnoteReference w:id="174"/>
      </w:r>
      <w:r w:rsidR="00FA42FB" w:rsidRPr="00E14D8C">
        <w:t xml:space="preserve"> a </w:t>
      </w:r>
      <w:r w:rsidR="0041674D" w:rsidRPr="00E14D8C">
        <w:t>manufacturer’s</w:t>
      </w:r>
      <w:r w:rsidR="00FA42FB" w:rsidRPr="00E14D8C">
        <w:t xml:space="preserve"> liability for such injuries under civil law is secondary.</w:t>
      </w:r>
      <w:r w:rsidR="0053669E" w:rsidRPr="00E14D8C">
        <w:t xml:space="preserve"> </w:t>
      </w:r>
      <w:r w:rsidR="00C8542C" w:rsidRPr="00E14D8C">
        <w:t>M</w:t>
      </w:r>
      <w:r w:rsidR="00F1741B" w:rsidRPr="00E14D8C">
        <w:t>anufacturers could</w:t>
      </w:r>
      <w:r w:rsidR="00C8542C" w:rsidRPr="00E14D8C">
        <w:t>, thus,</w:t>
      </w:r>
      <w:r w:rsidR="00FA42FB" w:rsidRPr="00E14D8C">
        <w:t xml:space="preserve"> </w:t>
      </w:r>
      <w:r w:rsidR="00F1741B" w:rsidRPr="00E14D8C">
        <w:t xml:space="preserve">be liable to indemnify the owner or the insurer, as the case may be, </w:t>
      </w:r>
      <w:r w:rsidR="0079649A" w:rsidRPr="00E14D8C">
        <w:t>for</w:t>
      </w:r>
      <w:r w:rsidR="00F1741B" w:rsidRPr="00E14D8C">
        <w:t xml:space="preserve"> product liability </w:t>
      </w:r>
      <w:r w:rsidR="00904068" w:rsidRPr="00E14D8C">
        <w:t>under the provisions of the Consumer Protection (Amendment) Act 2019 [CPAA].</w:t>
      </w:r>
      <w:r w:rsidR="00904068" w:rsidRPr="00E14D8C">
        <w:rPr>
          <w:rStyle w:val="FootnoteReference"/>
        </w:rPr>
        <w:footnoteReference w:id="175"/>
      </w:r>
      <w:r w:rsidR="00904068" w:rsidRPr="00E14D8C">
        <w:t xml:space="preserve"> Producers will, thus, be liable </w:t>
      </w:r>
      <w:r w:rsidR="00C8542C" w:rsidRPr="00E14D8C">
        <w:t xml:space="preserve">for any </w:t>
      </w:r>
      <w:r w:rsidR="00A23C48" w:rsidRPr="00E14D8C">
        <w:t>harm</w:t>
      </w:r>
      <w:r w:rsidR="00A23C48" w:rsidRPr="00E14D8C">
        <w:rPr>
          <w:rStyle w:val="FootnoteReference"/>
        </w:rPr>
        <w:footnoteReference w:id="176"/>
      </w:r>
      <w:r w:rsidR="00C8542C" w:rsidRPr="00E14D8C">
        <w:t xml:space="preserve"> that any person may have sustained </w:t>
      </w:r>
      <w:r w:rsidR="00A23C48" w:rsidRPr="00E14D8C">
        <w:t>due to</w:t>
      </w:r>
      <w:r w:rsidR="00C8542C" w:rsidRPr="00E14D8C">
        <w:t xml:space="preserve"> a</w:t>
      </w:r>
      <w:r w:rsidR="007449D7" w:rsidRPr="00E14D8C">
        <w:t>ny</w:t>
      </w:r>
      <w:r w:rsidR="00C8542C" w:rsidRPr="00E14D8C">
        <w:t xml:space="preserve"> </w:t>
      </w:r>
      <w:r w:rsidR="00A23C48" w:rsidRPr="00E14D8C">
        <w:t xml:space="preserve">manufacturing </w:t>
      </w:r>
      <w:r w:rsidR="00C8542C" w:rsidRPr="00E14D8C">
        <w:t>defect</w:t>
      </w:r>
      <w:r w:rsidR="00174AA4" w:rsidRPr="00E14D8C">
        <w:rPr>
          <w:rStyle w:val="FootnoteReference"/>
        </w:rPr>
        <w:footnoteReference w:id="177"/>
      </w:r>
      <w:r w:rsidR="00F1741B" w:rsidRPr="00E14D8C">
        <w:t xml:space="preserve"> </w:t>
      </w:r>
      <w:r w:rsidR="00E95C42" w:rsidRPr="00E14D8C">
        <w:t>in the self-driving car</w:t>
      </w:r>
      <w:r w:rsidR="00A23C48" w:rsidRPr="00E14D8C">
        <w:t xml:space="preserve"> or its </w:t>
      </w:r>
      <w:r w:rsidR="00F1741B" w:rsidRPr="00E14D8C">
        <w:t>design</w:t>
      </w:r>
      <w:r w:rsidR="000B3656" w:rsidRPr="00E14D8C">
        <w:t>,</w:t>
      </w:r>
      <w:r w:rsidR="00174AA4" w:rsidRPr="00E14D8C">
        <w:rPr>
          <w:rStyle w:val="FootnoteReference"/>
        </w:rPr>
        <w:footnoteReference w:id="178"/>
      </w:r>
      <w:r w:rsidR="00A23C48" w:rsidRPr="00E14D8C">
        <w:t xml:space="preserve"> but not for the damage that was caused to the vehicle itself.</w:t>
      </w:r>
      <w:r w:rsidR="00A23C48" w:rsidRPr="00E14D8C">
        <w:rPr>
          <w:rStyle w:val="FootnoteReference"/>
        </w:rPr>
        <w:footnoteReference w:id="179"/>
      </w:r>
      <w:r w:rsidR="00A23C48" w:rsidRPr="00E14D8C">
        <w:t xml:space="preserve"> </w:t>
      </w:r>
      <w:r w:rsidR="00E95C42" w:rsidRPr="00E14D8C">
        <w:t xml:space="preserve">The vehicle </w:t>
      </w:r>
      <w:r w:rsidR="000B3656" w:rsidRPr="00E14D8C">
        <w:t>will</w:t>
      </w:r>
      <w:r w:rsidR="00E95C42" w:rsidRPr="00E14D8C">
        <w:t xml:space="preserve"> be considered defective if </w:t>
      </w:r>
      <w:r w:rsidR="007449D7" w:rsidRPr="00E14D8C">
        <w:t>any raw material or component</w:t>
      </w:r>
      <w:r w:rsidR="000B3656" w:rsidRPr="00E14D8C">
        <w:t>,</w:t>
      </w:r>
      <w:r w:rsidR="007449D7" w:rsidRPr="00E14D8C">
        <w:t xml:space="preserve"> such as the software</w:t>
      </w:r>
      <w:r w:rsidR="000B3656" w:rsidRPr="00E14D8C">
        <w:t>,</w:t>
      </w:r>
      <w:r w:rsidR="007449D7" w:rsidRPr="00E14D8C">
        <w:rPr>
          <w:rStyle w:val="FootnoteReference"/>
        </w:rPr>
        <w:footnoteReference w:id="180"/>
      </w:r>
      <w:r w:rsidR="00E95C42" w:rsidRPr="00E14D8C">
        <w:t xml:space="preserve"> contains any fault or shortcoming in its quality or when it otherwise fails to meet the standards that it is required to maintain under any Indian law.</w:t>
      </w:r>
      <w:r w:rsidR="00E95C42" w:rsidRPr="00E14D8C">
        <w:rPr>
          <w:rStyle w:val="FootnoteReference"/>
        </w:rPr>
        <w:footnoteReference w:id="181"/>
      </w:r>
      <w:r w:rsidR="00E95C42" w:rsidRPr="00E14D8C">
        <w:t xml:space="preserve">  Whether the liability is restricted to defects that existed when the product was put into circulation remains unknown.</w:t>
      </w:r>
      <w:r w:rsidR="00E95C42" w:rsidRPr="00E14D8C">
        <w:rPr>
          <w:rStyle w:val="FootnoteReference"/>
        </w:rPr>
        <w:footnoteReference w:id="182"/>
      </w:r>
      <w:r w:rsidR="00E95C42" w:rsidRPr="00E14D8C">
        <w:t xml:space="preserve"> Therefore, it is likely that manufacturers could potentially be held liable for all defects in the vehicle or its design throughout the </w:t>
      </w:r>
      <w:r w:rsidR="0041674D" w:rsidRPr="00E14D8C">
        <w:t>product’s</w:t>
      </w:r>
      <w:r w:rsidR="000B3656" w:rsidRPr="00E14D8C">
        <w:t xml:space="preserve"> life</w:t>
      </w:r>
      <w:r w:rsidR="00E95C42" w:rsidRPr="00E14D8C">
        <w:t>.</w:t>
      </w:r>
      <w:r w:rsidR="0053669E" w:rsidRPr="00E14D8C">
        <w:t xml:space="preserve"> </w:t>
      </w:r>
      <w:r w:rsidR="00E95C42" w:rsidRPr="00E14D8C">
        <w:rPr>
          <w:lang w:val="en-US"/>
        </w:rPr>
        <w:t>Any person</w:t>
      </w:r>
      <w:r w:rsidR="00E95C42" w:rsidRPr="00E14D8C">
        <w:rPr>
          <w:lang w:val="en-US"/>
        </w:rPr>
        <w:t xml:space="preserve">, </w:t>
      </w:r>
      <w:r w:rsidR="00E95C42" w:rsidRPr="00E14D8C">
        <w:rPr>
          <w:lang w:val="en-US"/>
        </w:rPr>
        <w:t>including the seller</w:t>
      </w:r>
      <w:r w:rsidR="00E95C42" w:rsidRPr="00E14D8C">
        <w:rPr>
          <w:lang w:val="en-US"/>
        </w:rPr>
        <w:t xml:space="preserve">, </w:t>
      </w:r>
      <w:r w:rsidR="00E95C42" w:rsidRPr="00E14D8C">
        <w:rPr>
          <w:lang w:val="en-US"/>
        </w:rPr>
        <w:t xml:space="preserve">who was responsible for the making, assembling, designing, labelling, packaging, marketing, repairing or remanufacturing of the product before its sale would be </w:t>
      </w:r>
      <w:r w:rsidR="00E95C42" w:rsidRPr="00E14D8C">
        <w:rPr>
          <w:lang w:val="en-US"/>
        </w:rPr>
        <w:lastRenderedPageBreak/>
        <w:t>considered the manufacturer of the vehicle</w:t>
      </w:r>
      <w:r w:rsidR="00E95C42" w:rsidRPr="00E14D8C">
        <w:rPr>
          <w:rStyle w:val="FootnoteReference"/>
          <w:lang w:val="en-US"/>
        </w:rPr>
        <w:footnoteReference w:id="183"/>
      </w:r>
      <w:r w:rsidR="00E95C42" w:rsidRPr="00E14D8C">
        <w:rPr>
          <w:lang w:val="en-US"/>
        </w:rPr>
        <w:t xml:space="preserve"> and could, consequently, be held liable for such harm.</w:t>
      </w:r>
      <w:r w:rsidR="0053669E" w:rsidRPr="00E14D8C">
        <w:rPr>
          <w:lang w:val="en-US"/>
        </w:rPr>
        <w:t xml:space="preserve"> </w:t>
      </w:r>
      <w:r w:rsidR="003718EC">
        <w:rPr>
          <w:lang w:val="en-US"/>
        </w:rPr>
        <w:t>It is unclear w</w:t>
      </w:r>
      <w:r w:rsidR="00E95C42" w:rsidRPr="00E14D8C">
        <w:rPr>
          <w:lang w:val="en-US"/>
        </w:rPr>
        <w:t xml:space="preserve">hether the liability of the various persons who may be </w:t>
      </w:r>
      <w:r w:rsidR="000B3656" w:rsidRPr="00E14D8C">
        <w:rPr>
          <w:lang w:val="en-US"/>
        </w:rPr>
        <w:t>regarded as</w:t>
      </w:r>
      <w:r w:rsidR="00E95C42" w:rsidRPr="00E14D8C">
        <w:rPr>
          <w:lang w:val="en-US"/>
        </w:rPr>
        <w:t xml:space="preserve"> </w:t>
      </w:r>
      <w:r w:rsidR="0041674D" w:rsidRPr="00E14D8C">
        <w:rPr>
          <w:lang w:val="en-US"/>
        </w:rPr>
        <w:t>‘</w:t>
      </w:r>
      <w:r w:rsidR="00E95C42" w:rsidRPr="00E14D8C">
        <w:rPr>
          <w:lang w:val="en-US"/>
        </w:rPr>
        <w:t>manufacturers</w:t>
      </w:r>
      <w:r w:rsidR="0041674D" w:rsidRPr="00E14D8C">
        <w:rPr>
          <w:lang w:val="en-US"/>
        </w:rPr>
        <w:t>’</w:t>
      </w:r>
      <w:r w:rsidR="00E95C42" w:rsidRPr="00E14D8C">
        <w:rPr>
          <w:lang w:val="en-US"/>
        </w:rPr>
        <w:t xml:space="preserve"> is joined and several </w:t>
      </w:r>
      <w:r w:rsidR="003718EC">
        <w:rPr>
          <w:lang w:val="en-US"/>
        </w:rPr>
        <w:t>in</w:t>
      </w:r>
      <w:r w:rsidR="00E95C42" w:rsidRPr="00E14D8C">
        <w:rPr>
          <w:lang w:val="en-US"/>
        </w:rPr>
        <w:t xml:space="preserve"> the absence of an express indication to this effect.</w:t>
      </w:r>
      <w:r w:rsidR="00E95C42" w:rsidRPr="00E14D8C">
        <w:rPr>
          <w:rStyle w:val="FootnoteReference"/>
          <w:lang w:val="en-US"/>
        </w:rPr>
        <w:footnoteReference w:id="184"/>
      </w:r>
      <w:r w:rsidR="00E95C42" w:rsidRPr="00E14D8C">
        <w:rPr>
          <w:lang w:val="en-US"/>
        </w:rPr>
        <w:t xml:space="preserve"> </w:t>
      </w:r>
      <w:r w:rsidR="00C8542C" w:rsidRPr="00E14D8C">
        <w:rPr>
          <w:lang w:val="en-US"/>
        </w:rPr>
        <w:t xml:space="preserve">At other times, manufacturers may similarly be liable for </w:t>
      </w:r>
      <w:r w:rsidR="00E95C42" w:rsidRPr="00E14D8C">
        <w:rPr>
          <w:lang w:val="en-US"/>
        </w:rPr>
        <w:t>any harm caused to any person</w:t>
      </w:r>
      <w:r w:rsidR="00C8542C" w:rsidRPr="00E14D8C">
        <w:rPr>
          <w:lang w:val="en-US"/>
        </w:rPr>
        <w:t xml:space="preserve"> </w:t>
      </w:r>
      <w:r w:rsidR="00E95C42" w:rsidRPr="00E14D8C">
        <w:rPr>
          <w:lang w:val="en-US"/>
        </w:rPr>
        <w:t>through the</w:t>
      </w:r>
      <w:r w:rsidR="00C8542C" w:rsidRPr="00E14D8C">
        <w:rPr>
          <w:lang w:val="en-US"/>
        </w:rPr>
        <w:t xml:space="preserve"> improper or incorrect usage of the vehicle </w:t>
      </w:r>
      <w:r w:rsidR="00C8542C" w:rsidRPr="00E14D8C">
        <w:rPr>
          <w:lang w:val="en-US"/>
        </w:rPr>
        <w:t>due</w:t>
      </w:r>
      <w:r w:rsidR="000B3656" w:rsidRPr="00E14D8C">
        <w:rPr>
          <w:lang w:val="en-US"/>
        </w:rPr>
        <w:t xml:space="preserve"> to</w:t>
      </w:r>
      <w:r w:rsidR="00C8542C" w:rsidRPr="00E14D8C">
        <w:rPr>
          <w:lang w:val="en-US"/>
        </w:rPr>
        <w:t xml:space="preserve"> </w:t>
      </w:r>
      <w:r w:rsidR="00E95C42" w:rsidRPr="00E14D8C">
        <w:rPr>
          <w:lang w:val="en-US"/>
        </w:rPr>
        <w:t>a failure on their part</w:t>
      </w:r>
      <w:r w:rsidR="00C8542C" w:rsidRPr="00E14D8C">
        <w:rPr>
          <w:lang w:val="en-US"/>
        </w:rPr>
        <w:t xml:space="preserve"> </w:t>
      </w:r>
      <w:r w:rsidR="000B3656" w:rsidRPr="00E14D8C">
        <w:rPr>
          <w:lang w:val="en-US"/>
        </w:rPr>
        <w:t xml:space="preserve">to </w:t>
      </w:r>
      <w:r w:rsidR="00C8542C" w:rsidRPr="00E14D8C">
        <w:rPr>
          <w:lang w:val="en-US"/>
        </w:rPr>
        <w:t>provide adequate instructions concerning its use or operation</w:t>
      </w:r>
      <w:r w:rsidR="00C8542C" w:rsidRPr="00E14D8C">
        <w:rPr>
          <w:lang w:val="en-US"/>
        </w:rPr>
        <w:t>.</w:t>
      </w:r>
      <w:r w:rsidR="00C8542C" w:rsidRPr="00E14D8C">
        <w:rPr>
          <w:rStyle w:val="FootnoteReference"/>
          <w:lang w:val="en-US"/>
        </w:rPr>
        <w:footnoteReference w:id="185"/>
      </w:r>
      <w:r w:rsidR="00C8542C" w:rsidRPr="00E14D8C">
        <w:rPr>
          <w:lang w:val="en-US"/>
        </w:rPr>
        <w:t xml:space="preserve"> </w:t>
      </w:r>
      <w:r w:rsidR="00E95C42" w:rsidRPr="00E14D8C">
        <w:rPr>
          <w:lang w:val="en-US"/>
        </w:rPr>
        <w:t xml:space="preserve">When the producer cannot be identified or served with </w:t>
      </w:r>
      <w:r w:rsidR="000B3656" w:rsidRPr="00E14D8C">
        <w:rPr>
          <w:lang w:val="en-US"/>
        </w:rPr>
        <w:t xml:space="preserve">the </w:t>
      </w:r>
      <w:r w:rsidR="00E95C42" w:rsidRPr="00E14D8C">
        <w:rPr>
          <w:lang w:val="en-US"/>
        </w:rPr>
        <w:t xml:space="preserve">summons, each seller of such vehicle could be treated as a manufacturer and be liable for </w:t>
      </w:r>
      <w:r w:rsidR="000B3656" w:rsidRPr="00E14D8C">
        <w:rPr>
          <w:lang w:val="en-US"/>
        </w:rPr>
        <w:t>indemnifying</w:t>
      </w:r>
      <w:r w:rsidR="00E95C42" w:rsidRPr="00E14D8C">
        <w:rPr>
          <w:lang w:val="en-US"/>
        </w:rPr>
        <w:t xml:space="preserve"> the owner for </w:t>
      </w:r>
      <w:r w:rsidR="000B3656" w:rsidRPr="00E14D8C">
        <w:rPr>
          <w:lang w:val="en-US"/>
        </w:rPr>
        <w:t>such product liability</w:t>
      </w:r>
      <w:r w:rsidR="00F1741B" w:rsidRPr="00E14D8C">
        <w:rPr>
          <w:lang w:val="en-US"/>
        </w:rPr>
        <w:t>.</w:t>
      </w:r>
      <w:r w:rsidR="00F1741B" w:rsidRPr="00E14D8C">
        <w:rPr>
          <w:rStyle w:val="FootnoteReference"/>
          <w:lang w:val="en-US"/>
        </w:rPr>
        <w:footnoteReference w:id="186"/>
      </w:r>
    </w:p>
    <w:p w14:paraId="25D2212C" w14:textId="287C1C71" w:rsidR="00D532AA" w:rsidRPr="00E14D8C" w:rsidRDefault="003E69E8" w:rsidP="00061D25">
      <w:pPr>
        <w:spacing w:line="360" w:lineRule="auto"/>
        <w:jc w:val="both"/>
        <w:rPr>
          <w:lang w:val="en-US"/>
        </w:rPr>
      </w:pPr>
      <w:r w:rsidRPr="00E14D8C">
        <w:rPr>
          <w:lang w:val="en-US"/>
        </w:rPr>
        <w:t xml:space="preserve">   </w:t>
      </w:r>
      <w:r w:rsidR="00427C23" w:rsidRPr="00E14D8C">
        <w:rPr>
          <w:lang w:val="en-US"/>
        </w:rPr>
        <w:t xml:space="preserve">      </w:t>
      </w:r>
    </w:p>
    <w:p w14:paraId="051F8984" w14:textId="4C2FC13B" w:rsidR="00B66755" w:rsidRDefault="00F02271" w:rsidP="00061D25">
      <w:pPr>
        <w:spacing w:line="360" w:lineRule="auto"/>
        <w:jc w:val="both"/>
        <w:rPr>
          <w:b/>
          <w:lang w:val="en-US"/>
        </w:rPr>
      </w:pPr>
      <w:r w:rsidRPr="00E14D8C">
        <w:rPr>
          <w:b/>
          <w:lang w:val="en-US"/>
        </w:rPr>
        <w:t xml:space="preserve">3.4.2.2. </w:t>
      </w:r>
      <w:r w:rsidR="00E14D8C" w:rsidRPr="00E14D8C">
        <w:rPr>
          <w:b/>
          <w:lang w:val="en-US"/>
        </w:rPr>
        <w:t xml:space="preserve">  </w:t>
      </w:r>
      <w:r w:rsidR="00E0409F" w:rsidRPr="00E14D8C">
        <w:rPr>
          <w:b/>
          <w:lang w:val="en-US"/>
        </w:rPr>
        <w:t>Other</w:t>
      </w:r>
      <w:r w:rsidR="00CE3C53" w:rsidRPr="00E14D8C">
        <w:rPr>
          <w:b/>
          <w:lang w:val="en-US"/>
        </w:rPr>
        <w:t xml:space="preserve"> Bodily Injuries or Damage to Property and the Conditional Liability of the </w:t>
      </w:r>
      <w:r w:rsidR="0041674D" w:rsidRPr="00E14D8C">
        <w:rPr>
          <w:b/>
          <w:lang w:val="en-US"/>
        </w:rPr>
        <w:t>‘</w:t>
      </w:r>
      <w:r w:rsidR="00CE3C53" w:rsidRPr="00E14D8C">
        <w:rPr>
          <w:b/>
          <w:lang w:val="en-US"/>
        </w:rPr>
        <w:t>Non-Natural User</w:t>
      </w:r>
      <w:r w:rsidR="0041674D" w:rsidRPr="00E14D8C">
        <w:rPr>
          <w:b/>
          <w:lang w:val="en-US"/>
        </w:rPr>
        <w:t>’</w:t>
      </w:r>
      <w:r w:rsidR="00CE3C53" w:rsidRPr="00E14D8C">
        <w:rPr>
          <w:b/>
          <w:lang w:val="en-US"/>
        </w:rPr>
        <w:t xml:space="preserve"> </w:t>
      </w:r>
    </w:p>
    <w:p w14:paraId="5F14DC95" w14:textId="77777777" w:rsidR="00986B65" w:rsidRDefault="00986B65" w:rsidP="00061D25">
      <w:pPr>
        <w:spacing w:line="360" w:lineRule="auto"/>
        <w:jc w:val="both"/>
        <w:rPr>
          <w:b/>
          <w:lang w:val="en-US"/>
        </w:rPr>
      </w:pPr>
    </w:p>
    <w:p w14:paraId="6A7553DF" w14:textId="13958CB0" w:rsidR="00986B65" w:rsidRPr="00986B65" w:rsidRDefault="00986B65" w:rsidP="00061D25">
      <w:pPr>
        <w:spacing w:line="360" w:lineRule="auto"/>
        <w:jc w:val="both"/>
        <w:rPr>
          <w:i/>
          <w:lang w:val="en-US"/>
        </w:rPr>
      </w:pPr>
      <w:r w:rsidRPr="00986B65">
        <w:rPr>
          <w:i/>
          <w:lang w:val="en-US"/>
        </w:rPr>
        <w:t xml:space="preserve">a. </w:t>
      </w:r>
      <w:r w:rsidRPr="00E14D8C">
        <w:rPr>
          <w:i/>
          <w:lang w:val="en-US"/>
        </w:rPr>
        <w:t xml:space="preserve">The Extent of the </w:t>
      </w:r>
      <w:r w:rsidR="00AC5525">
        <w:rPr>
          <w:i/>
          <w:lang w:val="en-US"/>
        </w:rPr>
        <w:t>‘Keeper’s’</w:t>
      </w:r>
      <w:r w:rsidRPr="00E14D8C">
        <w:rPr>
          <w:i/>
          <w:lang w:val="en-US"/>
        </w:rPr>
        <w:t xml:space="preserve"> Liability</w:t>
      </w:r>
      <w:r w:rsidRPr="00986B65">
        <w:rPr>
          <w:i/>
          <w:lang w:val="en-US"/>
        </w:rPr>
        <w:t xml:space="preserve"> </w:t>
      </w:r>
    </w:p>
    <w:p w14:paraId="0E7CE58F" w14:textId="1A2815FA" w:rsidR="000C5022" w:rsidRPr="00E14D8C" w:rsidRDefault="004D5FA0" w:rsidP="00D83878">
      <w:pPr>
        <w:spacing w:line="360" w:lineRule="auto"/>
        <w:jc w:val="both"/>
        <w:rPr>
          <w:lang w:val="en-US"/>
        </w:rPr>
      </w:pPr>
      <w:r w:rsidRPr="00E14D8C">
        <w:rPr>
          <w:lang w:val="en-US"/>
        </w:rPr>
        <w:t xml:space="preserve">The application of Sections 140 and 163A is limited to </w:t>
      </w:r>
      <w:r w:rsidR="00662D14" w:rsidRPr="00E14D8C">
        <w:rPr>
          <w:lang w:val="en-US"/>
        </w:rPr>
        <w:t>accidents</w:t>
      </w:r>
      <w:r w:rsidRPr="00E14D8C">
        <w:rPr>
          <w:lang w:val="en-US"/>
        </w:rPr>
        <w:t xml:space="preserve"> </w:t>
      </w:r>
      <w:r w:rsidR="00662D14" w:rsidRPr="00E14D8C">
        <w:rPr>
          <w:lang w:val="en-US"/>
        </w:rPr>
        <w:t>resulting in the</w:t>
      </w:r>
      <w:r w:rsidRPr="00E14D8C">
        <w:rPr>
          <w:lang w:val="en-US"/>
        </w:rPr>
        <w:t xml:space="preserve"> death or permanent disablement </w:t>
      </w:r>
      <w:r w:rsidR="00662D14" w:rsidRPr="00E14D8C">
        <w:rPr>
          <w:lang w:val="en-US"/>
        </w:rPr>
        <w:t>(and, perhaps, those that grievously hurt)</w:t>
      </w:r>
      <w:r w:rsidR="00662D14" w:rsidRPr="00E14D8C">
        <w:rPr>
          <w:rStyle w:val="FootnoteReference"/>
          <w:lang w:val="en-US"/>
        </w:rPr>
        <w:footnoteReference w:id="187"/>
      </w:r>
      <w:r w:rsidRPr="00E14D8C">
        <w:rPr>
          <w:lang w:val="en-US"/>
        </w:rPr>
        <w:t xml:space="preserve"> any person</w:t>
      </w:r>
      <w:r w:rsidR="00333489" w:rsidRPr="00E14D8C">
        <w:rPr>
          <w:lang w:val="en-US"/>
        </w:rPr>
        <w:t>.</w:t>
      </w:r>
      <w:r w:rsidR="0053669E" w:rsidRPr="00E14D8C">
        <w:rPr>
          <w:lang w:val="en-US"/>
        </w:rPr>
        <w:t xml:space="preserve"> </w:t>
      </w:r>
      <w:r w:rsidR="00333489" w:rsidRPr="00E14D8C">
        <w:rPr>
          <w:lang w:val="en-US"/>
        </w:rPr>
        <w:t>Thus,</w:t>
      </w:r>
      <w:r w:rsidRPr="00E14D8C">
        <w:rPr>
          <w:lang w:val="en-US"/>
        </w:rPr>
        <w:t xml:space="preserve"> the mechanism stipulated therein would not be applicable while determining the civil liability for damages of any other nature.</w:t>
      </w:r>
      <w:r w:rsidR="0053669E" w:rsidRPr="00E14D8C">
        <w:rPr>
          <w:lang w:val="en-US"/>
        </w:rPr>
        <w:t xml:space="preserve"> </w:t>
      </w:r>
      <w:r w:rsidRPr="00E14D8C">
        <w:rPr>
          <w:lang w:val="en-US"/>
        </w:rPr>
        <w:t>In such circumstances, the</w:t>
      </w:r>
      <w:r w:rsidR="009D09A0" w:rsidRPr="00E14D8C">
        <w:rPr>
          <w:lang w:val="en-US"/>
        </w:rPr>
        <w:t xml:space="preserve"> </w:t>
      </w:r>
      <w:r w:rsidR="00D47F9E" w:rsidRPr="00E14D8C">
        <w:rPr>
          <w:lang w:val="en-US"/>
        </w:rPr>
        <w:t xml:space="preserve">liability for all other </w:t>
      </w:r>
      <w:r w:rsidR="00E0409F" w:rsidRPr="00E14D8C">
        <w:rPr>
          <w:lang w:val="en-US"/>
        </w:rPr>
        <w:t xml:space="preserve">forms of bodily </w:t>
      </w:r>
      <w:r w:rsidR="00D47F9E" w:rsidRPr="00E14D8C">
        <w:rPr>
          <w:lang w:val="en-US"/>
        </w:rPr>
        <w:t xml:space="preserve">injuries </w:t>
      </w:r>
      <w:r w:rsidR="00662D14" w:rsidRPr="00E14D8C">
        <w:rPr>
          <w:lang w:val="en-US"/>
        </w:rPr>
        <w:t>that do not result in</w:t>
      </w:r>
      <w:r w:rsidR="00D47F9E" w:rsidRPr="00E14D8C">
        <w:rPr>
          <w:lang w:val="en-US"/>
        </w:rPr>
        <w:t xml:space="preserve"> death or permanent disablement from the use of motor vehicles </w:t>
      </w:r>
      <w:r w:rsidR="0041674D" w:rsidRPr="00E14D8C">
        <w:rPr>
          <w:lang w:val="en-US"/>
        </w:rPr>
        <w:t>is</w:t>
      </w:r>
      <w:r w:rsidR="00B66755" w:rsidRPr="00E14D8C">
        <w:rPr>
          <w:lang w:val="en-US"/>
        </w:rPr>
        <w:t xml:space="preserve"> </w:t>
      </w:r>
      <w:r w:rsidR="00E0409F" w:rsidRPr="00E14D8C">
        <w:rPr>
          <w:lang w:val="en-US"/>
        </w:rPr>
        <w:t>determined according to</w:t>
      </w:r>
      <w:r w:rsidR="00B66755" w:rsidRPr="00E14D8C">
        <w:rPr>
          <w:lang w:val="en-US"/>
        </w:rPr>
        <w:t xml:space="preserve"> the </w:t>
      </w:r>
      <w:r w:rsidR="008D2104" w:rsidRPr="00E14D8C">
        <w:rPr>
          <w:lang w:val="en-US"/>
        </w:rPr>
        <w:t xml:space="preserve">general </w:t>
      </w:r>
      <w:r w:rsidR="00B66755" w:rsidRPr="00E14D8C">
        <w:rPr>
          <w:lang w:val="en-US"/>
        </w:rPr>
        <w:t xml:space="preserve">principles of </w:t>
      </w:r>
      <w:r w:rsidR="008D2104" w:rsidRPr="00E14D8C">
        <w:rPr>
          <w:lang w:val="en-US"/>
        </w:rPr>
        <w:t>the law of tort in India</w:t>
      </w:r>
      <w:r w:rsidR="0048256A" w:rsidRPr="00E14D8C">
        <w:rPr>
          <w:lang w:val="en-US"/>
        </w:rPr>
        <w:t>.</w:t>
      </w:r>
      <w:r w:rsidR="00153059" w:rsidRPr="00E14D8C">
        <w:rPr>
          <w:rStyle w:val="FootnoteReference"/>
          <w:lang w:val="en-US"/>
        </w:rPr>
        <w:footnoteReference w:id="188"/>
      </w:r>
      <w:r w:rsidR="0048256A" w:rsidRPr="00E14D8C">
        <w:rPr>
          <w:lang w:val="en-US"/>
        </w:rPr>
        <w:t xml:space="preserve"> </w:t>
      </w:r>
      <w:r w:rsidR="00CD198E" w:rsidRPr="00E14D8C">
        <w:rPr>
          <w:lang w:val="en-US"/>
        </w:rPr>
        <w:t>The principles are equally applicable to determine the civil liability for damage caused to the property of any person from the use of the motor vehicle.</w:t>
      </w:r>
      <w:r w:rsidR="00A277C4" w:rsidRPr="00E14D8C">
        <w:rPr>
          <w:rStyle w:val="FootnoteReference"/>
          <w:lang w:val="en-US"/>
        </w:rPr>
        <w:footnoteReference w:id="189"/>
      </w:r>
      <w:r w:rsidR="00CD198E" w:rsidRPr="00E14D8C">
        <w:rPr>
          <w:lang w:val="en-US"/>
        </w:rPr>
        <w:t xml:space="preserve"> </w:t>
      </w:r>
      <w:r w:rsidR="00882342" w:rsidRPr="00E14D8C">
        <w:rPr>
          <w:lang w:val="en-US"/>
        </w:rPr>
        <w:t xml:space="preserve">Predicated on English common law, </w:t>
      </w:r>
      <w:r w:rsidR="0048256A" w:rsidRPr="00E14D8C">
        <w:rPr>
          <w:lang w:val="en-US"/>
        </w:rPr>
        <w:t xml:space="preserve">the mechanism to determine the (extent of) liability in accidents causing </w:t>
      </w:r>
      <w:r w:rsidR="00882342" w:rsidRPr="00E14D8C">
        <w:rPr>
          <w:lang w:val="en-US"/>
        </w:rPr>
        <w:t>such (relatively) minor injuries</w:t>
      </w:r>
      <w:r w:rsidR="0048256A" w:rsidRPr="00E14D8C">
        <w:rPr>
          <w:lang w:val="en-US"/>
        </w:rPr>
        <w:t xml:space="preserve"> </w:t>
      </w:r>
      <w:r w:rsidR="009D09A0" w:rsidRPr="00E14D8C">
        <w:rPr>
          <w:lang w:val="en-US"/>
        </w:rPr>
        <w:t xml:space="preserve">or damage </w:t>
      </w:r>
      <w:r w:rsidR="0048256A" w:rsidRPr="00E14D8C">
        <w:rPr>
          <w:lang w:val="en-US"/>
        </w:rPr>
        <w:t>is</w:t>
      </w:r>
      <w:r w:rsidR="00333489" w:rsidRPr="00E14D8C">
        <w:rPr>
          <w:lang w:val="en-US"/>
        </w:rPr>
        <w:t xml:space="preserve"> </w:t>
      </w:r>
      <w:r w:rsidR="0048256A" w:rsidRPr="00E14D8C">
        <w:rPr>
          <w:lang w:val="en-US"/>
        </w:rPr>
        <w:t>uncodified.</w:t>
      </w:r>
      <w:r w:rsidR="0053669E" w:rsidRPr="00E14D8C">
        <w:rPr>
          <w:lang w:val="en-US"/>
        </w:rPr>
        <w:t xml:space="preserve"> </w:t>
      </w:r>
      <w:r w:rsidR="00A648C1" w:rsidRPr="00E14D8C">
        <w:rPr>
          <w:lang w:val="en-US"/>
        </w:rPr>
        <w:t>However, the decision of the Supreme Court in</w:t>
      </w:r>
      <w:r w:rsidR="00A648C1" w:rsidRPr="00E14D8C">
        <w:rPr>
          <w:i/>
        </w:rPr>
        <w:t xml:space="preserve"> </w:t>
      </w:r>
      <w:proofErr w:type="spellStart"/>
      <w:r w:rsidR="00A648C1" w:rsidRPr="00E14D8C">
        <w:rPr>
          <w:i/>
        </w:rPr>
        <w:t>Kaushnuma</w:t>
      </w:r>
      <w:proofErr w:type="spellEnd"/>
      <w:r w:rsidR="00A648C1" w:rsidRPr="00E14D8C">
        <w:rPr>
          <w:i/>
        </w:rPr>
        <w:t xml:space="preserve"> Begum and </w:t>
      </w:r>
      <w:proofErr w:type="spellStart"/>
      <w:r w:rsidR="00A648C1" w:rsidRPr="00E14D8C">
        <w:rPr>
          <w:i/>
        </w:rPr>
        <w:t>Ors</w:t>
      </w:r>
      <w:proofErr w:type="spellEnd"/>
      <w:r w:rsidR="00A648C1" w:rsidRPr="00E14D8C">
        <w:rPr>
          <w:i/>
        </w:rPr>
        <w:t xml:space="preserve"> v The New India Assurance Co. Ltd</w:t>
      </w:r>
      <w:r w:rsidR="00A648C1" w:rsidRPr="00E14D8C">
        <w:rPr>
          <w:rStyle w:val="FootnoteReference"/>
        </w:rPr>
        <w:footnoteReference w:id="190"/>
      </w:r>
      <w:r w:rsidR="00C17C2B" w:rsidRPr="00E14D8C">
        <w:rPr>
          <w:i/>
        </w:rPr>
        <w:t xml:space="preserve"> </w:t>
      </w:r>
      <w:r w:rsidR="00A648C1" w:rsidRPr="00E14D8C">
        <w:t xml:space="preserve">confirms the </w:t>
      </w:r>
      <w:r w:rsidR="008145AD" w:rsidRPr="00E14D8C">
        <w:t>extension</w:t>
      </w:r>
      <w:r w:rsidR="00A648C1" w:rsidRPr="00E14D8C">
        <w:t xml:space="preserve"> of</w:t>
      </w:r>
      <w:r w:rsidR="00A648C1" w:rsidRPr="00E14D8C">
        <w:rPr>
          <w:lang w:val="en-US"/>
        </w:rPr>
        <w:t xml:space="preserve"> the principle of strict liability </w:t>
      </w:r>
      <w:r w:rsidR="00E1507F" w:rsidRPr="00E14D8C">
        <w:rPr>
          <w:lang w:val="en-US"/>
        </w:rPr>
        <w:t xml:space="preserve">as </w:t>
      </w:r>
      <w:r w:rsidRPr="00E14D8C">
        <w:rPr>
          <w:lang w:val="en-US"/>
        </w:rPr>
        <w:t>propounded</w:t>
      </w:r>
      <w:r w:rsidR="00E1507F" w:rsidRPr="00E14D8C">
        <w:rPr>
          <w:lang w:val="en-US"/>
        </w:rPr>
        <w:t xml:space="preserve"> by the English courts in </w:t>
      </w:r>
      <w:r w:rsidR="00E1507F" w:rsidRPr="00E14D8C">
        <w:rPr>
          <w:i/>
          <w:lang w:val="en-US"/>
        </w:rPr>
        <w:t>Rylands v Fletcher</w:t>
      </w:r>
      <w:r w:rsidR="008145AD" w:rsidRPr="00E14D8C">
        <w:rPr>
          <w:i/>
          <w:lang w:val="en-US"/>
        </w:rPr>
        <w:t>,</w:t>
      </w:r>
      <w:r w:rsidR="00E1507F" w:rsidRPr="00E14D8C">
        <w:rPr>
          <w:rStyle w:val="FootnoteReference"/>
          <w:lang w:val="en-US"/>
        </w:rPr>
        <w:footnoteReference w:id="191"/>
      </w:r>
      <w:r w:rsidR="00E1507F" w:rsidRPr="00E14D8C">
        <w:rPr>
          <w:lang w:val="en-US"/>
        </w:rPr>
        <w:t xml:space="preserve"> </w:t>
      </w:r>
      <w:r w:rsidR="00CE3C53" w:rsidRPr="00E14D8C">
        <w:rPr>
          <w:lang w:val="en-US"/>
        </w:rPr>
        <w:t xml:space="preserve">whose application is confined to injuries occurring from the </w:t>
      </w:r>
      <w:r w:rsidR="0041674D" w:rsidRPr="00E14D8C">
        <w:rPr>
          <w:lang w:val="en-US"/>
        </w:rPr>
        <w:t>‘</w:t>
      </w:r>
      <w:r w:rsidR="00CE3C53" w:rsidRPr="00E14D8C">
        <w:rPr>
          <w:lang w:val="en-US"/>
        </w:rPr>
        <w:t>non-natural use of land</w:t>
      </w:r>
      <w:r w:rsidR="0041674D" w:rsidRPr="00E14D8C">
        <w:rPr>
          <w:lang w:val="en-US"/>
        </w:rPr>
        <w:t>’</w:t>
      </w:r>
      <w:r w:rsidR="008145AD" w:rsidRPr="00E14D8C">
        <w:rPr>
          <w:lang w:val="en-US"/>
        </w:rPr>
        <w:t xml:space="preserve">, to motor </w:t>
      </w:r>
      <w:r w:rsidR="008145AD" w:rsidRPr="00E14D8C">
        <w:rPr>
          <w:lang w:val="en-US"/>
        </w:rPr>
        <w:lastRenderedPageBreak/>
        <w:t>vehicles</w:t>
      </w:r>
      <w:r w:rsidR="00CE3C53" w:rsidRPr="00E14D8C">
        <w:rPr>
          <w:lang w:val="en-US"/>
        </w:rPr>
        <w:t xml:space="preserve"> </w:t>
      </w:r>
      <w:r w:rsidR="008145AD" w:rsidRPr="00E14D8C">
        <w:rPr>
          <w:lang w:val="en-US"/>
        </w:rPr>
        <w:t>on the ground that</w:t>
      </w:r>
      <w:r w:rsidR="00CE3C53" w:rsidRPr="00E14D8C">
        <w:rPr>
          <w:lang w:val="en-US"/>
        </w:rPr>
        <w:t xml:space="preserve"> </w:t>
      </w:r>
      <w:r w:rsidR="008145AD" w:rsidRPr="00E14D8C">
        <w:rPr>
          <w:lang w:val="en-US"/>
        </w:rPr>
        <w:t>their use</w:t>
      </w:r>
      <w:r w:rsidR="00CE3C53" w:rsidRPr="00E14D8C">
        <w:rPr>
          <w:lang w:val="en-US"/>
        </w:rPr>
        <w:t xml:space="preserve"> is </w:t>
      </w:r>
      <w:r w:rsidR="008145AD" w:rsidRPr="00E14D8C">
        <w:rPr>
          <w:lang w:val="en-US"/>
        </w:rPr>
        <w:t>construed</w:t>
      </w:r>
      <w:r w:rsidR="00CE3C53" w:rsidRPr="00E14D8C">
        <w:rPr>
          <w:lang w:val="en-US"/>
        </w:rPr>
        <w:t xml:space="preserve"> to be of a similar nature in India.</w:t>
      </w:r>
      <w:r w:rsidR="0053669E" w:rsidRPr="00E14D8C">
        <w:rPr>
          <w:lang w:val="en-US"/>
        </w:rPr>
        <w:t xml:space="preserve"> </w:t>
      </w:r>
      <w:r w:rsidR="00564A5C" w:rsidRPr="00E14D8C">
        <w:rPr>
          <w:lang w:val="en-US"/>
        </w:rPr>
        <w:t xml:space="preserve">Accordingly, </w:t>
      </w:r>
      <w:r w:rsidR="00564A5C" w:rsidRPr="00E14D8C">
        <w:rPr>
          <w:i/>
          <w:lang w:val="en-US"/>
        </w:rPr>
        <w:t>any person</w:t>
      </w:r>
      <w:r w:rsidR="00564A5C" w:rsidRPr="00E14D8C">
        <w:rPr>
          <w:lang w:val="en-US"/>
        </w:rPr>
        <w:t xml:space="preserve"> who brings on </w:t>
      </w:r>
      <w:r w:rsidR="00221096" w:rsidRPr="00E14D8C">
        <w:rPr>
          <w:lang w:val="en-US"/>
        </w:rPr>
        <w:t>their</w:t>
      </w:r>
      <w:r w:rsidR="00564A5C" w:rsidRPr="00E14D8C">
        <w:rPr>
          <w:lang w:val="en-US"/>
        </w:rPr>
        <w:t xml:space="preserve"> land keeps or collects such a motor vehicle</w:t>
      </w:r>
      <w:r w:rsidR="003B26D8" w:rsidRPr="00E14D8C">
        <w:rPr>
          <w:lang w:val="en-US"/>
        </w:rPr>
        <w:t xml:space="preserve"> </w:t>
      </w:r>
      <w:r w:rsidR="0041674D" w:rsidRPr="00E14D8C">
        <w:rPr>
          <w:lang w:val="en-US"/>
        </w:rPr>
        <w:t xml:space="preserve">would’ </w:t>
      </w:r>
      <w:r w:rsidRPr="00E14D8C">
        <w:rPr>
          <w:i/>
          <w:lang w:val="en-US"/>
        </w:rPr>
        <w:t>prima facie</w:t>
      </w:r>
      <w:r w:rsidR="00F94490" w:rsidRPr="00E14D8C">
        <w:rPr>
          <w:lang w:val="en-US"/>
        </w:rPr>
        <w:t xml:space="preserve"> </w:t>
      </w:r>
      <w:r w:rsidR="00493364" w:rsidRPr="00E14D8C">
        <w:rPr>
          <w:lang w:val="en-US"/>
        </w:rPr>
        <w:t xml:space="preserve">[be] </w:t>
      </w:r>
      <w:r w:rsidRPr="00E14D8C">
        <w:rPr>
          <w:lang w:val="en-US"/>
        </w:rPr>
        <w:t>answerable for all the damage, which is the natural consequence</w:t>
      </w:r>
      <w:r w:rsidR="0041674D" w:rsidRPr="00E14D8C">
        <w:rPr>
          <w:lang w:val="en-US"/>
        </w:rPr>
        <w:t>’</w:t>
      </w:r>
      <w:r w:rsidRPr="00E14D8C">
        <w:rPr>
          <w:lang w:val="en-US"/>
        </w:rPr>
        <w:t xml:space="preserve"> of </w:t>
      </w:r>
      <w:r w:rsidR="00564A5C" w:rsidRPr="00E14D8C">
        <w:rPr>
          <w:lang w:val="en-US"/>
        </w:rPr>
        <w:t>its</w:t>
      </w:r>
      <w:r w:rsidRPr="00E14D8C">
        <w:rPr>
          <w:lang w:val="en-US"/>
        </w:rPr>
        <w:t xml:space="preserve"> </w:t>
      </w:r>
      <w:r w:rsidR="0041674D" w:rsidRPr="00E14D8C">
        <w:rPr>
          <w:lang w:val="en-US"/>
        </w:rPr>
        <w:t>‘</w:t>
      </w:r>
      <w:r w:rsidRPr="00E14D8C">
        <w:rPr>
          <w:lang w:val="en-US"/>
        </w:rPr>
        <w:t>escape</w:t>
      </w:r>
      <w:r w:rsidR="0041674D" w:rsidRPr="00E14D8C">
        <w:rPr>
          <w:lang w:val="en-US"/>
        </w:rPr>
        <w:t>’</w:t>
      </w:r>
      <w:r w:rsidR="00564A5C" w:rsidRPr="00E14D8C">
        <w:rPr>
          <w:lang w:val="en-US"/>
        </w:rPr>
        <w:t>.</w:t>
      </w:r>
      <w:r w:rsidRPr="00E14D8C">
        <w:rPr>
          <w:rStyle w:val="FootnoteReference"/>
          <w:lang w:val="en-US"/>
        </w:rPr>
        <w:footnoteReference w:id="192"/>
      </w:r>
      <w:r w:rsidR="00F94490" w:rsidRPr="00E14D8C">
        <w:rPr>
          <w:lang w:val="en-US"/>
        </w:rPr>
        <w:t xml:space="preserve"> </w:t>
      </w:r>
      <w:r w:rsidR="004D0AC8" w:rsidRPr="00E14D8C">
        <w:rPr>
          <w:lang w:val="en-US"/>
        </w:rPr>
        <w:t xml:space="preserve">The decision </w:t>
      </w:r>
      <w:r w:rsidR="008145AD" w:rsidRPr="00E14D8C">
        <w:rPr>
          <w:lang w:val="en-US"/>
        </w:rPr>
        <w:t>does not pinpoint the person on whom the liability for accidents would fall</w:t>
      </w:r>
      <w:r w:rsidR="004D0AC8" w:rsidRPr="00E14D8C">
        <w:rPr>
          <w:lang w:val="en-US"/>
        </w:rPr>
        <w:t>.</w:t>
      </w:r>
      <w:r w:rsidR="0053669E" w:rsidRPr="00E14D8C">
        <w:rPr>
          <w:lang w:val="en-US"/>
        </w:rPr>
        <w:t xml:space="preserve"> </w:t>
      </w:r>
      <w:r w:rsidR="0068534B" w:rsidRPr="00E14D8C">
        <w:rPr>
          <w:lang w:val="en-US"/>
        </w:rPr>
        <w:t xml:space="preserve">However, the </w:t>
      </w:r>
      <w:r w:rsidR="0041674D" w:rsidRPr="00E14D8C">
        <w:rPr>
          <w:lang w:val="en-US"/>
        </w:rPr>
        <w:t>court’s</w:t>
      </w:r>
      <w:r w:rsidR="0068534B" w:rsidRPr="00E14D8C">
        <w:rPr>
          <w:lang w:val="en-US"/>
        </w:rPr>
        <w:t xml:space="preserve"> remarks indicate that </w:t>
      </w:r>
      <w:r w:rsidR="000C54E3" w:rsidRPr="00E14D8C">
        <w:rPr>
          <w:lang w:val="en-US"/>
        </w:rPr>
        <w:t>any person in possession of the motor vehicle</w:t>
      </w:r>
      <w:r w:rsidR="00221096" w:rsidRPr="00E14D8C">
        <w:rPr>
          <w:lang w:val="en-US"/>
        </w:rPr>
        <w:t>,</w:t>
      </w:r>
      <w:r w:rsidR="000C54E3" w:rsidRPr="00E14D8C">
        <w:rPr>
          <w:lang w:val="en-US"/>
        </w:rPr>
        <w:t xml:space="preserve"> such as the driver</w:t>
      </w:r>
      <w:r w:rsidR="00221096" w:rsidRPr="00E14D8C">
        <w:rPr>
          <w:lang w:val="en-US"/>
        </w:rPr>
        <w:t>,</w:t>
      </w:r>
      <w:r w:rsidR="0068534B" w:rsidRPr="00E14D8C">
        <w:rPr>
          <w:lang w:val="en-US"/>
        </w:rPr>
        <w:t xml:space="preserve"> could be liable to compensate the victims with damages </w:t>
      </w:r>
      <w:r w:rsidR="0041674D" w:rsidRPr="00E14D8C">
        <w:rPr>
          <w:lang w:val="en-US"/>
        </w:rPr>
        <w:t>‘</w:t>
      </w:r>
      <w:r w:rsidR="0068534B" w:rsidRPr="00E14D8C">
        <w:rPr>
          <w:lang w:val="en-US"/>
        </w:rPr>
        <w:t>which appears to it to be just</w:t>
      </w:r>
      <w:r w:rsidR="0041674D" w:rsidRPr="00E14D8C">
        <w:rPr>
          <w:lang w:val="en-US"/>
        </w:rPr>
        <w:t>’</w:t>
      </w:r>
      <w:r w:rsidR="0068534B" w:rsidRPr="00E14D8C">
        <w:rPr>
          <w:lang w:val="en-US"/>
        </w:rPr>
        <w:t xml:space="preserve"> for such accidents arising from its use.</w:t>
      </w:r>
      <w:r w:rsidR="0068534B" w:rsidRPr="00E14D8C">
        <w:rPr>
          <w:rStyle w:val="FootnoteReference"/>
          <w:lang w:val="en-US"/>
        </w:rPr>
        <w:footnoteReference w:id="193"/>
      </w:r>
      <w:r w:rsidR="0068534B" w:rsidRPr="00E14D8C">
        <w:rPr>
          <w:lang w:val="en-US"/>
        </w:rPr>
        <w:t xml:space="preserve"> There is no clarity on whether owners would be jointly and severally liable with such other custodians in circumstances where the motor vehicle was in the </w:t>
      </w:r>
      <w:r w:rsidR="0041674D" w:rsidRPr="00E14D8C">
        <w:rPr>
          <w:lang w:val="en-US"/>
        </w:rPr>
        <w:t>latter’s</w:t>
      </w:r>
      <w:r w:rsidR="0068534B" w:rsidRPr="00E14D8C">
        <w:rPr>
          <w:lang w:val="en-US"/>
        </w:rPr>
        <w:t xml:space="preserve"> possession at the time of the accident</w:t>
      </w:r>
      <w:r w:rsidR="008145AD" w:rsidRPr="00E14D8C">
        <w:rPr>
          <w:lang w:val="en-US"/>
        </w:rPr>
        <w:t>.</w:t>
      </w:r>
      <w:r w:rsidR="0053669E" w:rsidRPr="00E14D8C">
        <w:rPr>
          <w:lang w:val="en-US"/>
        </w:rPr>
        <w:t xml:space="preserve"> </w:t>
      </w:r>
      <w:r w:rsidR="00760276" w:rsidRPr="00E14D8C">
        <w:rPr>
          <w:lang w:val="en-US"/>
        </w:rPr>
        <w:t xml:space="preserve">The liability of the </w:t>
      </w:r>
      <w:r w:rsidR="0041674D" w:rsidRPr="00E14D8C">
        <w:rPr>
          <w:lang w:val="en-US"/>
        </w:rPr>
        <w:t>‘</w:t>
      </w:r>
      <w:r w:rsidR="00760276" w:rsidRPr="00E14D8C">
        <w:rPr>
          <w:lang w:val="en-US"/>
        </w:rPr>
        <w:t>custodian</w:t>
      </w:r>
      <w:r w:rsidR="0041674D" w:rsidRPr="00E14D8C">
        <w:rPr>
          <w:lang w:val="en-US"/>
        </w:rPr>
        <w:t>’</w:t>
      </w:r>
      <w:r w:rsidR="00CC3C91" w:rsidRPr="00E14D8C">
        <w:rPr>
          <w:lang w:val="en-US"/>
        </w:rPr>
        <w:t>, which is ultimately borne by the insurer,</w:t>
      </w:r>
      <w:r w:rsidR="00CC3C91" w:rsidRPr="00E14D8C">
        <w:rPr>
          <w:rStyle w:val="FootnoteReference"/>
          <w:lang w:val="en-US"/>
        </w:rPr>
        <w:footnoteReference w:id="194"/>
      </w:r>
      <w:r w:rsidR="00CC3C91" w:rsidRPr="00E14D8C">
        <w:rPr>
          <w:lang w:val="en-US"/>
        </w:rPr>
        <w:t xml:space="preserve"> </w:t>
      </w:r>
      <w:r w:rsidR="003E0DB9" w:rsidRPr="00E14D8C">
        <w:rPr>
          <w:lang w:val="en-US"/>
        </w:rPr>
        <w:t>will</w:t>
      </w:r>
      <w:r w:rsidR="00760276" w:rsidRPr="00E14D8C">
        <w:rPr>
          <w:lang w:val="en-US"/>
        </w:rPr>
        <w:t xml:space="preserve"> similarly </w:t>
      </w:r>
      <w:r w:rsidR="003E0DB9" w:rsidRPr="00E14D8C">
        <w:rPr>
          <w:lang w:val="en-US"/>
        </w:rPr>
        <w:t xml:space="preserve">be </w:t>
      </w:r>
      <w:r w:rsidR="00760276" w:rsidRPr="00E14D8C">
        <w:rPr>
          <w:lang w:val="en-US"/>
        </w:rPr>
        <w:t>strict</w:t>
      </w:r>
      <w:r w:rsidR="003E0DB9" w:rsidRPr="00E14D8C">
        <w:rPr>
          <w:lang w:val="en-US"/>
        </w:rPr>
        <w:t xml:space="preserve"> and </w:t>
      </w:r>
      <w:r w:rsidR="00760276" w:rsidRPr="00E14D8C">
        <w:rPr>
          <w:lang w:val="en-US"/>
        </w:rPr>
        <w:t xml:space="preserve">independent of the </w:t>
      </w:r>
      <w:r w:rsidRPr="00E14D8C">
        <w:rPr>
          <w:lang w:val="en-US"/>
        </w:rPr>
        <w:t xml:space="preserve">fault or negligence </w:t>
      </w:r>
      <w:r w:rsidR="003E0DB9" w:rsidRPr="00E14D8C">
        <w:rPr>
          <w:lang w:val="en-US"/>
        </w:rPr>
        <w:t>on its</w:t>
      </w:r>
      <w:r w:rsidR="00CC3C91" w:rsidRPr="00E14D8C">
        <w:rPr>
          <w:lang w:val="en-US"/>
        </w:rPr>
        <w:t xml:space="preserve"> part</w:t>
      </w:r>
      <w:r w:rsidR="00760276" w:rsidRPr="00E14D8C">
        <w:rPr>
          <w:lang w:val="en-US"/>
        </w:rPr>
        <w:t xml:space="preserve">. </w:t>
      </w:r>
    </w:p>
    <w:p w14:paraId="3B2503C4" w14:textId="77777777" w:rsidR="000C5022" w:rsidRPr="00E14D8C" w:rsidRDefault="000C5022" w:rsidP="00D83878">
      <w:pPr>
        <w:spacing w:line="360" w:lineRule="auto"/>
        <w:jc w:val="both"/>
        <w:rPr>
          <w:lang w:val="en-US"/>
        </w:rPr>
      </w:pPr>
    </w:p>
    <w:p w14:paraId="71BBCC74" w14:textId="0D0F8F54" w:rsidR="000C5022" w:rsidRPr="00E14D8C" w:rsidRDefault="00986B65" w:rsidP="00D83878">
      <w:pPr>
        <w:spacing w:line="360" w:lineRule="auto"/>
        <w:jc w:val="both"/>
        <w:rPr>
          <w:i/>
          <w:lang w:val="en-US"/>
        </w:rPr>
      </w:pPr>
      <w:r>
        <w:rPr>
          <w:i/>
          <w:lang w:val="en-US"/>
        </w:rPr>
        <w:t xml:space="preserve">b.  </w:t>
      </w:r>
      <w:r w:rsidR="000C5022" w:rsidRPr="00E14D8C">
        <w:rPr>
          <w:i/>
          <w:lang w:val="en-US"/>
        </w:rPr>
        <w:t xml:space="preserve">Permitted Exclusions: An Overambitious Form of Contributory Negligence? </w:t>
      </w:r>
    </w:p>
    <w:p w14:paraId="0C964872" w14:textId="620D1045" w:rsidR="00BE3318" w:rsidRPr="00E14D8C" w:rsidRDefault="000C5022" w:rsidP="00D83878">
      <w:pPr>
        <w:spacing w:line="360" w:lineRule="auto"/>
        <w:jc w:val="both"/>
        <w:rPr>
          <w:lang w:val="en-US"/>
        </w:rPr>
      </w:pPr>
      <w:r w:rsidRPr="00E14D8C">
        <w:rPr>
          <w:lang w:val="en-US"/>
        </w:rPr>
        <w:t xml:space="preserve">Unlike in the case of fatal or grave injuries, the liability for other forms of damage </w:t>
      </w:r>
      <w:r w:rsidR="004D5FA0" w:rsidRPr="00E14D8C">
        <w:rPr>
          <w:lang w:val="en-US"/>
        </w:rPr>
        <w:t>is not unconditional</w:t>
      </w:r>
      <w:r w:rsidR="00760276" w:rsidRPr="00E14D8C">
        <w:rPr>
          <w:lang w:val="en-US"/>
        </w:rPr>
        <w:t>.</w:t>
      </w:r>
      <w:r w:rsidR="0053669E" w:rsidRPr="00E14D8C">
        <w:rPr>
          <w:lang w:val="en-US"/>
        </w:rPr>
        <w:t xml:space="preserve"> </w:t>
      </w:r>
      <w:r w:rsidR="003E0DB9" w:rsidRPr="00E14D8C">
        <w:rPr>
          <w:lang w:val="en-US"/>
        </w:rPr>
        <w:t xml:space="preserve">Therefore, </w:t>
      </w:r>
      <w:r w:rsidRPr="00E14D8C">
        <w:rPr>
          <w:lang w:val="en-US"/>
        </w:rPr>
        <w:t>owners or custodians</w:t>
      </w:r>
      <w:r w:rsidR="000C54E3" w:rsidRPr="00E14D8C">
        <w:rPr>
          <w:lang w:val="en-US"/>
        </w:rPr>
        <w:t xml:space="preserve"> of </w:t>
      </w:r>
      <w:r w:rsidR="00251847">
        <w:rPr>
          <w:lang w:val="en-US"/>
        </w:rPr>
        <w:t>self-driving</w:t>
      </w:r>
      <w:r w:rsidR="00251847" w:rsidRPr="00E14D8C">
        <w:rPr>
          <w:lang w:val="en-US"/>
        </w:rPr>
        <w:t xml:space="preserve"> </w:t>
      </w:r>
      <w:r w:rsidR="000C54E3" w:rsidRPr="00E14D8C">
        <w:rPr>
          <w:lang w:val="en-US"/>
        </w:rPr>
        <w:t>car</w:t>
      </w:r>
      <w:r w:rsidRPr="00E14D8C">
        <w:rPr>
          <w:lang w:val="en-US"/>
        </w:rPr>
        <w:t>s</w:t>
      </w:r>
      <w:r w:rsidR="000C54E3" w:rsidRPr="00E14D8C">
        <w:rPr>
          <w:lang w:val="en-US"/>
        </w:rPr>
        <w:t xml:space="preserve"> would be able to</w:t>
      </w:r>
      <w:r w:rsidR="00760276" w:rsidRPr="00E14D8C">
        <w:rPr>
          <w:lang w:val="en-US"/>
        </w:rPr>
        <w:t xml:space="preserve"> exonerate</w:t>
      </w:r>
      <w:r w:rsidR="00CC3C91" w:rsidRPr="00E14D8C">
        <w:rPr>
          <w:lang w:val="en-US"/>
        </w:rPr>
        <w:t xml:space="preserve"> </w:t>
      </w:r>
      <w:r w:rsidRPr="00E14D8C">
        <w:rPr>
          <w:lang w:val="en-US"/>
        </w:rPr>
        <w:t>themselves</w:t>
      </w:r>
      <w:r w:rsidR="00760276" w:rsidRPr="00E14D8C">
        <w:rPr>
          <w:lang w:val="en-US"/>
        </w:rPr>
        <w:t xml:space="preserve"> from </w:t>
      </w:r>
      <w:r w:rsidR="00346DB5" w:rsidRPr="00E14D8C">
        <w:rPr>
          <w:lang w:val="en-US"/>
        </w:rPr>
        <w:t>liability</w:t>
      </w:r>
      <w:r w:rsidR="00760276" w:rsidRPr="00E14D8C">
        <w:rPr>
          <w:lang w:val="en-US"/>
        </w:rPr>
        <w:t xml:space="preserve"> for </w:t>
      </w:r>
      <w:r w:rsidR="003E0DB9" w:rsidRPr="00E14D8C">
        <w:rPr>
          <w:lang w:val="en-US"/>
        </w:rPr>
        <w:t xml:space="preserve">such </w:t>
      </w:r>
      <w:r w:rsidRPr="00E14D8C">
        <w:rPr>
          <w:lang w:val="en-US"/>
        </w:rPr>
        <w:t>damage</w:t>
      </w:r>
      <w:r w:rsidR="003E0DB9" w:rsidRPr="00E14D8C">
        <w:rPr>
          <w:lang w:val="en-US"/>
        </w:rPr>
        <w:t xml:space="preserve"> </w:t>
      </w:r>
      <w:r w:rsidR="004D5FA0" w:rsidRPr="00E14D8C">
        <w:rPr>
          <w:lang w:val="en-US"/>
        </w:rPr>
        <w:t xml:space="preserve">by relying on any of the </w:t>
      </w:r>
      <w:r w:rsidR="000D3ADD" w:rsidRPr="00E14D8C">
        <w:rPr>
          <w:lang w:val="en-US"/>
        </w:rPr>
        <w:t>general</w:t>
      </w:r>
      <w:r w:rsidR="004D5FA0" w:rsidRPr="00E14D8C">
        <w:rPr>
          <w:lang w:val="en-US"/>
        </w:rPr>
        <w:t xml:space="preserve"> </w:t>
      </w:r>
      <w:r w:rsidR="00986B65" w:rsidRPr="00E14D8C">
        <w:rPr>
          <w:lang w:val="en-US"/>
        </w:rPr>
        <w:t>defenses</w:t>
      </w:r>
      <w:r w:rsidR="004D5FA0" w:rsidRPr="00E14D8C">
        <w:rPr>
          <w:lang w:val="en-US"/>
        </w:rPr>
        <w:t xml:space="preserve"> (to the principle of strict liability) as applicable under common law</w:t>
      </w:r>
      <w:r w:rsidR="006B36D1" w:rsidRPr="00E14D8C">
        <w:rPr>
          <w:lang w:val="en-US"/>
        </w:rPr>
        <w:t>.</w:t>
      </w:r>
      <w:r w:rsidR="00F77FA4" w:rsidRPr="00E14D8C">
        <w:rPr>
          <w:rStyle w:val="FootnoteReference"/>
          <w:lang w:val="en-US"/>
        </w:rPr>
        <w:footnoteReference w:id="195"/>
      </w:r>
      <w:r w:rsidR="006B36D1" w:rsidRPr="00E14D8C">
        <w:rPr>
          <w:lang w:val="en-US"/>
        </w:rPr>
        <w:t xml:space="preserve"> </w:t>
      </w:r>
      <w:r w:rsidR="0068534B" w:rsidRPr="00E14D8C">
        <w:rPr>
          <w:lang w:val="en-US"/>
        </w:rPr>
        <w:t xml:space="preserve">When extended to </w:t>
      </w:r>
      <w:r w:rsidR="00251847">
        <w:rPr>
          <w:lang w:val="en-US"/>
        </w:rPr>
        <w:t>self-driving</w:t>
      </w:r>
      <w:r w:rsidR="00251847" w:rsidRPr="00E14D8C">
        <w:rPr>
          <w:lang w:val="en-US"/>
        </w:rPr>
        <w:t xml:space="preserve"> </w:t>
      </w:r>
      <w:r w:rsidR="0068534B" w:rsidRPr="00E14D8C">
        <w:rPr>
          <w:lang w:val="en-US"/>
        </w:rPr>
        <w:t>cars, the principle has the ability to create peculiar problems by leaving the aggrieved parties remediless</w:t>
      </w:r>
      <w:r w:rsidR="000C54E3" w:rsidRPr="00E14D8C">
        <w:rPr>
          <w:lang w:val="en-US"/>
        </w:rPr>
        <w:t xml:space="preserve"> in a vast number of situations by precluding such persons from claiming compensation </w:t>
      </w:r>
      <w:r w:rsidR="003E0DB9" w:rsidRPr="00E14D8C">
        <w:rPr>
          <w:lang w:val="en-US"/>
        </w:rPr>
        <w:t xml:space="preserve">from </w:t>
      </w:r>
      <w:r w:rsidR="00346DB5" w:rsidRPr="00E14D8C">
        <w:rPr>
          <w:lang w:val="en-US"/>
        </w:rPr>
        <w:t>owner</w:t>
      </w:r>
      <w:r w:rsidR="003E0DB9" w:rsidRPr="00E14D8C">
        <w:rPr>
          <w:lang w:val="en-US"/>
        </w:rPr>
        <w:t>s</w:t>
      </w:r>
      <w:r w:rsidR="00346DB5" w:rsidRPr="00E14D8C">
        <w:rPr>
          <w:lang w:val="en-US"/>
        </w:rPr>
        <w:t xml:space="preserve"> </w:t>
      </w:r>
      <w:r w:rsidR="000C54E3" w:rsidRPr="00E14D8C">
        <w:rPr>
          <w:lang w:val="en-US"/>
        </w:rPr>
        <w:t>(or custodians)</w:t>
      </w:r>
      <w:r w:rsidR="00346DB5" w:rsidRPr="00E14D8C">
        <w:rPr>
          <w:lang w:val="en-US"/>
        </w:rPr>
        <w:t xml:space="preserve"> </w:t>
      </w:r>
      <w:r w:rsidR="000C54E3" w:rsidRPr="00E14D8C">
        <w:rPr>
          <w:lang w:val="en-US"/>
        </w:rPr>
        <w:t>in the damage is a result of</w:t>
      </w:r>
      <w:r w:rsidR="00346DB5" w:rsidRPr="00E14D8C">
        <w:rPr>
          <w:lang w:val="en-US"/>
        </w:rPr>
        <w:t xml:space="preserve"> </w:t>
      </w:r>
      <w:r w:rsidR="003E0DB9" w:rsidRPr="00E14D8C">
        <w:rPr>
          <w:lang w:val="en-US"/>
        </w:rPr>
        <w:t>any of the following reasons</w:t>
      </w:r>
      <w:r w:rsidR="002F2901" w:rsidRPr="00E14D8C">
        <w:rPr>
          <w:lang w:val="en-US"/>
        </w:rPr>
        <w:t>:</w:t>
      </w:r>
      <w:r w:rsidR="00D055ED" w:rsidRPr="00E14D8C">
        <w:rPr>
          <w:lang w:val="en-US"/>
        </w:rPr>
        <w:t xml:space="preserve"> </w:t>
      </w:r>
    </w:p>
    <w:p w14:paraId="55511342" w14:textId="77777777" w:rsidR="0068534B" w:rsidRPr="00E14D8C" w:rsidRDefault="0068534B" w:rsidP="00D83878">
      <w:pPr>
        <w:spacing w:line="360" w:lineRule="auto"/>
        <w:jc w:val="both"/>
        <w:rPr>
          <w:lang w:val="en-US"/>
        </w:rPr>
      </w:pPr>
    </w:p>
    <w:p w14:paraId="6DA08EF4" w14:textId="763AA587" w:rsidR="00BE3318" w:rsidRPr="00E14D8C" w:rsidRDefault="007D4BF1" w:rsidP="00D83878">
      <w:pPr>
        <w:spacing w:line="360" w:lineRule="auto"/>
        <w:jc w:val="both"/>
        <w:rPr>
          <w:lang w:val="en-US"/>
        </w:rPr>
      </w:pPr>
      <w:proofErr w:type="spellStart"/>
      <w:r w:rsidRPr="00E14D8C">
        <w:rPr>
          <w:lang w:val="en-US"/>
        </w:rPr>
        <w:t>i</w:t>
      </w:r>
      <w:proofErr w:type="spellEnd"/>
      <w:r w:rsidRPr="00E14D8C">
        <w:rPr>
          <w:lang w:val="en-US"/>
        </w:rPr>
        <w:t>.</w:t>
      </w:r>
      <w:r w:rsidR="0053669E" w:rsidRPr="00E14D8C">
        <w:rPr>
          <w:lang w:val="en-US"/>
        </w:rPr>
        <w:t xml:space="preserve"> </w:t>
      </w:r>
      <w:r w:rsidR="00E33A0E" w:rsidRPr="00E14D8C">
        <w:rPr>
          <w:lang w:val="en-US"/>
        </w:rPr>
        <w:t xml:space="preserve">an </w:t>
      </w:r>
      <w:r w:rsidR="005051F1" w:rsidRPr="00E14D8C">
        <w:rPr>
          <w:lang w:val="en-US"/>
        </w:rPr>
        <w:t xml:space="preserve">act of God or </w:t>
      </w:r>
      <w:r w:rsidR="005051F1" w:rsidRPr="00E14D8C">
        <w:rPr>
          <w:i/>
          <w:lang w:val="en-US"/>
        </w:rPr>
        <w:t>vis major</w:t>
      </w:r>
      <w:r w:rsidR="003E0DB9" w:rsidRPr="00E14D8C">
        <w:rPr>
          <w:i/>
          <w:lang w:val="en-US"/>
        </w:rPr>
        <w:t>.</w:t>
      </w:r>
      <w:r w:rsidR="003E0DB9" w:rsidRPr="00E14D8C">
        <w:rPr>
          <w:rStyle w:val="FootnoteReference"/>
          <w:lang w:val="en-US"/>
        </w:rPr>
        <w:footnoteReference w:id="196"/>
      </w:r>
      <w:r w:rsidR="003E0DB9" w:rsidRPr="00E14D8C">
        <w:rPr>
          <w:i/>
          <w:lang w:val="en-US"/>
        </w:rPr>
        <w:t xml:space="preserve"> </w:t>
      </w:r>
      <w:r w:rsidR="003E0DB9" w:rsidRPr="00E14D8C">
        <w:rPr>
          <w:lang w:val="en-US"/>
        </w:rPr>
        <w:t xml:space="preserve">As a general rule, owners or drivers would not be liable for any bodily injury that is not fatal or grave or any damage to property that was caused by any motor vehicle due to </w:t>
      </w:r>
      <w:r w:rsidR="005051F1" w:rsidRPr="00E14D8C">
        <w:rPr>
          <w:lang w:val="en-US"/>
        </w:rPr>
        <w:t>a storm</w:t>
      </w:r>
      <w:r w:rsidR="003E0DB9" w:rsidRPr="00E14D8C">
        <w:rPr>
          <w:lang w:val="en-US"/>
        </w:rPr>
        <w:t>,</w:t>
      </w:r>
      <w:r w:rsidR="005051F1" w:rsidRPr="00E14D8C">
        <w:rPr>
          <w:lang w:val="en-US"/>
        </w:rPr>
        <w:t xml:space="preserve"> tempest</w:t>
      </w:r>
      <w:r w:rsidR="006B36D1" w:rsidRPr="00E14D8C">
        <w:rPr>
          <w:lang w:val="en-US"/>
        </w:rPr>
        <w:t xml:space="preserve"> </w:t>
      </w:r>
      <w:r w:rsidR="00346DB5" w:rsidRPr="00E14D8C">
        <w:rPr>
          <w:lang w:val="en-US"/>
        </w:rPr>
        <w:t>or any other unforeseeable event that could not be prevented</w:t>
      </w:r>
      <w:r w:rsidR="006B36D1" w:rsidRPr="00E14D8C">
        <w:rPr>
          <w:lang w:val="en-US"/>
        </w:rPr>
        <w:t xml:space="preserve"> any amount of human care and skill</w:t>
      </w:r>
      <w:r w:rsidR="00D3393D" w:rsidRPr="00E14D8C">
        <w:rPr>
          <w:lang w:val="en-US"/>
        </w:rPr>
        <w:t>.</w:t>
      </w:r>
      <w:r w:rsidR="00B86600" w:rsidRPr="00E14D8C">
        <w:rPr>
          <w:rStyle w:val="FootnoteReference"/>
          <w:lang w:val="en-US"/>
        </w:rPr>
        <w:footnoteReference w:id="197"/>
      </w:r>
      <w:r w:rsidR="003E0DB9" w:rsidRPr="00E14D8C">
        <w:rPr>
          <w:lang w:val="en-US"/>
        </w:rPr>
        <w:t xml:space="preserve"> </w:t>
      </w:r>
      <w:r w:rsidR="009840D3" w:rsidRPr="00E14D8C">
        <w:rPr>
          <w:lang w:val="en-US"/>
        </w:rPr>
        <w:t xml:space="preserve">Victims of road accidents caused by </w:t>
      </w:r>
      <w:r w:rsidR="00251847">
        <w:rPr>
          <w:lang w:val="en-US"/>
        </w:rPr>
        <w:t>self-driving</w:t>
      </w:r>
      <w:r w:rsidR="00251847" w:rsidRPr="00E14D8C">
        <w:rPr>
          <w:lang w:val="en-US"/>
        </w:rPr>
        <w:t xml:space="preserve"> </w:t>
      </w:r>
      <w:r w:rsidR="009840D3" w:rsidRPr="00E14D8C">
        <w:rPr>
          <w:lang w:val="en-US"/>
        </w:rPr>
        <w:t xml:space="preserve">cars could, therefore, potentially be left remediless in circumstances where the </w:t>
      </w:r>
      <w:r w:rsidR="00AA5C21" w:rsidRPr="00E14D8C">
        <w:rPr>
          <w:lang w:val="en-US"/>
        </w:rPr>
        <w:t>harm</w:t>
      </w:r>
      <w:r w:rsidR="009840D3" w:rsidRPr="00E14D8C">
        <w:rPr>
          <w:lang w:val="en-US"/>
        </w:rPr>
        <w:t xml:space="preserve"> caused by the </w:t>
      </w:r>
      <w:r w:rsidR="009840D3" w:rsidRPr="00E14D8C">
        <w:rPr>
          <w:lang w:val="en-US"/>
        </w:rPr>
        <w:lastRenderedPageBreak/>
        <w:t>vehicle</w:t>
      </w:r>
      <w:r w:rsidR="003E0DB9" w:rsidRPr="00E14D8C">
        <w:rPr>
          <w:lang w:val="en-US"/>
        </w:rPr>
        <w:t xml:space="preserve"> </w:t>
      </w:r>
      <w:r w:rsidR="009840D3" w:rsidRPr="00E14D8C">
        <w:rPr>
          <w:lang w:val="en-US"/>
        </w:rPr>
        <w:t>was</w:t>
      </w:r>
      <w:r w:rsidR="003E0DB9" w:rsidRPr="00E14D8C">
        <w:rPr>
          <w:lang w:val="en-US"/>
        </w:rPr>
        <w:t xml:space="preserve"> solely the result of negligence </w:t>
      </w:r>
      <w:r w:rsidR="009840D3" w:rsidRPr="00E14D8C">
        <w:rPr>
          <w:lang w:val="en-US"/>
        </w:rPr>
        <w:t>on the part of the owner to conduct the necessary</w:t>
      </w:r>
      <w:r w:rsidR="003E0DB9" w:rsidRPr="00E14D8C">
        <w:rPr>
          <w:lang w:val="en-US"/>
        </w:rPr>
        <w:t xml:space="preserve"> maneuverers</w:t>
      </w:r>
      <w:r w:rsidR="00AA5C21" w:rsidRPr="00E14D8C">
        <w:rPr>
          <w:lang w:val="en-US"/>
        </w:rPr>
        <w:t xml:space="preserve"> </w:t>
      </w:r>
      <w:r w:rsidR="009840D3" w:rsidRPr="00E14D8C">
        <w:rPr>
          <w:lang w:val="en-US"/>
        </w:rPr>
        <w:t>to prevent or mitigate</w:t>
      </w:r>
      <w:r w:rsidR="003E0DB9" w:rsidRPr="00E14D8C">
        <w:rPr>
          <w:lang w:val="en-US"/>
        </w:rPr>
        <w:t xml:space="preserve"> the </w:t>
      </w:r>
      <w:r w:rsidR="00AA5C21" w:rsidRPr="00E14D8C">
        <w:rPr>
          <w:lang w:val="en-US"/>
        </w:rPr>
        <w:t>damage</w:t>
      </w:r>
      <w:r w:rsidR="00446128" w:rsidRPr="00E14D8C">
        <w:rPr>
          <w:lang w:val="en-US"/>
        </w:rPr>
        <w:t>.</w:t>
      </w:r>
    </w:p>
    <w:p w14:paraId="130317EE" w14:textId="77777777" w:rsidR="000C54E3" w:rsidRPr="00E14D8C" w:rsidRDefault="000C54E3" w:rsidP="00D83878">
      <w:pPr>
        <w:spacing w:line="360" w:lineRule="auto"/>
        <w:jc w:val="both"/>
        <w:rPr>
          <w:lang w:val="en-US"/>
        </w:rPr>
      </w:pPr>
    </w:p>
    <w:p w14:paraId="035CDEC9" w14:textId="55EC037B" w:rsidR="000C54E3" w:rsidRPr="00E14D8C" w:rsidRDefault="007D4BF1" w:rsidP="00D83878">
      <w:pPr>
        <w:spacing w:line="360" w:lineRule="auto"/>
        <w:jc w:val="both"/>
        <w:rPr>
          <w:lang w:val="en-US"/>
        </w:rPr>
      </w:pPr>
      <w:r w:rsidRPr="00E14D8C">
        <w:rPr>
          <w:lang w:val="en-US"/>
        </w:rPr>
        <w:t>ii.</w:t>
      </w:r>
      <w:r w:rsidR="0053669E" w:rsidRPr="00E14D8C">
        <w:rPr>
          <w:lang w:val="en-US"/>
        </w:rPr>
        <w:t xml:space="preserve"> </w:t>
      </w:r>
      <w:r w:rsidR="00E33A0E" w:rsidRPr="00E14D8C">
        <w:rPr>
          <w:lang w:val="en-US"/>
        </w:rPr>
        <w:t xml:space="preserve">an </w:t>
      </w:r>
      <w:r w:rsidR="005051F1" w:rsidRPr="00E14D8C">
        <w:rPr>
          <w:lang w:val="en-US"/>
        </w:rPr>
        <w:t xml:space="preserve">inevitable accident or wrongful act of </w:t>
      </w:r>
      <w:r w:rsidR="00A743DE" w:rsidRPr="00E14D8C">
        <w:rPr>
          <w:lang w:val="en-US"/>
        </w:rPr>
        <w:t xml:space="preserve">any </w:t>
      </w:r>
      <w:r w:rsidR="005051F1" w:rsidRPr="00E14D8C">
        <w:rPr>
          <w:lang w:val="en-US"/>
        </w:rPr>
        <w:t>third party</w:t>
      </w:r>
      <w:r w:rsidR="000C2C3A" w:rsidRPr="00E14D8C">
        <w:rPr>
          <w:lang w:val="en-US"/>
        </w:rPr>
        <w:t>.</w:t>
      </w:r>
      <w:r w:rsidR="002745FF" w:rsidRPr="00E14D8C">
        <w:rPr>
          <w:rStyle w:val="FootnoteReference"/>
          <w:lang w:val="en-US"/>
        </w:rPr>
        <w:footnoteReference w:id="198"/>
      </w:r>
      <w:r w:rsidR="00346DB5" w:rsidRPr="00E14D8C">
        <w:rPr>
          <w:lang w:val="en-US"/>
        </w:rPr>
        <w:t xml:space="preserve"> </w:t>
      </w:r>
      <w:r w:rsidR="009840D3" w:rsidRPr="00E14D8C">
        <w:rPr>
          <w:lang w:val="en-US"/>
        </w:rPr>
        <w:t>Victims are disentitled from claiming compensation from keepers of motor vehicles for any injury or damage that was chiefly attributable to a wrongful act of a third party</w:t>
      </w:r>
      <w:r w:rsidR="00F769C7" w:rsidRPr="00E14D8C">
        <w:rPr>
          <w:lang w:val="en-US"/>
        </w:rPr>
        <w:t xml:space="preserve">. However, the </w:t>
      </w:r>
      <w:r w:rsidR="0041674D" w:rsidRPr="00E14D8C">
        <w:rPr>
          <w:lang w:val="en-US"/>
        </w:rPr>
        <w:t>custodian’s</w:t>
      </w:r>
      <w:r w:rsidR="00F769C7" w:rsidRPr="00E14D8C">
        <w:rPr>
          <w:lang w:val="en-US"/>
        </w:rPr>
        <w:t xml:space="preserve"> </w:t>
      </w:r>
      <w:r w:rsidR="009840D3" w:rsidRPr="00E14D8C">
        <w:rPr>
          <w:lang w:val="en-US"/>
        </w:rPr>
        <w:t xml:space="preserve">negligence </w:t>
      </w:r>
      <w:r w:rsidR="004D73B6" w:rsidRPr="00E14D8C">
        <w:rPr>
          <w:lang w:val="en-US"/>
        </w:rPr>
        <w:t xml:space="preserve">in being able to </w:t>
      </w:r>
      <w:r w:rsidR="009840D3" w:rsidRPr="00E14D8C">
        <w:rPr>
          <w:lang w:val="en-US"/>
        </w:rPr>
        <w:t>fores</w:t>
      </w:r>
      <w:r w:rsidR="009840D3" w:rsidRPr="00E14D8C">
        <w:rPr>
          <w:lang w:val="en-US"/>
        </w:rPr>
        <w:t>ee</w:t>
      </w:r>
      <w:r w:rsidR="009840D3" w:rsidRPr="00E14D8C">
        <w:rPr>
          <w:lang w:val="en-US"/>
        </w:rPr>
        <w:t xml:space="preserve"> and prevent the consequences of </w:t>
      </w:r>
      <w:r w:rsidR="009840D3" w:rsidRPr="00E14D8C">
        <w:rPr>
          <w:lang w:val="en-US"/>
        </w:rPr>
        <w:t>the</w:t>
      </w:r>
      <w:r w:rsidR="009840D3" w:rsidRPr="00E14D8C">
        <w:rPr>
          <w:lang w:val="en-US"/>
        </w:rPr>
        <w:t xml:space="preserve"> </w:t>
      </w:r>
      <w:r w:rsidR="00F769C7" w:rsidRPr="00E14D8C">
        <w:rPr>
          <w:lang w:val="en-US"/>
        </w:rPr>
        <w:t xml:space="preserve">third </w:t>
      </w:r>
      <w:r w:rsidR="0041674D" w:rsidRPr="00E14D8C">
        <w:rPr>
          <w:lang w:val="en-US"/>
        </w:rPr>
        <w:t>party’s</w:t>
      </w:r>
      <w:r w:rsidR="00F769C7" w:rsidRPr="00E14D8C">
        <w:rPr>
          <w:lang w:val="en-US"/>
        </w:rPr>
        <w:t xml:space="preserve"> </w:t>
      </w:r>
      <w:r w:rsidR="009840D3" w:rsidRPr="00E14D8C">
        <w:rPr>
          <w:lang w:val="en-US"/>
        </w:rPr>
        <w:t>act</w:t>
      </w:r>
      <w:r w:rsidR="00F769C7" w:rsidRPr="00E14D8C">
        <w:rPr>
          <w:lang w:val="en-US"/>
        </w:rPr>
        <w:t xml:space="preserve"> would not exonerate it from its liability</w:t>
      </w:r>
      <w:r w:rsidR="009840D3" w:rsidRPr="00E14D8C">
        <w:rPr>
          <w:lang w:val="en-US"/>
        </w:rPr>
        <w:t>.</w:t>
      </w:r>
      <w:r w:rsidR="009840D3" w:rsidRPr="00E14D8C">
        <w:rPr>
          <w:rStyle w:val="FootnoteReference"/>
          <w:lang w:val="en-US"/>
        </w:rPr>
        <w:footnoteReference w:id="199"/>
      </w:r>
      <w:r w:rsidR="009840D3" w:rsidRPr="00E14D8C">
        <w:rPr>
          <w:lang w:val="en-US"/>
        </w:rPr>
        <w:t xml:space="preserve"> Therefore, owners cannot be held liable (in any manner) for any harm that the victim may have sustained due to a defect in the self-driving car</w:t>
      </w:r>
      <w:r w:rsidR="00882309" w:rsidRPr="00E14D8C">
        <w:rPr>
          <w:rStyle w:val="FootnoteReference"/>
          <w:lang w:val="en-US"/>
        </w:rPr>
        <w:footnoteReference w:id="200"/>
      </w:r>
      <w:r w:rsidR="009840D3" w:rsidRPr="00E14D8C">
        <w:rPr>
          <w:lang w:val="en-US"/>
        </w:rPr>
        <w:t xml:space="preserve"> or any error whose occurrence was a result of the </w:t>
      </w:r>
      <w:r w:rsidR="0041674D" w:rsidRPr="00E14D8C">
        <w:rPr>
          <w:lang w:val="en-US"/>
        </w:rPr>
        <w:t>manufacturer’s</w:t>
      </w:r>
      <w:r w:rsidR="009840D3" w:rsidRPr="00E14D8C">
        <w:rPr>
          <w:lang w:val="en-US"/>
        </w:rPr>
        <w:t xml:space="preserve"> failure to provide </w:t>
      </w:r>
      <w:r w:rsidR="009840D3" w:rsidRPr="00E14D8C">
        <w:rPr>
          <w:lang w:val="en-US"/>
        </w:rPr>
        <w:t>adequate instructions concerning the operation of the vehicle</w:t>
      </w:r>
      <w:r w:rsidR="009840D3" w:rsidRPr="00E14D8C">
        <w:rPr>
          <w:rStyle w:val="FootnoteReference"/>
          <w:lang w:val="en-US"/>
        </w:rPr>
        <w:footnoteReference w:id="201"/>
      </w:r>
      <w:r w:rsidR="009840D3" w:rsidRPr="00E14D8C">
        <w:rPr>
          <w:lang w:val="en-US"/>
        </w:rPr>
        <w:t xml:space="preserve"> </w:t>
      </w:r>
      <w:r w:rsidR="00333489" w:rsidRPr="00E14D8C">
        <w:rPr>
          <w:lang w:val="en-US"/>
        </w:rPr>
        <w:t>considering that</w:t>
      </w:r>
      <w:r w:rsidR="009840D3" w:rsidRPr="00E14D8C">
        <w:rPr>
          <w:lang w:val="en-US"/>
        </w:rPr>
        <w:t xml:space="preserve"> </w:t>
      </w:r>
      <w:r w:rsidR="00333489" w:rsidRPr="00E14D8C">
        <w:rPr>
          <w:lang w:val="en-US"/>
        </w:rPr>
        <w:t>such</w:t>
      </w:r>
      <w:r w:rsidR="009840D3" w:rsidRPr="00E14D8C">
        <w:rPr>
          <w:lang w:val="en-US"/>
        </w:rPr>
        <w:t xml:space="preserve"> injuries are caused by the wrongful act of a third party.</w:t>
      </w:r>
      <w:r w:rsidR="0053669E" w:rsidRPr="00E14D8C">
        <w:rPr>
          <w:lang w:val="en-US"/>
        </w:rPr>
        <w:t xml:space="preserve"> </w:t>
      </w:r>
      <w:r w:rsidR="009840D3" w:rsidRPr="00E14D8C">
        <w:rPr>
          <w:lang w:val="en-US"/>
        </w:rPr>
        <w:t>Such harm, being attributable to producers of such vehicles</w:t>
      </w:r>
      <w:r w:rsidR="00F769C7" w:rsidRPr="00E14D8C">
        <w:rPr>
          <w:lang w:val="en-US"/>
        </w:rPr>
        <w:t>,</w:t>
      </w:r>
      <w:r w:rsidR="009840D3" w:rsidRPr="00E14D8C">
        <w:rPr>
          <w:lang w:val="en-US"/>
        </w:rPr>
        <w:t xml:space="preserve"> would, in turn, be regulated under the principles of product liability under the CPA</w:t>
      </w:r>
      <w:r w:rsidR="00904068" w:rsidRPr="00E14D8C">
        <w:rPr>
          <w:lang w:val="en-US"/>
        </w:rPr>
        <w:t>A</w:t>
      </w:r>
      <w:r w:rsidR="00F769C7" w:rsidRPr="00E14D8C">
        <w:rPr>
          <w:lang w:val="en-US"/>
        </w:rPr>
        <w:t>,</w:t>
      </w:r>
      <w:r w:rsidR="00AF310F" w:rsidRPr="00E14D8C">
        <w:rPr>
          <w:lang w:val="en-US"/>
        </w:rPr>
        <w:t xml:space="preserve"> thus</w:t>
      </w:r>
      <w:r w:rsidR="00C960FC" w:rsidRPr="00E14D8C">
        <w:rPr>
          <w:lang w:val="en-US"/>
        </w:rPr>
        <w:t>,</w:t>
      </w:r>
      <w:r w:rsidR="00AF310F" w:rsidRPr="00E14D8C">
        <w:rPr>
          <w:lang w:val="en-US"/>
        </w:rPr>
        <w:t xml:space="preserve"> obligating </w:t>
      </w:r>
      <w:r w:rsidR="009840D3" w:rsidRPr="00E14D8C">
        <w:rPr>
          <w:lang w:val="en-US"/>
        </w:rPr>
        <w:t xml:space="preserve">victims </w:t>
      </w:r>
      <w:r w:rsidR="00F769C7" w:rsidRPr="00E14D8C">
        <w:rPr>
          <w:lang w:val="en-US"/>
        </w:rPr>
        <w:t>to initiate proceedings against such wrongdoers directly</w:t>
      </w:r>
      <w:r w:rsidR="009840D3" w:rsidRPr="00E14D8C">
        <w:rPr>
          <w:lang w:val="en-US"/>
        </w:rPr>
        <w:t>.</w:t>
      </w:r>
      <w:r w:rsidR="00882309" w:rsidRPr="00E14D8C">
        <w:rPr>
          <w:rStyle w:val="FootnoteReference"/>
          <w:lang w:val="en-US"/>
        </w:rPr>
        <w:footnoteReference w:id="202"/>
      </w:r>
    </w:p>
    <w:p w14:paraId="2D36F474" w14:textId="77777777" w:rsidR="000C54E3" w:rsidRPr="00E14D8C" w:rsidRDefault="000C54E3" w:rsidP="00D83878">
      <w:pPr>
        <w:spacing w:line="360" w:lineRule="auto"/>
        <w:jc w:val="both"/>
        <w:rPr>
          <w:lang w:val="en-US"/>
        </w:rPr>
      </w:pPr>
    </w:p>
    <w:p w14:paraId="54A37E12" w14:textId="7EA0BA09" w:rsidR="007D4BF1" w:rsidRPr="00E14D8C" w:rsidRDefault="007D4BF1" w:rsidP="00D83878">
      <w:pPr>
        <w:spacing w:line="360" w:lineRule="auto"/>
        <w:jc w:val="both"/>
        <w:rPr>
          <w:lang w:val="en-US"/>
        </w:rPr>
      </w:pPr>
      <w:r w:rsidRPr="00E14D8C">
        <w:rPr>
          <w:lang w:val="en-US"/>
        </w:rPr>
        <w:t>iii.</w:t>
      </w:r>
      <w:r w:rsidR="0053669E" w:rsidRPr="00E14D8C">
        <w:rPr>
          <w:lang w:val="en-US"/>
        </w:rPr>
        <w:t xml:space="preserve"> </w:t>
      </w:r>
      <w:r w:rsidR="005051F1" w:rsidRPr="00E14D8C">
        <w:rPr>
          <w:lang w:val="en-US"/>
        </w:rPr>
        <w:t>t</w:t>
      </w:r>
      <w:r w:rsidR="00950E40" w:rsidRPr="00E14D8C">
        <w:rPr>
          <w:lang w:val="en-US"/>
        </w:rPr>
        <w:t xml:space="preserve">he </w:t>
      </w:r>
      <w:r w:rsidR="006B36D1" w:rsidRPr="00E14D8C">
        <w:rPr>
          <w:lang w:val="en-US"/>
        </w:rPr>
        <w:t xml:space="preserve">aggrieved </w:t>
      </w:r>
      <w:r w:rsidR="0041674D" w:rsidRPr="00E14D8C">
        <w:rPr>
          <w:lang w:val="en-US"/>
        </w:rPr>
        <w:t>party’s</w:t>
      </w:r>
      <w:r w:rsidR="006B36D1" w:rsidRPr="00E14D8C">
        <w:rPr>
          <w:lang w:val="en-US"/>
        </w:rPr>
        <w:t xml:space="preserve"> </w:t>
      </w:r>
      <w:r w:rsidR="004D5FA0" w:rsidRPr="00E14D8C">
        <w:rPr>
          <w:lang w:val="en-US"/>
        </w:rPr>
        <w:t>own default</w:t>
      </w:r>
      <w:r w:rsidR="00346DB5" w:rsidRPr="00E14D8C">
        <w:rPr>
          <w:lang w:val="en-US"/>
        </w:rPr>
        <w:t xml:space="preserve"> or</w:t>
      </w:r>
      <w:r w:rsidR="00950E40" w:rsidRPr="00E14D8C">
        <w:rPr>
          <w:lang w:val="en-US"/>
        </w:rPr>
        <w:t xml:space="preserve"> </w:t>
      </w:r>
      <w:r w:rsidR="006B36D1" w:rsidRPr="00E14D8C">
        <w:rPr>
          <w:lang w:val="en-US"/>
        </w:rPr>
        <w:t xml:space="preserve">breach of obligations </w:t>
      </w:r>
      <w:r w:rsidR="00346DB5" w:rsidRPr="00E14D8C">
        <w:rPr>
          <w:lang w:val="en-US"/>
        </w:rPr>
        <w:t>imposed by law</w:t>
      </w:r>
      <w:r w:rsidR="0068534B" w:rsidRPr="00E14D8C">
        <w:rPr>
          <w:lang w:val="en-US"/>
        </w:rPr>
        <w:t>.</w:t>
      </w:r>
      <w:r w:rsidR="00AF2D89" w:rsidRPr="00E14D8C">
        <w:rPr>
          <w:rStyle w:val="FootnoteReference"/>
          <w:lang w:val="en-US"/>
        </w:rPr>
        <w:footnoteReference w:id="203"/>
      </w:r>
      <w:r w:rsidR="000973DB" w:rsidRPr="00E14D8C">
        <w:rPr>
          <w:lang w:val="en-US"/>
        </w:rPr>
        <w:t xml:space="preserve"> </w:t>
      </w:r>
      <w:r w:rsidR="008A32D7" w:rsidRPr="00E14D8C">
        <w:rPr>
          <w:lang w:val="en-US"/>
        </w:rPr>
        <w:t>A</w:t>
      </w:r>
      <w:r w:rsidR="0068534B" w:rsidRPr="00E14D8C">
        <w:rPr>
          <w:lang w:val="en-US"/>
        </w:rPr>
        <w:t>s a general rule,</w:t>
      </w:r>
      <w:r w:rsidR="008A32D7" w:rsidRPr="00E14D8C">
        <w:rPr>
          <w:lang w:val="en-US"/>
        </w:rPr>
        <w:t xml:space="preserve"> aggrieved parties are</w:t>
      </w:r>
      <w:r w:rsidR="0068534B" w:rsidRPr="00E14D8C">
        <w:rPr>
          <w:lang w:val="en-US"/>
        </w:rPr>
        <w:t xml:space="preserve"> disentitled from claiming compensation for any bodily injury or damage to their property </w:t>
      </w:r>
      <w:r w:rsidR="008A32D7" w:rsidRPr="00E14D8C">
        <w:rPr>
          <w:lang w:val="en-US"/>
        </w:rPr>
        <w:t>if it</w:t>
      </w:r>
      <w:r w:rsidR="0068534B" w:rsidRPr="00E14D8C">
        <w:rPr>
          <w:lang w:val="en-US"/>
        </w:rPr>
        <w:t xml:space="preserve"> </w:t>
      </w:r>
      <w:r w:rsidR="00F769C7" w:rsidRPr="00E14D8C">
        <w:rPr>
          <w:lang w:val="en-US"/>
        </w:rPr>
        <w:t>resulted from</w:t>
      </w:r>
      <w:r w:rsidR="0068534B" w:rsidRPr="00E14D8C">
        <w:rPr>
          <w:lang w:val="en-US"/>
        </w:rPr>
        <w:t xml:space="preserve"> </w:t>
      </w:r>
      <w:r w:rsidR="008A32D7" w:rsidRPr="00E14D8C">
        <w:rPr>
          <w:lang w:val="en-US"/>
        </w:rPr>
        <w:t>their</w:t>
      </w:r>
      <w:r w:rsidR="0068534B" w:rsidRPr="00E14D8C">
        <w:rPr>
          <w:lang w:val="en-US"/>
        </w:rPr>
        <w:t xml:space="preserve"> own fault</w:t>
      </w:r>
      <w:r w:rsidR="008A32D7" w:rsidRPr="00E14D8C">
        <w:rPr>
          <w:lang w:val="en-US"/>
        </w:rPr>
        <w:t xml:space="preserve"> -</w:t>
      </w:r>
      <w:r w:rsidR="0068534B" w:rsidRPr="00E14D8C">
        <w:rPr>
          <w:lang w:val="en-US"/>
        </w:rPr>
        <w:t xml:space="preserve"> save in circumstances where the accident was caused by the owner or </w:t>
      </w:r>
      <w:r w:rsidR="0041674D" w:rsidRPr="00E14D8C">
        <w:rPr>
          <w:lang w:val="en-US"/>
        </w:rPr>
        <w:t>driver’s</w:t>
      </w:r>
      <w:r w:rsidR="0068534B" w:rsidRPr="00E14D8C">
        <w:rPr>
          <w:lang w:val="en-US"/>
        </w:rPr>
        <w:t xml:space="preserve"> </w:t>
      </w:r>
      <w:r w:rsidR="000973DB" w:rsidRPr="00E14D8C">
        <w:rPr>
          <w:lang w:val="en-US"/>
        </w:rPr>
        <w:t>fail</w:t>
      </w:r>
      <w:r w:rsidR="0068534B" w:rsidRPr="00E14D8C">
        <w:rPr>
          <w:lang w:val="en-US"/>
        </w:rPr>
        <w:t xml:space="preserve">ure </w:t>
      </w:r>
      <w:r w:rsidR="00F769C7" w:rsidRPr="00E14D8C">
        <w:rPr>
          <w:lang w:val="en-US"/>
        </w:rPr>
        <w:t>to fulfil a duty on its part simultaneously</w:t>
      </w:r>
      <w:r w:rsidR="00D3393D" w:rsidRPr="00E14D8C">
        <w:rPr>
          <w:lang w:val="en-US"/>
        </w:rPr>
        <w:t>.</w:t>
      </w:r>
      <w:r w:rsidR="00AF2D89" w:rsidRPr="00E14D8C">
        <w:rPr>
          <w:rStyle w:val="FootnoteReference"/>
          <w:lang w:val="en-US"/>
        </w:rPr>
        <w:footnoteReference w:id="204"/>
      </w:r>
      <w:r w:rsidR="00D3393D" w:rsidRPr="00E14D8C">
        <w:rPr>
          <w:lang w:val="en-US"/>
        </w:rPr>
        <w:t xml:space="preserve"> </w:t>
      </w:r>
      <w:r w:rsidR="00F769C7" w:rsidRPr="00E14D8C">
        <w:rPr>
          <w:lang w:val="en-US"/>
        </w:rPr>
        <w:t>Therefore, owners</w:t>
      </w:r>
      <w:r w:rsidR="0068534B" w:rsidRPr="00E14D8C">
        <w:rPr>
          <w:lang w:val="en-US"/>
        </w:rPr>
        <w:t xml:space="preserve"> of self-driving cars </w:t>
      </w:r>
      <w:r w:rsidR="008A32D7" w:rsidRPr="00E14D8C">
        <w:rPr>
          <w:lang w:val="en-US"/>
        </w:rPr>
        <w:t xml:space="preserve">could be exempted </w:t>
      </w:r>
      <w:r w:rsidR="00F769C7" w:rsidRPr="00E14D8C">
        <w:rPr>
          <w:lang w:val="en-US"/>
        </w:rPr>
        <w:t>from</w:t>
      </w:r>
      <w:r w:rsidR="0068534B" w:rsidRPr="00E14D8C">
        <w:rPr>
          <w:lang w:val="en-US"/>
        </w:rPr>
        <w:t xml:space="preserve"> their liability under Indian law in situations such as those where the victim has sustained bodily injuries by</w:t>
      </w:r>
      <w:r w:rsidR="000973DB" w:rsidRPr="00E14D8C">
        <w:rPr>
          <w:lang w:val="en-US"/>
        </w:rPr>
        <w:t xml:space="preserve"> </w:t>
      </w:r>
      <w:r w:rsidR="00DF0250" w:rsidRPr="00E14D8C">
        <w:rPr>
          <w:lang w:val="en-US"/>
        </w:rPr>
        <w:t>walking</w:t>
      </w:r>
      <w:r w:rsidR="000973DB" w:rsidRPr="00E14D8C">
        <w:rPr>
          <w:lang w:val="en-US"/>
        </w:rPr>
        <w:t xml:space="preserve"> across a freeway </w:t>
      </w:r>
      <w:r w:rsidR="0068534B" w:rsidRPr="00E14D8C">
        <w:rPr>
          <w:lang w:val="en-US"/>
        </w:rPr>
        <w:t>when prohibited</w:t>
      </w:r>
      <w:r w:rsidR="00F769C7" w:rsidRPr="00E14D8C">
        <w:rPr>
          <w:lang w:val="en-US"/>
        </w:rPr>
        <w:t>. It would be irrelevant</w:t>
      </w:r>
      <w:r w:rsidR="0068534B" w:rsidRPr="00E14D8C">
        <w:rPr>
          <w:lang w:val="en-US"/>
        </w:rPr>
        <w:t xml:space="preserve"> if the incident </w:t>
      </w:r>
      <w:r w:rsidR="00F769C7" w:rsidRPr="00E14D8C">
        <w:rPr>
          <w:lang w:val="en-US"/>
        </w:rPr>
        <w:t>resulted from</w:t>
      </w:r>
      <w:r w:rsidR="0068534B" w:rsidRPr="00E14D8C">
        <w:rPr>
          <w:lang w:val="en-US"/>
        </w:rPr>
        <w:t xml:space="preserve"> </w:t>
      </w:r>
      <w:r w:rsidR="0041674D" w:rsidRPr="00E14D8C">
        <w:rPr>
          <w:lang w:val="en-US"/>
        </w:rPr>
        <w:t>ADS’</w:t>
      </w:r>
      <w:r w:rsidR="0068534B" w:rsidRPr="00E14D8C">
        <w:rPr>
          <w:lang w:val="en-US"/>
        </w:rPr>
        <w:t xml:space="preserve"> failure to automatically </w:t>
      </w:r>
      <w:r w:rsidR="00F769C7" w:rsidRPr="00E14D8C">
        <w:rPr>
          <w:lang w:val="en-US"/>
        </w:rPr>
        <w:t>bring</w:t>
      </w:r>
      <w:r w:rsidR="0068534B" w:rsidRPr="00E14D8C">
        <w:rPr>
          <w:lang w:val="en-US"/>
        </w:rPr>
        <w:t xml:space="preserve"> the vehicle </w:t>
      </w:r>
      <w:r w:rsidR="00F769C7" w:rsidRPr="00E14D8C">
        <w:rPr>
          <w:lang w:val="en-US"/>
        </w:rPr>
        <w:t>to</w:t>
      </w:r>
      <w:r w:rsidR="0068534B" w:rsidRPr="00E14D8C">
        <w:rPr>
          <w:lang w:val="en-US"/>
        </w:rPr>
        <w:t xml:space="preserve"> a minimal risk state to ensure the safety of the pedestrian</w:t>
      </w:r>
      <w:r w:rsidR="000973DB" w:rsidRPr="00E14D8C">
        <w:rPr>
          <w:lang w:val="en-US"/>
        </w:rPr>
        <w:t>.</w:t>
      </w:r>
    </w:p>
    <w:p w14:paraId="10AB306E" w14:textId="77777777" w:rsidR="000C54E3" w:rsidRPr="00E14D8C" w:rsidRDefault="000C54E3" w:rsidP="00D83878">
      <w:pPr>
        <w:spacing w:line="360" w:lineRule="auto"/>
        <w:jc w:val="both"/>
        <w:rPr>
          <w:lang w:val="en-US"/>
        </w:rPr>
      </w:pPr>
    </w:p>
    <w:p w14:paraId="5C96847A" w14:textId="1C0449E3" w:rsidR="00E33A0E" w:rsidRPr="00E14D8C" w:rsidRDefault="007D4BF1" w:rsidP="00D83878">
      <w:pPr>
        <w:spacing w:line="360" w:lineRule="auto"/>
        <w:jc w:val="both"/>
        <w:rPr>
          <w:lang w:val="en-US"/>
        </w:rPr>
      </w:pPr>
      <w:r w:rsidRPr="00E14D8C">
        <w:rPr>
          <w:lang w:val="en-US"/>
        </w:rPr>
        <w:t>iv.</w:t>
      </w:r>
      <w:r w:rsidR="0053669E" w:rsidRPr="00E14D8C">
        <w:rPr>
          <w:lang w:val="en-US"/>
        </w:rPr>
        <w:t xml:space="preserve"> </w:t>
      </w:r>
      <w:r w:rsidR="00C47D73" w:rsidRPr="00E14D8C">
        <w:rPr>
          <w:lang w:val="en-US"/>
        </w:rPr>
        <w:t>the use of the motor vehicle was</w:t>
      </w:r>
      <w:r w:rsidR="006B36D1" w:rsidRPr="00E14D8C">
        <w:rPr>
          <w:lang w:val="en-US"/>
        </w:rPr>
        <w:t xml:space="preserve"> </w:t>
      </w:r>
      <w:r w:rsidR="004D5FA0" w:rsidRPr="00E14D8C">
        <w:rPr>
          <w:lang w:val="en-US"/>
        </w:rPr>
        <w:t xml:space="preserve">for the common benefit of the </w:t>
      </w:r>
      <w:r w:rsidR="00E627E4" w:rsidRPr="00E14D8C">
        <w:rPr>
          <w:lang w:val="en-US"/>
        </w:rPr>
        <w:t>owner or the driver and the aggrieved party</w:t>
      </w:r>
      <w:r w:rsidR="00346DB5" w:rsidRPr="00E14D8C">
        <w:rPr>
          <w:lang w:val="en-US"/>
        </w:rPr>
        <w:t>.</w:t>
      </w:r>
      <w:r w:rsidR="00AF2D89" w:rsidRPr="00E14D8C">
        <w:rPr>
          <w:rStyle w:val="FootnoteReference"/>
          <w:lang w:val="en-US"/>
        </w:rPr>
        <w:footnoteReference w:id="205"/>
      </w:r>
      <w:r w:rsidR="00E627E4" w:rsidRPr="00E14D8C">
        <w:rPr>
          <w:lang w:val="en-US"/>
        </w:rPr>
        <w:t xml:space="preserve"> </w:t>
      </w:r>
      <w:r w:rsidR="0068534B" w:rsidRPr="00E14D8C">
        <w:rPr>
          <w:lang w:val="en-US"/>
        </w:rPr>
        <w:t xml:space="preserve">The use of any motor vehicle as public transport, rent or hire is construed to be for the common benefit of the parties insofar as it confers an economic advantage on the </w:t>
      </w:r>
      <w:r w:rsidR="0041674D" w:rsidRPr="00E14D8C">
        <w:rPr>
          <w:lang w:val="en-US"/>
        </w:rPr>
        <w:lastRenderedPageBreak/>
        <w:t>‘</w:t>
      </w:r>
      <w:r w:rsidR="0068534B" w:rsidRPr="00E14D8C">
        <w:rPr>
          <w:lang w:val="en-US"/>
        </w:rPr>
        <w:t>keeper</w:t>
      </w:r>
      <w:r w:rsidR="0041674D" w:rsidRPr="00E14D8C">
        <w:rPr>
          <w:lang w:val="en-US"/>
        </w:rPr>
        <w:t>’</w:t>
      </w:r>
      <w:r w:rsidR="0068534B" w:rsidRPr="00E14D8C">
        <w:rPr>
          <w:lang w:val="en-US"/>
        </w:rPr>
        <w:t xml:space="preserve"> and correspondingly enables the user to remain mobile.</w:t>
      </w:r>
      <w:r w:rsidR="0053669E" w:rsidRPr="00E14D8C">
        <w:rPr>
          <w:lang w:val="en-US"/>
        </w:rPr>
        <w:t xml:space="preserve"> </w:t>
      </w:r>
      <w:r w:rsidR="0068534B" w:rsidRPr="00E14D8C">
        <w:rPr>
          <w:lang w:val="en-US"/>
        </w:rPr>
        <w:t xml:space="preserve">Owners and drivers are generally exempt from their liability towards third parties for accidents caused by motor vehicles used for such purposes </w:t>
      </w:r>
      <w:r w:rsidR="00AA5C21" w:rsidRPr="00E14D8C">
        <w:rPr>
          <w:lang w:val="en-US"/>
        </w:rPr>
        <w:t>unless the damage</w:t>
      </w:r>
      <w:r w:rsidR="0068534B" w:rsidRPr="00E14D8C">
        <w:rPr>
          <w:lang w:val="en-US"/>
        </w:rPr>
        <w:t xml:space="preserve"> was due to the negligence of the person in possession of the vehicle at the time of the incident.</w:t>
      </w:r>
      <w:r w:rsidR="0053669E" w:rsidRPr="00E14D8C">
        <w:rPr>
          <w:lang w:val="en-US"/>
        </w:rPr>
        <w:t xml:space="preserve"> </w:t>
      </w:r>
      <w:r w:rsidR="0068534B" w:rsidRPr="00E14D8C">
        <w:rPr>
          <w:lang w:val="en-US"/>
        </w:rPr>
        <w:t xml:space="preserve">The extension of the principle in the determination of liability for accidents caused by </w:t>
      </w:r>
      <w:r w:rsidR="00251847">
        <w:rPr>
          <w:lang w:val="en-US"/>
        </w:rPr>
        <w:t>self-driving</w:t>
      </w:r>
      <w:r w:rsidR="00251847" w:rsidRPr="00E14D8C">
        <w:rPr>
          <w:lang w:val="en-US"/>
        </w:rPr>
        <w:t xml:space="preserve"> </w:t>
      </w:r>
      <w:r w:rsidR="0068534B" w:rsidRPr="00E14D8C">
        <w:rPr>
          <w:lang w:val="en-US"/>
        </w:rPr>
        <w:t>cars would exempt the owners of such vehicles in practically every circumstance where the vehicle is being used for commercial purposes</w:t>
      </w:r>
      <w:r w:rsidR="000C54E3" w:rsidRPr="00E14D8C">
        <w:rPr>
          <w:lang w:val="en-US"/>
        </w:rPr>
        <w:t xml:space="preserve"> insofar as it will be construed to be for the </w:t>
      </w:r>
      <w:r w:rsidR="0041674D" w:rsidRPr="00E14D8C">
        <w:rPr>
          <w:lang w:val="en-US"/>
        </w:rPr>
        <w:t>‘</w:t>
      </w:r>
      <w:r w:rsidR="000C54E3" w:rsidRPr="00E14D8C">
        <w:rPr>
          <w:lang w:val="en-US"/>
        </w:rPr>
        <w:t xml:space="preserve">common benefit of the </w:t>
      </w:r>
      <w:proofErr w:type="gramStart"/>
      <w:r w:rsidR="0041674D" w:rsidRPr="00E14D8C">
        <w:rPr>
          <w:lang w:val="en-US"/>
        </w:rPr>
        <w:t>parties’</w:t>
      </w:r>
      <w:proofErr w:type="gramEnd"/>
      <w:r w:rsidR="0068534B" w:rsidRPr="00E14D8C">
        <w:rPr>
          <w:lang w:val="en-US"/>
        </w:rPr>
        <w:t>.</w:t>
      </w:r>
    </w:p>
    <w:p w14:paraId="5E077705" w14:textId="77777777" w:rsidR="00C05C2B" w:rsidRPr="00E14D8C" w:rsidRDefault="00C05C2B" w:rsidP="00D83878">
      <w:pPr>
        <w:spacing w:line="360" w:lineRule="auto"/>
        <w:jc w:val="both"/>
        <w:rPr>
          <w:lang w:val="en-US"/>
        </w:rPr>
      </w:pPr>
    </w:p>
    <w:p w14:paraId="0A0B278F" w14:textId="0A705CE8" w:rsidR="007D4BF1" w:rsidRPr="00E14D8C" w:rsidRDefault="00E33A0E" w:rsidP="00D83878">
      <w:pPr>
        <w:spacing w:line="360" w:lineRule="auto"/>
        <w:jc w:val="both"/>
        <w:rPr>
          <w:lang w:val="en-US"/>
        </w:rPr>
      </w:pPr>
      <w:r w:rsidRPr="00E14D8C">
        <w:rPr>
          <w:lang w:val="en-US"/>
        </w:rPr>
        <w:t>v.</w:t>
      </w:r>
      <w:r w:rsidR="0053669E" w:rsidRPr="00E14D8C">
        <w:rPr>
          <w:lang w:val="en-US"/>
        </w:rPr>
        <w:t xml:space="preserve"> </w:t>
      </w:r>
      <w:r w:rsidRPr="00E14D8C">
        <w:rPr>
          <w:lang w:val="en-US"/>
        </w:rPr>
        <w:t xml:space="preserve">the </w:t>
      </w:r>
      <w:r w:rsidR="00E627E4" w:rsidRPr="00E14D8C">
        <w:rPr>
          <w:lang w:val="en-US"/>
        </w:rPr>
        <w:t>injured party had</w:t>
      </w:r>
      <w:r w:rsidRPr="00E14D8C">
        <w:rPr>
          <w:lang w:val="en-US"/>
        </w:rPr>
        <w:t xml:space="preserve"> consented to the damage</w:t>
      </w:r>
      <w:r w:rsidR="00E627E4" w:rsidRPr="00E14D8C">
        <w:rPr>
          <w:lang w:val="en-US"/>
        </w:rPr>
        <w:t>.</w:t>
      </w:r>
      <w:r w:rsidR="00AF2D89" w:rsidRPr="00E14D8C">
        <w:rPr>
          <w:rStyle w:val="FootnoteReference"/>
          <w:lang w:val="en-US"/>
        </w:rPr>
        <w:footnoteReference w:id="206"/>
      </w:r>
      <w:r w:rsidR="00BB330B" w:rsidRPr="00E14D8C">
        <w:rPr>
          <w:lang w:val="en-US"/>
        </w:rPr>
        <w:t xml:space="preserve"> </w:t>
      </w:r>
      <w:r w:rsidR="00C05C2B" w:rsidRPr="00E14D8C">
        <w:rPr>
          <w:lang w:val="en-US"/>
        </w:rPr>
        <w:t xml:space="preserve">The principle of </w:t>
      </w:r>
      <w:proofErr w:type="spellStart"/>
      <w:r w:rsidR="00C05C2B" w:rsidRPr="00E14D8C">
        <w:rPr>
          <w:i/>
          <w:lang w:val="en-US"/>
        </w:rPr>
        <w:t>volenti</w:t>
      </w:r>
      <w:proofErr w:type="spellEnd"/>
      <w:r w:rsidR="00C05C2B" w:rsidRPr="00E14D8C">
        <w:rPr>
          <w:i/>
          <w:lang w:val="en-US"/>
        </w:rPr>
        <w:t xml:space="preserve"> non-fit injuria</w:t>
      </w:r>
      <w:r w:rsidR="00C05C2B" w:rsidRPr="00E14D8C">
        <w:rPr>
          <w:lang w:val="en-US"/>
        </w:rPr>
        <w:t xml:space="preserve"> generally disentitles v</w:t>
      </w:r>
      <w:r w:rsidR="00E627E4" w:rsidRPr="00E14D8C">
        <w:rPr>
          <w:lang w:val="en-US"/>
        </w:rPr>
        <w:t>ictims of tortious acts from claiming compensation</w:t>
      </w:r>
      <w:r w:rsidRPr="00E14D8C">
        <w:rPr>
          <w:lang w:val="en-US"/>
        </w:rPr>
        <w:t xml:space="preserve"> for any injuries </w:t>
      </w:r>
      <w:r w:rsidR="00E627E4" w:rsidRPr="00E14D8C">
        <w:rPr>
          <w:lang w:val="en-US"/>
        </w:rPr>
        <w:t xml:space="preserve">that they may have </w:t>
      </w:r>
      <w:r w:rsidRPr="00E14D8C">
        <w:rPr>
          <w:lang w:val="en-US"/>
        </w:rPr>
        <w:t xml:space="preserve">sustained </w:t>
      </w:r>
      <w:r w:rsidR="00E627E4" w:rsidRPr="00E14D8C">
        <w:rPr>
          <w:lang w:val="en-US"/>
        </w:rPr>
        <w:t>after</w:t>
      </w:r>
      <w:r w:rsidRPr="00E14D8C">
        <w:rPr>
          <w:lang w:val="en-US"/>
        </w:rPr>
        <w:t xml:space="preserve"> they have consented to </w:t>
      </w:r>
      <w:r w:rsidR="002F2901" w:rsidRPr="00E14D8C">
        <w:rPr>
          <w:lang w:val="en-US"/>
        </w:rPr>
        <w:t>its</w:t>
      </w:r>
      <w:r w:rsidRPr="00E14D8C">
        <w:rPr>
          <w:lang w:val="en-US"/>
        </w:rPr>
        <w:t xml:space="preserve"> occurrence.</w:t>
      </w:r>
      <w:r w:rsidR="00F13BF4" w:rsidRPr="00E14D8C">
        <w:rPr>
          <w:rStyle w:val="FootnoteReference"/>
          <w:lang w:val="en-US"/>
        </w:rPr>
        <w:footnoteReference w:id="207"/>
      </w:r>
      <w:r w:rsidRPr="00E14D8C">
        <w:rPr>
          <w:lang w:val="en-US"/>
        </w:rPr>
        <w:t xml:space="preserve"> </w:t>
      </w:r>
      <w:r w:rsidR="00F769C7" w:rsidRPr="00E14D8C">
        <w:rPr>
          <w:lang w:val="en-US"/>
        </w:rPr>
        <w:t>Therefore, o</w:t>
      </w:r>
      <w:r w:rsidR="00E627E4" w:rsidRPr="00E14D8C">
        <w:rPr>
          <w:lang w:val="en-US"/>
        </w:rPr>
        <w:t xml:space="preserve">wners of motor vehicles </w:t>
      </w:r>
      <w:r w:rsidR="00E03FA8" w:rsidRPr="00E14D8C">
        <w:rPr>
          <w:lang w:val="en-US"/>
        </w:rPr>
        <w:t xml:space="preserve">such as </w:t>
      </w:r>
      <w:r w:rsidR="00251847">
        <w:rPr>
          <w:lang w:val="en-US"/>
        </w:rPr>
        <w:t>self-driving</w:t>
      </w:r>
      <w:r w:rsidR="00251847" w:rsidRPr="00E14D8C">
        <w:rPr>
          <w:lang w:val="en-US"/>
        </w:rPr>
        <w:t xml:space="preserve"> </w:t>
      </w:r>
      <w:r w:rsidR="00E03FA8" w:rsidRPr="00E14D8C">
        <w:rPr>
          <w:lang w:val="en-US"/>
        </w:rPr>
        <w:t>cars c</w:t>
      </w:r>
      <w:r w:rsidR="00E627E4" w:rsidRPr="00E14D8C">
        <w:rPr>
          <w:lang w:val="en-US"/>
        </w:rPr>
        <w:t>ould</w:t>
      </w:r>
      <w:r w:rsidR="00F769C7" w:rsidRPr="00E14D8C">
        <w:rPr>
          <w:lang w:val="en-US"/>
        </w:rPr>
        <w:t xml:space="preserve"> </w:t>
      </w:r>
      <w:r w:rsidR="00E627E4" w:rsidRPr="00E14D8C">
        <w:rPr>
          <w:lang w:val="en-US"/>
        </w:rPr>
        <w:t xml:space="preserve">be exempted </w:t>
      </w:r>
      <w:r w:rsidR="00F769C7" w:rsidRPr="00E14D8C">
        <w:rPr>
          <w:lang w:val="en-US"/>
        </w:rPr>
        <w:t>from</w:t>
      </w:r>
      <w:r w:rsidR="00E627E4" w:rsidRPr="00E14D8C">
        <w:rPr>
          <w:lang w:val="en-US"/>
        </w:rPr>
        <w:t xml:space="preserve"> their liability towards drivers </w:t>
      </w:r>
      <w:r w:rsidR="00ED3C4C" w:rsidRPr="00E14D8C">
        <w:rPr>
          <w:lang w:val="en-US"/>
        </w:rPr>
        <w:t>for any injury that is not fatal at racing events such as the Grand Prix</w:t>
      </w:r>
      <w:r w:rsidR="00E627E4" w:rsidRPr="00E14D8C">
        <w:rPr>
          <w:lang w:val="en-US"/>
        </w:rPr>
        <w:t xml:space="preserve"> </w:t>
      </w:r>
      <w:r w:rsidR="00ED3C4C" w:rsidRPr="00E14D8C">
        <w:rPr>
          <w:lang w:val="en-US"/>
        </w:rPr>
        <w:t xml:space="preserve">insofar as the latter would be construed to have consented to the same. </w:t>
      </w:r>
    </w:p>
    <w:p w14:paraId="7FB7CE5A" w14:textId="77777777" w:rsidR="00C05C2B" w:rsidRPr="00E14D8C" w:rsidRDefault="00C05C2B" w:rsidP="00D83878">
      <w:pPr>
        <w:spacing w:line="360" w:lineRule="auto"/>
        <w:jc w:val="both"/>
        <w:rPr>
          <w:lang w:val="en-US"/>
        </w:rPr>
      </w:pPr>
    </w:p>
    <w:p w14:paraId="79B812BA" w14:textId="536F818B" w:rsidR="007D4BF1" w:rsidRPr="00E14D8C" w:rsidRDefault="007D4BF1" w:rsidP="00D83878">
      <w:pPr>
        <w:spacing w:line="360" w:lineRule="auto"/>
        <w:jc w:val="both"/>
        <w:rPr>
          <w:lang w:val="en-US"/>
        </w:rPr>
      </w:pPr>
      <w:r w:rsidRPr="00E14D8C">
        <w:rPr>
          <w:lang w:val="en-US"/>
        </w:rPr>
        <w:t>v</w:t>
      </w:r>
      <w:r w:rsidR="006E49C3" w:rsidRPr="00E14D8C">
        <w:rPr>
          <w:lang w:val="en-US"/>
        </w:rPr>
        <w:t>i</w:t>
      </w:r>
      <w:r w:rsidRPr="00E14D8C">
        <w:rPr>
          <w:lang w:val="en-US"/>
        </w:rPr>
        <w:t>.</w:t>
      </w:r>
      <w:r w:rsidR="0053669E" w:rsidRPr="00E14D8C">
        <w:rPr>
          <w:lang w:val="en-US"/>
        </w:rPr>
        <w:t xml:space="preserve"> </w:t>
      </w:r>
      <w:r w:rsidR="00C47D73" w:rsidRPr="00E14D8C">
        <w:rPr>
          <w:lang w:val="en-US"/>
        </w:rPr>
        <w:t>the motor vehicle was being operated</w:t>
      </w:r>
      <w:r w:rsidR="006E49C3" w:rsidRPr="00E14D8C">
        <w:rPr>
          <w:lang w:val="en-US"/>
        </w:rPr>
        <w:t xml:space="preserve"> under a statutory duty</w:t>
      </w:r>
      <w:r w:rsidR="008A32D7" w:rsidRPr="00E14D8C">
        <w:rPr>
          <w:lang w:val="en-US"/>
        </w:rPr>
        <w:t>.</w:t>
      </w:r>
      <w:r w:rsidR="007A0603" w:rsidRPr="00E14D8C">
        <w:rPr>
          <w:rStyle w:val="FootnoteReference"/>
          <w:lang w:val="en-US"/>
        </w:rPr>
        <w:footnoteReference w:id="208"/>
      </w:r>
      <w:r w:rsidR="00346DB5" w:rsidRPr="00E14D8C">
        <w:rPr>
          <w:lang w:val="en-US"/>
        </w:rPr>
        <w:t xml:space="preserve"> </w:t>
      </w:r>
      <w:r w:rsidR="008A32D7" w:rsidRPr="00E14D8C">
        <w:rPr>
          <w:lang w:val="en-US"/>
        </w:rPr>
        <w:t xml:space="preserve"> Any use of a </w:t>
      </w:r>
      <w:r w:rsidR="00251847">
        <w:rPr>
          <w:lang w:val="en-US"/>
        </w:rPr>
        <w:t>self-driving</w:t>
      </w:r>
      <w:r w:rsidR="00251847" w:rsidRPr="00E14D8C">
        <w:rPr>
          <w:lang w:val="en-US"/>
        </w:rPr>
        <w:t xml:space="preserve"> </w:t>
      </w:r>
      <w:r w:rsidR="0042563E" w:rsidRPr="00E14D8C">
        <w:rPr>
          <w:lang w:val="en-US"/>
        </w:rPr>
        <w:t>car</w:t>
      </w:r>
      <w:r w:rsidR="008A32D7" w:rsidRPr="00E14D8C">
        <w:rPr>
          <w:lang w:val="en-US"/>
        </w:rPr>
        <w:t xml:space="preserve"> in </w:t>
      </w:r>
      <w:r w:rsidR="00F769C7" w:rsidRPr="00E14D8C">
        <w:rPr>
          <w:lang w:val="en-US"/>
        </w:rPr>
        <w:t xml:space="preserve">the </w:t>
      </w:r>
      <w:r w:rsidR="008A32D7" w:rsidRPr="00E14D8C">
        <w:rPr>
          <w:lang w:val="en-US"/>
        </w:rPr>
        <w:t>discharge of public duty</w:t>
      </w:r>
      <w:r w:rsidR="0042563E" w:rsidRPr="00E14D8C">
        <w:rPr>
          <w:lang w:val="en-US"/>
        </w:rPr>
        <w:t xml:space="preserve">, such as in the form of public transport or an ambulance, </w:t>
      </w:r>
      <w:r w:rsidR="008A32D7" w:rsidRPr="00E14D8C">
        <w:rPr>
          <w:lang w:val="en-US"/>
        </w:rPr>
        <w:t xml:space="preserve">is sufficient to discharge owners or their liability towards any person for any harm – provided </w:t>
      </w:r>
      <w:r w:rsidR="0042563E" w:rsidRPr="00E14D8C">
        <w:rPr>
          <w:lang w:val="en-US"/>
        </w:rPr>
        <w:t>that it was not being driven negligently at the time of the accident.</w:t>
      </w:r>
      <w:r w:rsidR="0042563E" w:rsidRPr="00E14D8C">
        <w:rPr>
          <w:rStyle w:val="FootnoteReference"/>
          <w:lang w:val="en-US"/>
        </w:rPr>
        <w:footnoteReference w:id="209"/>
      </w:r>
      <w:r w:rsidR="0042563E" w:rsidRPr="00E14D8C">
        <w:rPr>
          <w:lang w:val="en-US"/>
        </w:rPr>
        <w:t xml:space="preserve"> </w:t>
      </w:r>
    </w:p>
    <w:p w14:paraId="39E856EA" w14:textId="215B1CDC" w:rsidR="00C11E5D" w:rsidRPr="00E14D8C" w:rsidRDefault="00C11E5D" w:rsidP="00D83878">
      <w:pPr>
        <w:spacing w:line="360" w:lineRule="auto"/>
        <w:jc w:val="both"/>
        <w:rPr>
          <w:lang w:val="en-US"/>
        </w:rPr>
      </w:pPr>
    </w:p>
    <w:p w14:paraId="3F6EF332" w14:textId="5151AD1D" w:rsidR="00C11E5D" w:rsidRPr="00E14D8C" w:rsidRDefault="00F02271" w:rsidP="00D83878">
      <w:pPr>
        <w:spacing w:line="360" w:lineRule="auto"/>
        <w:jc w:val="both"/>
        <w:rPr>
          <w:b/>
          <w:lang w:val="en-US"/>
        </w:rPr>
      </w:pPr>
      <w:r w:rsidRPr="00E14D8C">
        <w:rPr>
          <w:b/>
          <w:lang w:val="en-US"/>
        </w:rPr>
        <w:t xml:space="preserve">3.4.3. </w:t>
      </w:r>
      <w:r w:rsidR="00E14D8C" w:rsidRPr="00E14D8C">
        <w:rPr>
          <w:b/>
          <w:lang w:val="en-US"/>
        </w:rPr>
        <w:t xml:space="preserve">  </w:t>
      </w:r>
      <w:r w:rsidR="00C11E5D" w:rsidRPr="00E14D8C">
        <w:rPr>
          <w:b/>
          <w:lang w:val="en-US"/>
        </w:rPr>
        <w:t xml:space="preserve">Liability for Other Injuries </w:t>
      </w:r>
      <w:r w:rsidR="005A45AD" w:rsidRPr="00E14D8C">
        <w:rPr>
          <w:b/>
          <w:lang w:val="en-US"/>
        </w:rPr>
        <w:t xml:space="preserve">that are </w:t>
      </w:r>
      <w:r w:rsidR="00C11E5D" w:rsidRPr="00E14D8C">
        <w:rPr>
          <w:b/>
          <w:lang w:val="en-US"/>
        </w:rPr>
        <w:t>not Sustained through Road Accidents</w:t>
      </w:r>
    </w:p>
    <w:p w14:paraId="73063FFE" w14:textId="0855468A" w:rsidR="00C70DBA" w:rsidRPr="00E14D8C" w:rsidRDefault="003B41E5" w:rsidP="00D83878">
      <w:pPr>
        <w:spacing w:line="360" w:lineRule="auto"/>
        <w:jc w:val="both"/>
        <w:rPr>
          <w:lang w:val="en-US"/>
        </w:rPr>
      </w:pPr>
      <w:r w:rsidRPr="00E14D8C">
        <w:rPr>
          <w:lang w:val="en-US"/>
        </w:rPr>
        <w:t>Being designed to traditionally regulate conventional motor vehicles, the provisions of the MVA, as indicated above, do not prescribe the mechanism to determine the liability for injuries that are not a result of a road accident</w:t>
      </w:r>
      <w:r w:rsidR="00F769C7" w:rsidRPr="00E14D8C">
        <w:rPr>
          <w:lang w:val="en-US"/>
        </w:rPr>
        <w:t xml:space="preserve"> </w:t>
      </w:r>
      <w:r w:rsidR="00F769C7" w:rsidRPr="00E14D8C">
        <w:rPr>
          <w:lang w:val="en-US"/>
        </w:rPr>
        <w:t>but are, nonetheless, attributable to the use of a motor vehicle</w:t>
      </w:r>
      <w:r w:rsidR="00F769C7" w:rsidRPr="00E14D8C">
        <w:rPr>
          <w:lang w:val="en-US"/>
        </w:rPr>
        <w:t>.</w:t>
      </w:r>
      <w:r w:rsidRPr="00E14D8C">
        <w:rPr>
          <w:lang w:val="en-US"/>
        </w:rPr>
        <w:t xml:space="preserve"> </w:t>
      </w:r>
      <w:r w:rsidR="00F769C7" w:rsidRPr="00E14D8C">
        <w:rPr>
          <w:lang w:val="en-US"/>
        </w:rPr>
        <w:t>T</w:t>
      </w:r>
      <w:r w:rsidRPr="00E14D8C">
        <w:rPr>
          <w:lang w:val="en-US"/>
        </w:rPr>
        <w:t xml:space="preserve">he infringement of any </w:t>
      </w:r>
      <w:r w:rsidR="0041674D" w:rsidRPr="00E14D8C">
        <w:rPr>
          <w:lang w:val="en-US"/>
        </w:rPr>
        <w:t>person’s</w:t>
      </w:r>
      <w:r w:rsidRPr="00E14D8C">
        <w:rPr>
          <w:lang w:val="en-US"/>
        </w:rPr>
        <w:t xml:space="preserve"> privacy </w:t>
      </w:r>
      <w:r w:rsidR="00F769C7" w:rsidRPr="00E14D8C">
        <w:rPr>
          <w:lang w:val="en-US"/>
        </w:rPr>
        <w:t>is an example of such damage</w:t>
      </w:r>
      <w:r w:rsidRPr="00E14D8C">
        <w:rPr>
          <w:lang w:val="en-US"/>
        </w:rPr>
        <w:t>.</w:t>
      </w:r>
      <w:r w:rsidR="0053669E" w:rsidRPr="00E14D8C">
        <w:rPr>
          <w:lang w:val="en-US"/>
        </w:rPr>
        <w:t xml:space="preserve"> </w:t>
      </w:r>
      <w:r w:rsidR="006E7745" w:rsidRPr="00E14D8C">
        <w:rPr>
          <w:lang w:val="en-US"/>
        </w:rPr>
        <w:t xml:space="preserve">The operation of </w:t>
      </w:r>
      <w:r w:rsidR="00251847">
        <w:rPr>
          <w:lang w:val="en-US"/>
        </w:rPr>
        <w:t>self-driving</w:t>
      </w:r>
      <w:r w:rsidR="00251847" w:rsidRPr="00E14D8C">
        <w:rPr>
          <w:lang w:val="en-US"/>
        </w:rPr>
        <w:t xml:space="preserve"> </w:t>
      </w:r>
      <w:r w:rsidR="006E7745" w:rsidRPr="00E14D8C">
        <w:rPr>
          <w:lang w:val="en-US"/>
        </w:rPr>
        <w:t>cars</w:t>
      </w:r>
      <w:r w:rsidR="006E7745" w:rsidRPr="00E14D8C">
        <w:rPr>
          <w:lang w:val="en-US"/>
        </w:rPr>
        <w:t xml:space="preserve"> involves the collection of significant amounts of personal data from passengers or even other road traffic participants such as pedestrians</w:t>
      </w:r>
      <w:r w:rsidR="006E7745" w:rsidRPr="00E14D8C">
        <w:rPr>
          <w:lang w:val="en-US"/>
        </w:rPr>
        <w:t>,</w:t>
      </w:r>
      <w:r w:rsidR="006E7745" w:rsidRPr="00E14D8C">
        <w:rPr>
          <w:lang w:val="en-US"/>
        </w:rPr>
        <w:t xml:space="preserve"> thus, imposing considerable threats to the privacy of such persons</w:t>
      </w:r>
      <w:r w:rsidR="006E7745" w:rsidRPr="00E14D8C">
        <w:rPr>
          <w:lang w:val="en-US"/>
        </w:rPr>
        <w:t>. Therefore, data protection</w:t>
      </w:r>
      <w:r w:rsidR="00C70DBA" w:rsidRPr="00E14D8C">
        <w:rPr>
          <w:lang w:val="en-US"/>
        </w:rPr>
        <w:t xml:space="preserve"> forms a pivotal part </w:t>
      </w:r>
      <w:r w:rsidR="006E7745" w:rsidRPr="00E14D8C">
        <w:rPr>
          <w:lang w:val="en-US"/>
        </w:rPr>
        <w:t>of</w:t>
      </w:r>
      <w:r w:rsidR="00C70DBA" w:rsidRPr="00E14D8C">
        <w:rPr>
          <w:lang w:val="en-US"/>
        </w:rPr>
        <w:t xml:space="preserve"> the successful induction of autonomous cars</w:t>
      </w:r>
      <w:r w:rsidR="006E7745" w:rsidRPr="00E14D8C">
        <w:rPr>
          <w:lang w:val="en-US"/>
        </w:rPr>
        <w:t>.</w:t>
      </w:r>
      <w:r w:rsidR="00C70DBA" w:rsidRPr="00E14D8C">
        <w:rPr>
          <w:lang w:val="en-US"/>
        </w:rPr>
        <w:t xml:space="preserve"> Research demonstrates Indians to be </w:t>
      </w:r>
      <w:r w:rsidR="00C70DBA" w:rsidRPr="00E14D8C">
        <w:rPr>
          <w:lang w:val="en-US"/>
        </w:rPr>
        <w:lastRenderedPageBreak/>
        <w:t xml:space="preserve">among the most </w:t>
      </w:r>
      <w:r w:rsidR="00986B65" w:rsidRPr="00E14D8C">
        <w:rPr>
          <w:lang w:val="en-US"/>
        </w:rPr>
        <w:t>skeptical</w:t>
      </w:r>
      <w:r w:rsidR="00C70DBA" w:rsidRPr="00E14D8C">
        <w:rPr>
          <w:lang w:val="en-US"/>
        </w:rPr>
        <w:t xml:space="preserve"> about the concept of autonomous cars capturing and sharing </w:t>
      </w:r>
      <w:r w:rsidRPr="00E14D8C">
        <w:rPr>
          <w:lang w:val="en-US"/>
        </w:rPr>
        <w:t xml:space="preserve">personal information such as </w:t>
      </w:r>
      <w:r w:rsidR="00C70DBA" w:rsidRPr="00E14D8C">
        <w:rPr>
          <w:lang w:val="en-US"/>
        </w:rPr>
        <w:t xml:space="preserve">biometric data with external participants </w:t>
      </w:r>
      <w:r w:rsidR="00F769C7" w:rsidRPr="00E14D8C">
        <w:rPr>
          <w:lang w:val="en-US"/>
        </w:rPr>
        <w:t>such as</w:t>
      </w:r>
      <w:r w:rsidR="00C70DBA" w:rsidRPr="00E14D8C">
        <w:rPr>
          <w:lang w:val="en-US"/>
        </w:rPr>
        <w:t xml:space="preserve"> manufacturers, dealers, owners, insurance companies and other third parties</w:t>
      </w:r>
      <w:r w:rsidR="00F769C7" w:rsidRPr="00E14D8C">
        <w:rPr>
          <w:lang w:val="en-US"/>
        </w:rPr>
        <w:t>.</w:t>
      </w:r>
      <w:r w:rsidR="00F769C7" w:rsidRPr="00E14D8C">
        <w:rPr>
          <w:rStyle w:val="FootnoteReference"/>
          <w:lang w:val="en-US"/>
        </w:rPr>
        <w:footnoteReference w:id="210"/>
      </w:r>
      <w:r w:rsidR="00C70DBA" w:rsidRPr="00E14D8C">
        <w:rPr>
          <w:lang w:val="en-US"/>
        </w:rPr>
        <w:t xml:space="preserve"> </w:t>
      </w:r>
      <w:r w:rsidR="00F769C7" w:rsidRPr="00E14D8C">
        <w:rPr>
          <w:lang w:val="en-US"/>
        </w:rPr>
        <w:t>In comparison, o</w:t>
      </w:r>
      <w:r w:rsidR="00C70DBA" w:rsidRPr="00E14D8C">
        <w:rPr>
          <w:lang w:val="en-US"/>
        </w:rPr>
        <w:t xml:space="preserve">ther jurisdictions such as Germany, the </w:t>
      </w:r>
      <w:r w:rsidR="00F03653">
        <w:rPr>
          <w:lang w:val="en-US"/>
        </w:rPr>
        <w:t>US</w:t>
      </w:r>
      <w:r w:rsidR="00C70DBA" w:rsidRPr="00E14D8C">
        <w:rPr>
          <w:lang w:val="en-US"/>
        </w:rPr>
        <w:t xml:space="preserve">, </w:t>
      </w:r>
      <w:r w:rsidR="00A42FAF" w:rsidRPr="00E14D8C">
        <w:rPr>
          <w:lang w:val="en-US"/>
        </w:rPr>
        <w:t xml:space="preserve">the </w:t>
      </w:r>
      <w:r w:rsidR="00C70DBA" w:rsidRPr="00E14D8C">
        <w:rPr>
          <w:lang w:val="en-US"/>
        </w:rPr>
        <w:t>Republic of Korea, Japan and China have expressed greater confidence in this regard.</w:t>
      </w:r>
      <w:r w:rsidR="00C05C2B" w:rsidRPr="00E14D8C">
        <w:rPr>
          <w:rStyle w:val="FootnoteReference"/>
          <w:lang w:val="en-US"/>
        </w:rPr>
        <w:footnoteReference w:id="211"/>
      </w:r>
      <w:r w:rsidR="00C70DBA" w:rsidRPr="00E14D8C">
        <w:rPr>
          <w:lang w:val="en-US"/>
        </w:rPr>
        <w:t xml:space="preserve"> Much of the </w:t>
      </w:r>
      <w:r w:rsidR="00986B65" w:rsidRPr="00E14D8C">
        <w:rPr>
          <w:lang w:val="en-US"/>
        </w:rPr>
        <w:t>skepticism</w:t>
      </w:r>
      <w:r w:rsidR="00C70DBA" w:rsidRPr="00E14D8C">
        <w:rPr>
          <w:lang w:val="en-US"/>
        </w:rPr>
        <w:t xml:space="preserve"> may be attributable to the issues relating to the underdeveloped enforcement mechanisms concerning the protection of data</w:t>
      </w:r>
      <w:r w:rsidR="00E21E0C" w:rsidRPr="00E14D8C">
        <w:rPr>
          <w:lang w:val="en-US"/>
        </w:rPr>
        <w:t xml:space="preserve"> in India</w:t>
      </w:r>
      <w:r w:rsidR="00C70DBA" w:rsidRPr="00E14D8C">
        <w:rPr>
          <w:lang w:val="en-US"/>
        </w:rPr>
        <w:t>.</w:t>
      </w:r>
    </w:p>
    <w:p w14:paraId="3A52ECE2" w14:textId="2DD872D2" w:rsidR="004F0B44" w:rsidRPr="00E14D8C" w:rsidRDefault="004F0B44" w:rsidP="00D83878">
      <w:pPr>
        <w:spacing w:line="360" w:lineRule="auto"/>
        <w:jc w:val="both"/>
        <w:rPr>
          <w:lang w:val="en-US"/>
        </w:rPr>
      </w:pPr>
      <w:r w:rsidRPr="00E14D8C">
        <w:rPr>
          <w:lang w:val="en-US"/>
        </w:rPr>
        <w:t xml:space="preserve">       </w:t>
      </w:r>
      <w:r w:rsidR="005E4D68" w:rsidRPr="00E14D8C">
        <w:rPr>
          <w:lang w:val="en-US"/>
        </w:rPr>
        <w:t>India lacks a coherent mechanism to regulate concerns and claims</w:t>
      </w:r>
      <w:r w:rsidR="00C959AD" w:rsidRPr="00E14D8C">
        <w:rPr>
          <w:lang w:val="en-US"/>
        </w:rPr>
        <w:t xml:space="preserve"> </w:t>
      </w:r>
      <w:r w:rsidR="008C20A0" w:rsidRPr="00E14D8C">
        <w:rPr>
          <w:lang w:val="en-US"/>
        </w:rPr>
        <w:t>on such matters.</w:t>
      </w:r>
      <w:r w:rsidR="0053669E" w:rsidRPr="00E14D8C">
        <w:rPr>
          <w:lang w:val="en-US"/>
        </w:rPr>
        <w:t xml:space="preserve"> </w:t>
      </w:r>
      <w:r w:rsidR="008C20A0" w:rsidRPr="00E14D8C">
        <w:rPr>
          <w:lang w:val="en-US"/>
        </w:rPr>
        <w:t xml:space="preserve">The </w:t>
      </w:r>
      <w:r w:rsidR="008C20A0" w:rsidRPr="00E14D8C">
        <w:rPr>
          <w:lang w:val="nl-BE"/>
        </w:rPr>
        <w:t>Personal Data Protection Bill 2019 [PDP Bill],</w:t>
      </w:r>
      <w:r w:rsidR="008C20A0" w:rsidRPr="00E14D8C">
        <w:rPr>
          <w:vertAlign w:val="superscript"/>
          <w:lang w:val="nl-BE"/>
        </w:rPr>
        <w:footnoteReference w:id="212"/>
      </w:r>
      <w:r w:rsidR="008C20A0" w:rsidRPr="00E14D8C">
        <w:rPr>
          <w:lang w:val="nl-BE"/>
        </w:rPr>
        <w:t xml:space="preserve"> which is predicated on the European </w:t>
      </w:r>
      <w:r w:rsidR="0041674D" w:rsidRPr="00E14D8C">
        <w:rPr>
          <w:lang w:val="nl-BE"/>
        </w:rPr>
        <w:t>Commission’s</w:t>
      </w:r>
      <w:r w:rsidR="008C20A0" w:rsidRPr="00E14D8C">
        <w:rPr>
          <w:lang w:val="nl-BE"/>
        </w:rPr>
        <w:t xml:space="preserve"> General Data Protection Regulation [GDPR]</w:t>
      </w:r>
      <w:r w:rsidR="008145AD" w:rsidRPr="00E14D8C">
        <w:rPr>
          <w:lang w:val="nl-BE"/>
        </w:rPr>
        <w:t>, has not yet come into force.</w:t>
      </w:r>
      <w:r w:rsidR="0053669E" w:rsidRPr="00E14D8C">
        <w:rPr>
          <w:lang w:val="nl-BE"/>
        </w:rPr>
        <w:t xml:space="preserve"> </w:t>
      </w:r>
      <w:r w:rsidR="008145AD" w:rsidRPr="00E14D8C">
        <w:rPr>
          <w:lang w:val="nl-BE"/>
        </w:rPr>
        <w:t>The Bill</w:t>
      </w:r>
      <w:r w:rsidR="008C20A0" w:rsidRPr="00E14D8C">
        <w:rPr>
          <w:lang w:val="nl-BE"/>
        </w:rPr>
        <w:t xml:space="preserve"> envisages </w:t>
      </w:r>
      <w:r w:rsidR="006E7745" w:rsidRPr="00E14D8C">
        <w:rPr>
          <w:lang w:val="nl-BE"/>
        </w:rPr>
        <w:t>stipulating</w:t>
      </w:r>
      <w:r w:rsidR="008C20A0" w:rsidRPr="00E14D8C">
        <w:rPr>
          <w:lang w:val="nl-BE"/>
        </w:rPr>
        <w:t xml:space="preserve"> coherent rules for the protection of privacy of individuals and the remedies that may be available to such persons when the data has been </w:t>
      </w:r>
      <w:r w:rsidR="006E7745" w:rsidRPr="00E14D8C">
        <w:rPr>
          <w:lang w:val="nl-BE"/>
        </w:rPr>
        <w:t>processed</w:t>
      </w:r>
      <w:r w:rsidR="008C20A0" w:rsidRPr="00E14D8C">
        <w:rPr>
          <w:lang w:val="nl-BE"/>
        </w:rPr>
        <w:t xml:space="preserve"> in an </w:t>
      </w:r>
      <w:r w:rsidR="00F03653">
        <w:rPr>
          <w:lang w:val="nl-BE"/>
        </w:rPr>
        <w:t>unauthorized</w:t>
      </w:r>
      <w:r w:rsidR="008C20A0" w:rsidRPr="00E14D8C">
        <w:rPr>
          <w:lang w:val="nl-BE"/>
        </w:rPr>
        <w:t xml:space="preserve"> or harmful manner.</w:t>
      </w:r>
      <w:r w:rsidR="0053669E" w:rsidRPr="00E14D8C">
        <w:rPr>
          <w:lang w:val="nl-BE"/>
        </w:rPr>
        <w:t xml:space="preserve"> </w:t>
      </w:r>
      <w:r w:rsidR="00A2578E" w:rsidRPr="00E14D8C">
        <w:rPr>
          <w:lang w:val="nl-BE"/>
        </w:rPr>
        <w:t xml:space="preserve">In the meantime, disputes concerning an infringement </w:t>
      </w:r>
      <w:r w:rsidR="006E7745" w:rsidRPr="00E14D8C">
        <w:rPr>
          <w:lang w:val="nl-BE"/>
        </w:rPr>
        <w:t xml:space="preserve">of </w:t>
      </w:r>
      <w:r w:rsidR="00A2578E" w:rsidRPr="00E14D8C">
        <w:rPr>
          <w:lang w:val="nl-BE"/>
        </w:rPr>
        <w:t xml:space="preserve">any </w:t>
      </w:r>
      <w:r w:rsidR="0041674D" w:rsidRPr="00E14D8C">
        <w:rPr>
          <w:lang w:val="nl-BE"/>
        </w:rPr>
        <w:t>person’s</w:t>
      </w:r>
      <w:r w:rsidR="00A2578E" w:rsidRPr="00E14D8C">
        <w:rPr>
          <w:lang w:val="nl-BE"/>
        </w:rPr>
        <w:t xml:space="preserve"> privacy </w:t>
      </w:r>
      <w:r w:rsidR="006E7745" w:rsidRPr="00E14D8C">
        <w:rPr>
          <w:lang w:val="nl-BE"/>
        </w:rPr>
        <w:t>due to</w:t>
      </w:r>
      <w:r w:rsidR="00A2578E" w:rsidRPr="00E14D8C">
        <w:rPr>
          <w:lang w:val="nl-BE"/>
        </w:rPr>
        <w:t xml:space="preserve"> the </w:t>
      </w:r>
      <w:r w:rsidR="006E7745" w:rsidRPr="00E14D8C">
        <w:rPr>
          <w:lang w:val="nl-BE"/>
        </w:rPr>
        <w:t>misappropriation</w:t>
      </w:r>
      <w:r w:rsidR="00A2578E" w:rsidRPr="00E14D8C">
        <w:rPr>
          <w:lang w:val="nl-BE"/>
        </w:rPr>
        <w:t xml:space="preserve"> of data are governed by the general principles of the ITA</w:t>
      </w:r>
      <w:r w:rsidR="000636C2" w:rsidRPr="00E14D8C">
        <w:rPr>
          <w:rStyle w:val="FootnoteReference"/>
          <w:lang w:val="nl-BE"/>
        </w:rPr>
        <w:footnoteReference w:id="213"/>
      </w:r>
      <w:r w:rsidR="00A2578E" w:rsidRPr="00E14D8C">
        <w:rPr>
          <w:lang w:val="nl-BE"/>
        </w:rPr>
        <w:t xml:space="preserve"> </w:t>
      </w:r>
      <w:r w:rsidR="00A2578E" w:rsidRPr="00E14D8C">
        <w:rPr>
          <w:lang w:val="en-US"/>
        </w:rPr>
        <w:t>insofar as they constitute a means of electronic communication and data interchange.</w:t>
      </w:r>
      <w:r w:rsidR="00544951" w:rsidRPr="00E14D8C">
        <w:rPr>
          <w:rStyle w:val="FootnoteReference"/>
          <w:lang w:val="en-US"/>
        </w:rPr>
        <w:footnoteReference w:id="214"/>
      </w:r>
    </w:p>
    <w:p w14:paraId="73576A46" w14:textId="1E406337" w:rsidR="0054328F" w:rsidRPr="00E14D8C" w:rsidRDefault="00A2578E" w:rsidP="00D83878">
      <w:pPr>
        <w:spacing w:line="360" w:lineRule="auto"/>
        <w:jc w:val="both"/>
        <w:rPr>
          <w:lang w:val="en-US"/>
        </w:rPr>
      </w:pPr>
      <w:r w:rsidRPr="00E14D8C">
        <w:rPr>
          <w:lang w:val="en-US"/>
        </w:rPr>
        <w:t xml:space="preserve">      </w:t>
      </w:r>
      <w:r w:rsidR="00312047" w:rsidRPr="00E14D8C">
        <w:rPr>
          <w:lang w:val="en-US"/>
        </w:rPr>
        <w:t>Under the principle</w:t>
      </w:r>
      <w:r w:rsidR="00473225" w:rsidRPr="00E14D8C">
        <w:rPr>
          <w:lang w:val="en-US"/>
        </w:rPr>
        <w:t>s</w:t>
      </w:r>
      <w:r w:rsidR="00312047" w:rsidRPr="00E14D8C">
        <w:rPr>
          <w:lang w:val="en-US"/>
        </w:rPr>
        <w:t xml:space="preserve"> of civil law, t</w:t>
      </w:r>
      <w:r w:rsidRPr="00E14D8C">
        <w:rPr>
          <w:lang w:val="en-US"/>
        </w:rPr>
        <w:t xml:space="preserve">he general </w:t>
      </w:r>
      <w:r w:rsidR="00312047" w:rsidRPr="00E14D8C">
        <w:rPr>
          <w:lang w:val="en-US"/>
        </w:rPr>
        <w:t>duty</w:t>
      </w:r>
      <w:r w:rsidRPr="00E14D8C">
        <w:rPr>
          <w:lang w:val="en-US"/>
        </w:rPr>
        <w:t xml:space="preserve"> to protect any sensitive personal data such as </w:t>
      </w:r>
      <w:r w:rsidRPr="00E14D8C">
        <w:rPr>
          <w:lang w:val="nl-BE"/>
        </w:rPr>
        <w:t>passwords, financial information, health condition, medical records, sexual orientation</w:t>
      </w:r>
      <w:r w:rsidR="00421540" w:rsidRPr="00E14D8C">
        <w:rPr>
          <w:lang w:val="nl-BE"/>
        </w:rPr>
        <w:t xml:space="preserve"> or</w:t>
      </w:r>
      <w:r w:rsidRPr="00E14D8C">
        <w:rPr>
          <w:lang w:val="nl-BE"/>
        </w:rPr>
        <w:t xml:space="preserve"> biometric data</w:t>
      </w:r>
      <w:r w:rsidR="00071BA5" w:rsidRPr="00E14D8C">
        <w:rPr>
          <w:rStyle w:val="FootnoteReference"/>
          <w:lang w:val="nl-BE"/>
        </w:rPr>
        <w:footnoteReference w:id="215"/>
      </w:r>
      <w:r w:rsidRPr="00E14D8C">
        <w:rPr>
          <w:lang w:val="nl-BE"/>
        </w:rPr>
        <w:t xml:space="preserve"> </w:t>
      </w:r>
      <w:r w:rsidR="003B41E5" w:rsidRPr="00E14D8C">
        <w:rPr>
          <w:lang w:val="en-US"/>
        </w:rPr>
        <w:t>rests with</w:t>
      </w:r>
      <w:r w:rsidRPr="00E14D8C">
        <w:rPr>
          <w:lang w:val="en-US"/>
        </w:rPr>
        <w:t xml:space="preserve"> the </w:t>
      </w:r>
      <w:r w:rsidR="0041674D" w:rsidRPr="00E14D8C">
        <w:rPr>
          <w:lang w:val="en-US"/>
        </w:rPr>
        <w:t>‘</w:t>
      </w:r>
      <w:r w:rsidRPr="00E14D8C">
        <w:rPr>
          <w:lang w:val="en-US"/>
        </w:rPr>
        <w:t>body corporate</w:t>
      </w:r>
      <w:r w:rsidR="0041674D" w:rsidRPr="00E14D8C">
        <w:rPr>
          <w:lang w:val="en-US"/>
        </w:rPr>
        <w:t>’</w:t>
      </w:r>
      <w:r w:rsidRPr="00E14D8C">
        <w:rPr>
          <w:lang w:val="en-US"/>
        </w:rPr>
        <w:t xml:space="preserve"> who owns, controls or operates the computer system in which such information is stored.</w:t>
      </w:r>
      <w:r w:rsidR="00C6275E" w:rsidRPr="00E14D8C">
        <w:rPr>
          <w:rStyle w:val="FootnoteReference"/>
          <w:lang w:val="en-US"/>
        </w:rPr>
        <w:footnoteReference w:id="216"/>
      </w:r>
      <w:r w:rsidRPr="00E14D8C">
        <w:rPr>
          <w:lang w:val="en-US"/>
        </w:rPr>
        <w:t xml:space="preserve"> </w:t>
      </w:r>
      <w:r w:rsidR="006E7745" w:rsidRPr="00E14D8C">
        <w:rPr>
          <w:lang w:val="en-US"/>
        </w:rPr>
        <w:t>Consequently, body corporates are</w:t>
      </w:r>
      <w:r w:rsidR="0054328F" w:rsidRPr="00E14D8C">
        <w:rPr>
          <w:lang w:val="en-US"/>
        </w:rPr>
        <w:t xml:space="preserve"> obligated to maintain and implement </w:t>
      </w:r>
      <w:r w:rsidR="0041674D" w:rsidRPr="00E14D8C">
        <w:rPr>
          <w:lang w:val="en-US"/>
        </w:rPr>
        <w:t>‘</w:t>
      </w:r>
      <w:r w:rsidR="0054328F" w:rsidRPr="00E14D8C">
        <w:rPr>
          <w:lang w:val="en-US"/>
        </w:rPr>
        <w:t>reasonable security practices and procedures</w:t>
      </w:r>
      <w:r w:rsidR="0041674D" w:rsidRPr="00E14D8C">
        <w:rPr>
          <w:lang w:val="en-US"/>
        </w:rPr>
        <w:t>’</w:t>
      </w:r>
      <w:r w:rsidR="0054328F" w:rsidRPr="00E14D8C">
        <w:rPr>
          <w:lang w:val="en-US"/>
        </w:rPr>
        <w:t xml:space="preserve"> as agreed between the parties or any law in India to protect the </w:t>
      </w:r>
      <w:r w:rsidR="00F03653">
        <w:rPr>
          <w:lang w:val="en-US"/>
        </w:rPr>
        <w:t>unauthorized</w:t>
      </w:r>
      <w:r w:rsidR="0054328F" w:rsidRPr="00E14D8C">
        <w:rPr>
          <w:lang w:val="en-US"/>
        </w:rPr>
        <w:t xml:space="preserve"> access, damage, use, modification, disclosure or impairment of the data.</w:t>
      </w:r>
      <w:r w:rsidR="0054328F" w:rsidRPr="00E14D8C">
        <w:rPr>
          <w:rStyle w:val="FootnoteReference"/>
          <w:lang w:val="en-US"/>
        </w:rPr>
        <w:footnoteReference w:id="217"/>
      </w:r>
      <w:r w:rsidR="0054328F" w:rsidRPr="00E14D8C">
        <w:rPr>
          <w:lang w:val="en-US"/>
        </w:rPr>
        <w:t xml:space="preserve"> However, the responsibility is limited to body corporates, who</w:t>
      </w:r>
      <w:r w:rsidR="006E7745" w:rsidRPr="00E14D8C">
        <w:rPr>
          <w:lang w:val="en-US"/>
        </w:rPr>
        <w:t>,</w:t>
      </w:r>
      <w:r w:rsidR="0054328F" w:rsidRPr="00E14D8C">
        <w:rPr>
          <w:lang w:val="en-US"/>
        </w:rPr>
        <w:t xml:space="preserve"> in their position as </w:t>
      </w:r>
      <w:r w:rsidRPr="00E14D8C">
        <w:rPr>
          <w:lang w:val="en-US"/>
        </w:rPr>
        <w:t>compa</w:t>
      </w:r>
      <w:r w:rsidR="0054328F" w:rsidRPr="00E14D8C">
        <w:rPr>
          <w:lang w:val="en-US"/>
        </w:rPr>
        <w:t>nies, firms,</w:t>
      </w:r>
      <w:r w:rsidRPr="00E14D8C">
        <w:rPr>
          <w:lang w:val="en-US"/>
        </w:rPr>
        <w:t xml:space="preserve"> sole proprietorship</w:t>
      </w:r>
      <w:r w:rsidR="0054328F" w:rsidRPr="00E14D8C">
        <w:rPr>
          <w:lang w:val="en-US"/>
        </w:rPr>
        <w:t>s</w:t>
      </w:r>
      <w:r w:rsidRPr="00E14D8C">
        <w:rPr>
          <w:lang w:val="en-US"/>
        </w:rPr>
        <w:t xml:space="preserve"> or </w:t>
      </w:r>
      <w:r w:rsidR="0054328F" w:rsidRPr="00E14D8C">
        <w:rPr>
          <w:lang w:val="en-US"/>
        </w:rPr>
        <w:t>any other</w:t>
      </w:r>
      <w:r w:rsidRPr="00E14D8C">
        <w:rPr>
          <w:lang w:val="en-US"/>
        </w:rPr>
        <w:t xml:space="preserve"> association of individuals engaged in commercial or professional activities</w:t>
      </w:r>
      <w:r w:rsidR="006E7745" w:rsidRPr="00E14D8C">
        <w:rPr>
          <w:lang w:val="en-US"/>
        </w:rPr>
        <w:t>,</w:t>
      </w:r>
      <w:r w:rsidR="000D21E3" w:rsidRPr="00E14D8C">
        <w:rPr>
          <w:rStyle w:val="FootnoteReference"/>
          <w:lang w:val="en-US"/>
        </w:rPr>
        <w:footnoteReference w:id="218"/>
      </w:r>
      <w:r w:rsidR="0054328F" w:rsidRPr="00E14D8C">
        <w:rPr>
          <w:lang w:val="en-US"/>
        </w:rPr>
        <w:t xml:space="preserve"> ha</w:t>
      </w:r>
      <w:r w:rsidR="00B17508" w:rsidRPr="00E14D8C">
        <w:rPr>
          <w:lang w:val="en-US"/>
        </w:rPr>
        <w:t>ve</w:t>
      </w:r>
      <w:r w:rsidR="0054328F" w:rsidRPr="00E14D8C">
        <w:rPr>
          <w:lang w:val="en-US"/>
        </w:rPr>
        <w:t xml:space="preserve"> access to the sensitive personal data.</w:t>
      </w:r>
      <w:r w:rsidR="0053669E" w:rsidRPr="00E14D8C">
        <w:rPr>
          <w:lang w:val="en-US"/>
        </w:rPr>
        <w:t xml:space="preserve"> </w:t>
      </w:r>
      <w:r w:rsidR="006E7745" w:rsidRPr="00E14D8C">
        <w:rPr>
          <w:lang w:val="en-US"/>
        </w:rPr>
        <w:t>Therefore, natural persons are</w:t>
      </w:r>
      <w:r w:rsidR="0054328F" w:rsidRPr="00E14D8C">
        <w:rPr>
          <w:lang w:val="en-US"/>
        </w:rPr>
        <w:t xml:space="preserve"> under no obligation to protect any </w:t>
      </w:r>
      <w:r w:rsidR="0054328F" w:rsidRPr="00E14D8C">
        <w:rPr>
          <w:lang w:val="en-US"/>
        </w:rPr>
        <w:lastRenderedPageBreak/>
        <w:t>such data that may be stored in a computer system that they may own or operate</w:t>
      </w:r>
      <w:r w:rsidRPr="00E14D8C">
        <w:rPr>
          <w:lang w:val="en-US"/>
        </w:rPr>
        <w:t>.</w:t>
      </w:r>
      <w:r w:rsidR="0053669E" w:rsidRPr="00E14D8C">
        <w:rPr>
          <w:lang w:val="en-US"/>
        </w:rPr>
        <w:t xml:space="preserve"> </w:t>
      </w:r>
      <w:r w:rsidR="0054328F" w:rsidRPr="00E14D8C">
        <w:rPr>
          <w:lang w:val="en-US"/>
        </w:rPr>
        <w:t xml:space="preserve">Owners of autonomous cars could be held liable under civil law for data transgressions if the operation of such vehicles is </w:t>
      </w:r>
      <w:r w:rsidR="00F03653">
        <w:rPr>
          <w:lang w:val="en-US"/>
        </w:rPr>
        <w:t>commercialized</w:t>
      </w:r>
      <w:r w:rsidR="0054328F" w:rsidRPr="00E14D8C">
        <w:rPr>
          <w:lang w:val="en-US"/>
        </w:rPr>
        <w:t xml:space="preserve"> and managed by a body corporate.</w:t>
      </w:r>
    </w:p>
    <w:p w14:paraId="05EDCC68" w14:textId="13179C94" w:rsidR="00A2578E" w:rsidRPr="00E14D8C" w:rsidRDefault="0054328F" w:rsidP="00D83878">
      <w:pPr>
        <w:spacing w:line="360" w:lineRule="auto"/>
        <w:jc w:val="both"/>
        <w:rPr>
          <w:lang w:val="en-US"/>
        </w:rPr>
      </w:pPr>
      <w:r w:rsidRPr="00E14D8C">
        <w:rPr>
          <w:lang w:val="en-US"/>
        </w:rPr>
        <w:t xml:space="preserve">      Although such entities (owners) would be mandated to</w:t>
      </w:r>
      <w:r w:rsidR="00421540" w:rsidRPr="00E14D8C">
        <w:t xml:space="preserve"> appoint a Grievance Officer</w:t>
      </w:r>
      <w:r w:rsidRPr="00E14D8C">
        <w:t xml:space="preserve"> </w:t>
      </w:r>
      <w:r w:rsidR="00421540" w:rsidRPr="00E14D8C">
        <w:t>to address discrepancies and violations of the obligations</w:t>
      </w:r>
      <w:r w:rsidR="00421540" w:rsidRPr="00E14D8C">
        <w:rPr>
          <w:rStyle w:val="FootnoteReference"/>
        </w:rPr>
        <w:footnoteReference w:id="219"/>
      </w:r>
      <w:r w:rsidR="00421540" w:rsidRPr="00E14D8C">
        <w:t xml:space="preserve"> and redress the grievance within one month of the date of receipt of the complaint from the aggrieved party</w:t>
      </w:r>
      <w:r w:rsidRPr="00E14D8C">
        <w:t>,</w:t>
      </w:r>
      <w:r w:rsidR="00421540" w:rsidRPr="00E14D8C">
        <w:rPr>
          <w:rStyle w:val="FootnoteReference"/>
        </w:rPr>
        <w:footnoteReference w:id="220"/>
      </w:r>
      <w:r w:rsidR="00421540" w:rsidRPr="00E14D8C">
        <w:t xml:space="preserve"> </w:t>
      </w:r>
      <w:r w:rsidR="00421540" w:rsidRPr="00E14D8C">
        <w:rPr>
          <w:lang w:val="en-US"/>
        </w:rPr>
        <w:t xml:space="preserve"> </w:t>
      </w:r>
      <w:r w:rsidRPr="00E14D8C">
        <w:t>there is no</w:t>
      </w:r>
      <w:r w:rsidR="00421540" w:rsidRPr="00E14D8C">
        <w:t xml:space="preserve"> </w:t>
      </w:r>
      <w:r w:rsidRPr="00E14D8C">
        <w:t>penalty</w:t>
      </w:r>
      <w:r w:rsidR="00421540" w:rsidRPr="00E14D8C">
        <w:t xml:space="preserve"> for </w:t>
      </w:r>
      <w:r w:rsidRPr="00E14D8C">
        <w:t>any failure on its part in this respect</w:t>
      </w:r>
      <w:r w:rsidR="00421540" w:rsidRPr="00E14D8C">
        <w:t>.</w:t>
      </w:r>
      <w:r w:rsidR="0053669E" w:rsidRPr="00E14D8C">
        <w:t xml:space="preserve"> </w:t>
      </w:r>
      <w:r w:rsidR="00AA5C21" w:rsidRPr="00E14D8C">
        <w:t>Nonetheless, owners</w:t>
      </w:r>
      <w:r w:rsidRPr="00E14D8C">
        <w:t xml:space="preserve"> of commercial vehicles would have to compensate the a</w:t>
      </w:r>
      <w:r w:rsidR="005B1C76" w:rsidRPr="00E14D8C">
        <w:t>ggrieved part</w:t>
      </w:r>
      <w:r w:rsidRPr="00E14D8C">
        <w:t>y with damages for such data breaches</w:t>
      </w:r>
      <w:r w:rsidR="006E7745" w:rsidRPr="00E14D8C">
        <w:t>.</w:t>
      </w:r>
      <w:r w:rsidR="006E7745" w:rsidRPr="00E14D8C">
        <w:rPr>
          <w:rStyle w:val="FootnoteReference"/>
        </w:rPr>
        <w:footnoteReference w:id="221"/>
      </w:r>
      <w:r w:rsidR="006E7745" w:rsidRPr="00E14D8C">
        <w:t xml:space="preserve"> The amount of compensation would be based on</w:t>
      </w:r>
      <w:r w:rsidRPr="00E14D8C">
        <w:rPr>
          <w:lang w:val="en-US"/>
        </w:rPr>
        <w:t xml:space="preserve"> the wrongful advantage that it may have earned as a result of the default, the amount of loss the aggrieved party may have suffered and the repetitive nature of the default</w:t>
      </w:r>
      <w:r w:rsidR="00B17508" w:rsidRPr="00E14D8C">
        <w:rPr>
          <w:lang w:val="en-US"/>
        </w:rPr>
        <w:t xml:space="preserve"> </w:t>
      </w:r>
      <w:r w:rsidR="005B1C76" w:rsidRPr="00E14D8C">
        <w:t>for the wrongful loss that they have incurred as a result of the data breach</w:t>
      </w:r>
      <w:r w:rsidR="0031267D" w:rsidRPr="00E14D8C">
        <w:rPr>
          <w:lang w:val="en-US"/>
        </w:rPr>
        <w:t>.</w:t>
      </w:r>
      <w:r w:rsidR="00401F4E" w:rsidRPr="00E14D8C">
        <w:rPr>
          <w:rStyle w:val="FootnoteReference"/>
          <w:lang w:val="en-US"/>
        </w:rPr>
        <w:footnoteReference w:id="222"/>
      </w:r>
      <w:r w:rsidR="00421540" w:rsidRPr="00E14D8C">
        <w:rPr>
          <w:lang w:val="en-US"/>
        </w:rPr>
        <w:t xml:space="preserve"> </w:t>
      </w:r>
    </w:p>
    <w:p w14:paraId="0FB0073E" w14:textId="35A8B0B8" w:rsidR="00A2578E" w:rsidRPr="00E14D8C" w:rsidRDefault="00A2578E" w:rsidP="00D83878">
      <w:pPr>
        <w:spacing w:line="360" w:lineRule="auto"/>
        <w:jc w:val="both"/>
        <w:rPr>
          <w:lang w:val="en-US"/>
        </w:rPr>
      </w:pPr>
      <w:r w:rsidRPr="00E14D8C">
        <w:rPr>
          <w:lang w:val="en-US"/>
        </w:rPr>
        <w:t xml:space="preserve">      Individuals </w:t>
      </w:r>
      <w:r w:rsidR="0054328F" w:rsidRPr="00E14D8C">
        <w:rPr>
          <w:lang w:val="en-US"/>
        </w:rPr>
        <w:t xml:space="preserve">such as private owners and </w:t>
      </w:r>
      <w:r w:rsidRPr="00E14D8C">
        <w:rPr>
          <w:lang w:val="en-US"/>
        </w:rPr>
        <w:t xml:space="preserve">intermediaries </w:t>
      </w:r>
      <w:r w:rsidR="0054328F" w:rsidRPr="00E14D8C">
        <w:rPr>
          <w:lang w:val="en-US"/>
        </w:rPr>
        <w:t xml:space="preserve">such as dealers </w:t>
      </w:r>
      <w:r w:rsidRPr="00E14D8C">
        <w:rPr>
          <w:lang w:val="en-US"/>
        </w:rPr>
        <w:t>may</w:t>
      </w:r>
      <w:r w:rsidR="0054328F" w:rsidRPr="00E14D8C">
        <w:rPr>
          <w:lang w:val="en-US"/>
        </w:rPr>
        <w:t xml:space="preserve"> solely be liable under the principles of criminal law </w:t>
      </w:r>
      <w:r w:rsidRPr="00E14D8C">
        <w:rPr>
          <w:lang w:val="en-US"/>
        </w:rPr>
        <w:t xml:space="preserve">for any </w:t>
      </w:r>
      <w:r w:rsidR="00F03653">
        <w:rPr>
          <w:lang w:val="en-US"/>
        </w:rPr>
        <w:t>unauthorized</w:t>
      </w:r>
      <w:r w:rsidRPr="00E14D8C">
        <w:rPr>
          <w:lang w:val="en-US"/>
        </w:rPr>
        <w:t xml:space="preserve"> disclosure of personal (but not necessarily sensitive) information of any person</w:t>
      </w:r>
      <w:r w:rsidR="0041674D" w:rsidRPr="00E14D8C">
        <w:rPr>
          <w:lang w:val="en-US"/>
        </w:rPr>
        <w:t>,</w:t>
      </w:r>
      <w:r w:rsidRPr="00E14D8C">
        <w:rPr>
          <w:lang w:val="en-US"/>
        </w:rPr>
        <w:t xml:space="preserve"> </w:t>
      </w:r>
      <w:r w:rsidR="0054328F" w:rsidRPr="00E14D8C">
        <w:rPr>
          <w:lang w:val="en-US"/>
        </w:rPr>
        <w:t>provided that</w:t>
      </w:r>
      <w:r w:rsidRPr="00E14D8C">
        <w:rPr>
          <w:lang w:val="en-US"/>
        </w:rPr>
        <w:t xml:space="preserve"> </w:t>
      </w:r>
      <w:r w:rsidR="00E11E57" w:rsidRPr="00E14D8C">
        <w:rPr>
          <w:lang w:val="en-US"/>
        </w:rPr>
        <w:t>such persons acquired the data</w:t>
      </w:r>
      <w:r w:rsidRPr="00E14D8C">
        <w:rPr>
          <w:lang w:val="en-US"/>
        </w:rPr>
        <w:t xml:space="preserve"> in their positions as service providers</w:t>
      </w:r>
      <w:r w:rsidR="0054328F" w:rsidRPr="00E14D8C">
        <w:rPr>
          <w:lang w:val="en-US"/>
        </w:rPr>
        <w:t>.</w:t>
      </w:r>
      <w:r w:rsidR="00B17508" w:rsidRPr="00E14D8C">
        <w:rPr>
          <w:rStyle w:val="FootnoteReference"/>
          <w:lang w:val="en-US"/>
        </w:rPr>
        <w:footnoteReference w:id="223"/>
      </w:r>
      <w:r w:rsidR="0054328F" w:rsidRPr="00E14D8C">
        <w:rPr>
          <w:lang w:val="en-US"/>
        </w:rPr>
        <w:t xml:space="preserve"> Such individuals and/or intermediaries may, in such circumstances,</w:t>
      </w:r>
      <w:r w:rsidRPr="00E14D8C">
        <w:rPr>
          <w:lang w:val="en-US"/>
        </w:rPr>
        <w:t xml:space="preserve"> be punished with imprisonment of </w:t>
      </w:r>
      <w:r w:rsidR="0031267D" w:rsidRPr="00E14D8C">
        <w:rPr>
          <w:lang w:val="en-US"/>
        </w:rPr>
        <w:t>up to</w:t>
      </w:r>
      <w:r w:rsidRPr="00E14D8C">
        <w:rPr>
          <w:lang w:val="en-US"/>
        </w:rPr>
        <w:t xml:space="preserve"> three years and/or a fine that may extend </w:t>
      </w:r>
      <w:r w:rsidR="0031267D" w:rsidRPr="00E14D8C">
        <w:rPr>
          <w:lang w:val="en-US"/>
        </w:rPr>
        <w:t>up to</w:t>
      </w:r>
      <w:r w:rsidRPr="00E14D8C">
        <w:rPr>
          <w:lang w:val="en-US"/>
        </w:rPr>
        <w:t xml:space="preserve"> INR </w:t>
      </w:r>
      <w:r w:rsidR="005B1C76" w:rsidRPr="00E14D8C">
        <w:rPr>
          <w:lang w:val="en-US"/>
        </w:rPr>
        <w:t>0.5 million</w:t>
      </w:r>
      <w:r w:rsidR="0054328F" w:rsidRPr="00E14D8C">
        <w:rPr>
          <w:lang w:val="en-US"/>
        </w:rPr>
        <w:t>.</w:t>
      </w:r>
      <w:r w:rsidR="000B3FE0" w:rsidRPr="00E14D8C">
        <w:rPr>
          <w:rStyle w:val="FootnoteReference"/>
          <w:lang w:val="en-US"/>
        </w:rPr>
        <w:footnoteReference w:id="224"/>
      </w:r>
      <w:r w:rsidR="0054328F" w:rsidRPr="00E14D8C">
        <w:rPr>
          <w:lang w:val="en-US"/>
        </w:rPr>
        <w:t xml:space="preserve"> </w:t>
      </w:r>
      <w:r w:rsidR="009859D8" w:rsidRPr="00E14D8C">
        <w:rPr>
          <w:lang w:val="en-US"/>
        </w:rPr>
        <w:t xml:space="preserve"> </w:t>
      </w:r>
    </w:p>
    <w:p w14:paraId="3569D8E2" w14:textId="26F2C6D3" w:rsidR="009946A6" w:rsidRPr="00E14D8C" w:rsidRDefault="009859D8" w:rsidP="00D83878">
      <w:pPr>
        <w:spacing w:line="360" w:lineRule="auto"/>
        <w:jc w:val="both"/>
        <w:rPr>
          <w:lang w:val="en-US"/>
        </w:rPr>
      </w:pPr>
      <w:r w:rsidRPr="00E14D8C">
        <w:rPr>
          <w:lang w:val="en-US"/>
        </w:rPr>
        <w:t xml:space="preserve">        The coming into force of the PDP would, on the other hand, render </w:t>
      </w:r>
      <w:r w:rsidR="004A5E4E" w:rsidRPr="00E14D8C">
        <w:rPr>
          <w:lang w:val="en-US"/>
        </w:rPr>
        <w:t xml:space="preserve">all </w:t>
      </w:r>
      <w:r w:rsidRPr="00E14D8C">
        <w:rPr>
          <w:lang w:val="en-US"/>
        </w:rPr>
        <w:t>owners</w:t>
      </w:r>
      <w:r w:rsidR="004A5E4E" w:rsidRPr="00E14D8C">
        <w:rPr>
          <w:rStyle w:val="FootnoteReference"/>
          <w:lang w:val="en-US"/>
        </w:rPr>
        <w:footnoteReference w:id="225"/>
      </w:r>
      <w:r w:rsidRPr="00E14D8C">
        <w:rPr>
          <w:lang w:val="en-US"/>
        </w:rPr>
        <w:t xml:space="preserve"> </w:t>
      </w:r>
      <w:r w:rsidR="004A5E4E" w:rsidRPr="00E14D8C">
        <w:rPr>
          <w:lang w:val="en-US"/>
        </w:rPr>
        <w:t>and</w:t>
      </w:r>
      <w:r w:rsidR="00AD15F0" w:rsidRPr="00E14D8C">
        <w:rPr>
          <w:lang w:val="en-US"/>
        </w:rPr>
        <w:t xml:space="preserve"> </w:t>
      </w:r>
      <w:r w:rsidRPr="00E14D8C">
        <w:rPr>
          <w:lang w:val="en-US"/>
        </w:rPr>
        <w:t xml:space="preserve">manufacturers </w:t>
      </w:r>
      <w:r w:rsidR="004A5E4E" w:rsidRPr="00E14D8C">
        <w:rPr>
          <w:lang w:val="en-US"/>
        </w:rPr>
        <w:t xml:space="preserve">of </w:t>
      </w:r>
      <w:r w:rsidR="00251847">
        <w:rPr>
          <w:lang w:val="en-US"/>
        </w:rPr>
        <w:t>self-driving</w:t>
      </w:r>
      <w:r w:rsidR="00251847" w:rsidRPr="00E14D8C">
        <w:rPr>
          <w:lang w:val="en-US"/>
        </w:rPr>
        <w:t xml:space="preserve"> </w:t>
      </w:r>
      <w:r w:rsidR="004A5E4E" w:rsidRPr="00E14D8C">
        <w:rPr>
          <w:lang w:val="en-US"/>
        </w:rPr>
        <w:t>cars</w:t>
      </w:r>
      <w:r w:rsidRPr="00E14D8C">
        <w:rPr>
          <w:lang w:val="en-US"/>
        </w:rPr>
        <w:t xml:space="preserve"> liable under civil law in their capacity as data fiduciaries </w:t>
      </w:r>
      <w:r w:rsidR="00AD15F0" w:rsidRPr="00E14D8C">
        <w:rPr>
          <w:lang w:val="en-US"/>
        </w:rPr>
        <w:t xml:space="preserve">insofar as such entities are </w:t>
      </w:r>
      <w:r w:rsidRPr="00E14D8C">
        <w:rPr>
          <w:lang w:val="en-US"/>
        </w:rPr>
        <w:t>responsible for determining the purpose and means of processing the personal data</w:t>
      </w:r>
      <w:r w:rsidRPr="00E14D8C">
        <w:rPr>
          <w:rStyle w:val="FootnoteReference"/>
          <w:lang w:val="en-US"/>
        </w:rPr>
        <w:footnoteReference w:id="226"/>
      </w:r>
      <w:r w:rsidR="00F52DCB" w:rsidRPr="00E14D8C">
        <w:rPr>
          <w:lang w:val="en-US"/>
        </w:rPr>
        <w:t xml:space="preserve"> of the users.</w:t>
      </w:r>
      <w:r w:rsidR="00F52DCB" w:rsidRPr="00E14D8C">
        <w:rPr>
          <w:rStyle w:val="FootnoteReference"/>
          <w:lang w:val="en-US"/>
        </w:rPr>
        <w:footnoteReference w:id="227"/>
      </w:r>
      <w:r w:rsidRPr="00E14D8C">
        <w:rPr>
          <w:lang w:val="en-US"/>
        </w:rPr>
        <w:t xml:space="preserve"> </w:t>
      </w:r>
      <w:r w:rsidR="0041674D" w:rsidRPr="00E14D8C">
        <w:rPr>
          <w:lang w:val="en-US"/>
        </w:rPr>
        <w:t>M</w:t>
      </w:r>
      <w:r w:rsidR="00AD15F0" w:rsidRPr="00E14D8C">
        <w:rPr>
          <w:lang w:val="en-US"/>
        </w:rPr>
        <w:t xml:space="preserve">anufacturers of such vehicles </w:t>
      </w:r>
      <w:r w:rsidR="00F52DCB" w:rsidRPr="00E14D8C">
        <w:rPr>
          <w:lang w:val="en-US"/>
        </w:rPr>
        <w:t>would</w:t>
      </w:r>
      <w:r w:rsidR="00AD15F0" w:rsidRPr="00E14D8C">
        <w:rPr>
          <w:lang w:val="en-US"/>
        </w:rPr>
        <w:t xml:space="preserve">, </w:t>
      </w:r>
      <w:r w:rsidR="00B13724" w:rsidRPr="00E14D8C">
        <w:rPr>
          <w:lang w:val="en-US"/>
        </w:rPr>
        <w:t>in their capacity as significant data fiduciaries,</w:t>
      </w:r>
      <w:r w:rsidR="00B13724" w:rsidRPr="00E14D8C">
        <w:rPr>
          <w:rStyle w:val="FootnoteReference"/>
          <w:lang w:val="en-US"/>
        </w:rPr>
        <w:footnoteReference w:id="228"/>
      </w:r>
      <w:r w:rsidR="00AD15F0" w:rsidRPr="00E14D8C">
        <w:rPr>
          <w:lang w:val="en-US"/>
        </w:rPr>
        <w:t xml:space="preserve"> be liable </w:t>
      </w:r>
      <w:r w:rsidR="00E11E57" w:rsidRPr="00E14D8C">
        <w:rPr>
          <w:lang w:val="en-US"/>
        </w:rPr>
        <w:t>for any data breach</w:t>
      </w:r>
      <w:r w:rsidR="00E11E57" w:rsidRPr="00E14D8C">
        <w:rPr>
          <w:rStyle w:val="FootnoteReference"/>
          <w:lang w:val="en-US"/>
        </w:rPr>
        <w:footnoteReference w:id="229"/>
      </w:r>
      <w:r w:rsidR="00E11E57" w:rsidRPr="00E14D8C">
        <w:rPr>
          <w:lang w:val="en-US"/>
        </w:rPr>
        <w:t xml:space="preserve"> </w:t>
      </w:r>
      <w:r w:rsidR="00E11E57" w:rsidRPr="00E14D8C">
        <w:rPr>
          <w:lang w:val="en-US"/>
        </w:rPr>
        <w:t>from its</w:t>
      </w:r>
      <w:r w:rsidR="00E11E57" w:rsidRPr="00E14D8C">
        <w:rPr>
          <w:lang w:val="en-US"/>
        </w:rPr>
        <w:t xml:space="preserve"> failure to conduct a </w:t>
      </w:r>
      <w:r w:rsidR="0041674D" w:rsidRPr="00E14D8C">
        <w:rPr>
          <w:lang w:val="en-US"/>
        </w:rPr>
        <w:t>‘</w:t>
      </w:r>
      <w:r w:rsidR="00E11E57" w:rsidRPr="00E14D8C">
        <w:rPr>
          <w:lang w:val="en-US"/>
        </w:rPr>
        <w:t>data protection impact assessment</w:t>
      </w:r>
      <w:r w:rsidR="0041674D" w:rsidRPr="00E14D8C">
        <w:rPr>
          <w:lang w:val="en-US"/>
        </w:rPr>
        <w:t>’</w:t>
      </w:r>
      <w:r w:rsidR="00E11E57" w:rsidRPr="00E14D8C">
        <w:rPr>
          <w:lang w:val="en-US"/>
        </w:rPr>
        <w:t xml:space="preserve"> </w:t>
      </w:r>
      <w:r w:rsidR="00E11E57" w:rsidRPr="00E14D8C">
        <w:rPr>
          <w:lang w:val="en-US"/>
        </w:rPr>
        <w:t>to</w:t>
      </w:r>
      <w:r w:rsidR="00E11E57" w:rsidRPr="00E14D8C">
        <w:rPr>
          <w:lang w:val="en-US"/>
        </w:rPr>
        <w:t xml:space="preserve"> assess </w:t>
      </w:r>
      <w:r w:rsidR="00AA5C21" w:rsidRPr="00E14D8C">
        <w:rPr>
          <w:lang w:val="en-US"/>
        </w:rPr>
        <w:t xml:space="preserve">a) </w:t>
      </w:r>
      <w:r w:rsidR="00E11E57" w:rsidRPr="00E14D8C">
        <w:rPr>
          <w:lang w:val="en-US"/>
        </w:rPr>
        <w:t xml:space="preserve">the potential </w:t>
      </w:r>
      <w:r w:rsidR="00AA5C21" w:rsidRPr="00E14D8C">
        <w:rPr>
          <w:lang w:val="en-US"/>
        </w:rPr>
        <w:t>physical, economic or mental harm</w:t>
      </w:r>
      <w:r w:rsidR="00AA5C21" w:rsidRPr="00E14D8C">
        <w:rPr>
          <w:rStyle w:val="FootnoteReference"/>
          <w:lang w:val="en-US"/>
        </w:rPr>
        <w:footnoteReference w:id="230"/>
      </w:r>
      <w:r w:rsidR="00AA5C21" w:rsidRPr="00E14D8C">
        <w:rPr>
          <w:lang w:val="en-US"/>
        </w:rPr>
        <w:t xml:space="preserve"> </w:t>
      </w:r>
      <w:r w:rsidR="00E11E57" w:rsidRPr="00E14D8C">
        <w:rPr>
          <w:lang w:val="en-US"/>
        </w:rPr>
        <w:t xml:space="preserve">that </w:t>
      </w:r>
      <w:r w:rsidR="00AA5C21" w:rsidRPr="00E14D8C">
        <w:rPr>
          <w:lang w:val="en-US"/>
        </w:rPr>
        <w:t>the users</w:t>
      </w:r>
      <w:r w:rsidR="00E11E57" w:rsidRPr="00E14D8C">
        <w:rPr>
          <w:lang w:val="en-US"/>
        </w:rPr>
        <w:t xml:space="preserve"> were likely to suffer when their personal information is processed in the technical system</w:t>
      </w:r>
      <w:r w:rsidR="00AA5C21" w:rsidRPr="00E14D8C">
        <w:rPr>
          <w:lang w:val="en-US"/>
        </w:rPr>
        <w:t>,</w:t>
      </w:r>
      <w:r w:rsidR="00E11E57" w:rsidRPr="00E14D8C">
        <w:rPr>
          <w:lang w:val="en-US"/>
        </w:rPr>
        <w:t xml:space="preserve"> and </w:t>
      </w:r>
      <w:r w:rsidR="00AA5C21" w:rsidRPr="00E14D8C">
        <w:rPr>
          <w:lang w:val="en-US"/>
        </w:rPr>
        <w:t xml:space="preserve">b) </w:t>
      </w:r>
      <w:r w:rsidR="00E11E57" w:rsidRPr="00E14D8C">
        <w:rPr>
          <w:lang w:val="en-US"/>
        </w:rPr>
        <w:t xml:space="preserve">the measures that may be taken for managing, </w:t>
      </w:r>
      <w:r w:rsidR="00F03653">
        <w:rPr>
          <w:lang w:val="en-US"/>
        </w:rPr>
        <w:t>minimizing</w:t>
      </w:r>
      <w:r w:rsidR="00E11E57" w:rsidRPr="00E14D8C">
        <w:rPr>
          <w:lang w:val="en-US"/>
        </w:rPr>
        <w:t xml:space="preserve">, mitigating and </w:t>
      </w:r>
      <w:r w:rsidR="00E11E57" w:rsidRPr="00E14D8C">
        <w:rPr>
          <w:lang w:val="en-US"/>
        </w:rPr>
        <w:lastRenderedPageBreak/>
        <w:t xml:space="preserve">removing the risk of such </w:t>
      </w:r>
      <w:r w:rsidR="00F355AA" w:rsidRPr="00E14D8C">
        <w:rPr>
          <w:lang w:val="en-US"/>
        </w:rPr>
        <w:t>damage</w:t>
      </w:r>
      <w:r w:rsidR="00E11E57" w:rsidRPr="00E14D8C">
        <w:rPr>
          <w:lang w:val="en-US"/>
        </w:rPr>
        <w:t>.</w:t>
      </w:r>
      <w:r w:rsidR="00E11E57" w:rsidRPr="00E14D8C">
        <w:rPr>
          <w:rStyle w:val="FootnoteReference"/>
          <w:lang w:val="en-US"/>
        </w:rPr>
        <w:footnoteReference w:id="231"/>
      </w:r>
      <w:r w:rsidR="009B22C1" w:rsidRPr="00E14D8C">
        <w:rPr>
          <w:lang w:val="en-US"/>
        </w:rPr>
        <w:t xml:space="preserve"> </w:t>
      </w:r>
      <w:r w:rsidR="00E11E57" w:rsidRPr="00E14D8C">
        <w:rPr>
          <w:lang w:val="en-US"/>
        </w:rPr>
        <w:t>In such circumstances, manufacturers will be liable to pay a minimum INR 50 million penalty.</w:t>
      </w:r>
      <w:r w:rsidR="00F52DCB" w:rsidRPr="00E14D8C">
        <w:rPr>
          <w:rStyle w:val="FootnoteReference"/>
          <w:lang w:val="en-US"/>
        </w:rPr>
        <w:footnoteReference w:id="232"/>
      </w:r>
      <w:r w:rsidR="00F52DCB" w:rsidRPr="00E14D8C">
        <w:rPr>
          <w:lang w:val="en-US"/>
        </w:rPr>
        <w:t xml:space="preserve"> </w:t>
      </w:r>
      <w:r w:rsidR="00E11E57" w:rsidRPr="00E14D8C">
        <w:rPr>
          <w:lang w:val="en-US"/>
        </w:rPr>
        <w:t xml:space="preserve">Owners of the vehicle would be liable for </w:t>
      </w:r>
      <w:r w:rsidR="00F52DCB" w:rsidRPr="00E14D8C">
        <w:rPr>
          <w:lang w:val="en-US"/>
        </w:rPr>
        <w:t>all other data breaches</w:t>
      </w:r>
      <w:r w:rsidR="00E11E57" w:rsidRPr="00E14D8C">
        <w:rPr>
          <w:lang w:val="en-US"/>
        </w:rPr>
        <w:t>,</w:t>
      </w:r>
      <w:r w:rsidR="00F52DCB" w:rsidRPr="00E14D8C">
        <w:rPr>
          <w:lang w:val="en-US"/>
        </w:rPr>
        <w:t xml:space="preserve"> such as those that occur </w:t>
      </w:r>
      <w:r w:rsidR="00F355AA" w:rsidRPr="00E14D8C">
        <w:rPr>
          <w:lang w:val="en-US"/>
        </w:rPr>
        <w:t>due to</w:t>
      </w:r>
      <w:r w:rsidR="00F52DCB" w:rsidRPr="00E14D8C">
        <w:rPr>
          <w:lang w:val="en-US"/>
        </w:rPr>
        <w:t xml:space="preserve"> their failure to</w:t>
      </w:r>
      <w:r w:rsidR="00E11E57" w:rsidRPr="00E14D8C">
        <w:rPr>
          <w:lang w:val="en-US"/>
        </w:rPr>
        <w:t>: a)</w:t>
      </w:r>
      <w:r w:rsidR="00F52DCB" w:rsidRPr="00E14D8C">
        <w:rPr>
          <w:lang w:val="en-US"/>
        </w:rPr>
        <w:t xml:space="preserve"> process the personal information </w:t>
      </w:r>
      <w:r w:rsidR="00E11E57" w:rsidRPr="00E14D8C">
        <w:rPr>
          <w:lang w:val="en-US"/>
        </w:rPr>
        <w:t>transparently</w:t>
      </w:r>
      <w:r w:rsidR="00696A36" w:rsidRPr="00E14D8C">
        <w:rPr>
          <w:rStyle w:val="FootnoteReference"/>
          <w:lang w:val="en-US"/>
        </w:rPr>
        <w:footnoteReference w:id="233"/>
      </w:r>
      <w:r w:rsidR="00F52DCB" w:rsidRPr="00E14D8C">
        <w:rPr>
          <w:lang w:val="en-US"/>
        </w:rPr>
        <w:t xml:space="preserve"> or </w:t>
      </w:r>
      <w:r w:rsidR="00E11E57" w:rsidRPr="00E14D8C">
        <w:rPr>
          <w:lang w:val="en-US"/>
        </w:rPr>
        <w:t xml:space="preserve">b) </w:t>
      </w:r>
      <w:r w:rsidR="00F52DCB" w:rsidRPr="00E14D8C">
        <w:rPr>
          <w:lang w:val="en-US"/>
        </w:rPr>
        <w:t>delete the same once the purpose for which it was obtained has been fulfilled</w:t>
      </w:r>
      <w:r w:rsidR="00E11E57" w:rsidRPr="00E14D8C">
        <w:rPr>
          <w:lang w:val="en-US"/>
        </w:rPr>
        <w:t>.</w:t>
      </w:r>
      <w:r w:rsidR="00696A36" w:rsidRPr="00E14D8C">
        <w:rPr>
          <w:rStyle w:val="FootnoteReference"/>
          <w:lang w:val="en-US"/>
        </w:rPr>
        <w:footnoteReference w:id="234"/>
      </w:r>
      <w:r w:rsidR="00F52DCB" w:rsidRPr="00E14D8C">
        <w:rPr>
          <w:lang w:val="en-US"/>
        </w:rPr>
        <w:t xml:space="preserve"> </w:t>
      </w:r>
      <w:r w:rsidR="00E11E57" w:rsidRPr="00E14D8C">
        <w:rPr>
          <w:lang w:val="en-US"/>
        </w:rPr>
        <w:t>In such circumstances, owners would be liable to pay a</w:t>
      </w:r>
      <w:r w:rsidR="00F52DCB" w:rsidRPr="00E14D8C">
        <w:rPr>
          <w:lang w:val="en-US"/>
        </w:rPr>
        <w:t xml:space="preserve"> minimum INR 150 million </w:t>
      </w:r>
      <w:r w:rsidR="00E11E57" w:rsidRPr="00E14D8C">
        <w:rPr>
          <w:lang w:val="en-US"/>
        </w:rPr>
        <w:t xml:space="preserve">penalty </w:t>
      </w:r>
      <w:r w:rsidR="00F52DCB" w:rsidRPr="00E14D8C">
        <w:rPr>
          <w:lang w:val="en-US"/>
        </w:rPr>
        <w:t xml:space="preserve">for such </w:t>
      </w:r>
      <w:r w:rsidR="00E11E57" w:rsidRPr="00E14D8C">
        <w:rPr>
          <w:lang w:val="en-US"/>
        </w:rPr>
        <w:t>infringements</w:t>
      </w:r>
      <w:r w:rsidR="00F52DCB" w:rsidRPr="00E14D8C">
        <w:rPr>
          <w:lang w:val="en-US"/>
        </w:rPr>
        <w:t>.</w:t>
      </w:r>
      <w:r w:rsidR="00F52DCB" w:rsidRPr="00E14D8C">
        <w:rPr>
          <w:rStyle w:val="FootnoteReference"/>
          <w:lang w:val="en-US"/>
        </w:rPr>
        <w:footnoteReference w:id="235"/>
      </w:r>
    </w:p>
    <w:p w14:paraId="2359AB17" w14:textId="77777777" w:rsidR="009946A6" w:rsidRPr="00E14D8C" w:rsidRDefault="009946A6" w:rsidP="00D83878">
      <w:pPr>
        <w:spacing w:line="360" w:lineRule="auto"/>
        <w:jc w:val="both"/>
        <w:rPr>
          <w:lang w:val="en-US"/>
        </w:rPr>
      </w:pPr>
    </w:p>
    <w:p w14:paraId="603DEA1A" w14:textId="379A484C" w:rsidR="008D193D" w:rsidRPr="00E14D8C" w:rsidRDefault="00F02271" w:rsidP="00D83878">
      <w:pPr>
        <w:spacing w:line="360" w:lineRule="auto"/>
        <w:jc w:val="both"/>
        <w:rPr>
          <w:b/>
          <w:lang w:val="en-US"/>
        </w:rPr>
      </w:pPr>
      <w:r w:rsidRPr="00E14D8C">
        <w:rPr>
          <w:b/>
          <w:lang w:val="en-US"/>
        </w:rPr>
        <w:t>4</w:t>
      </w:r>
      <w:r w:rsidR="00744C59" w:rsidRPr="00E14D8C">
        <w:rPr>
          <w:b/>
          <w:lang w:val="en-US"/>
        </w:rPr>
        <w:t>.</w:t>
      </w:r>
      <w:r w:rsidR="0053669E" w:rsidRPr="00E14D8C">
        <w:rPr>
          <w:b/>
          <w:lang w:val="en-US"/>
        </w:rPr>
        <w:t xml:space="preserve"> </w:t>
      </w:r>
      <w:r w:rsidR="00E14D8C" w:rsidRPr="00E14D8C">
        <w:rPr>
          <w:b/>
          <w:lang w:val="en-US"/>
        </w:rPr>
        <w:t xml:space="preserve">  </w:t>
      </w:r>
      <w:r w:rsidR="00744C59" w:rsidRPr="00E14D8C">
        <w:rPr>
          <w:b/>
          <w:lang w:val="en-US"/>
        </w:rPr>
        <w:t>Concluding Remarks</w:t>
      </w:r>
    </w:p>
    <w:p w14:paraId="4B5FA1E4" w14:textId="1CCC1981" w:rsidR="004253AE" w:rsidRPr="00E14D8C" w:rsidRDefault="004253AE" w:rsidP="00D83878">
      <w:pPr>
        <w:spacing w:line="360" w:lineRule="auto"/>
        <w:jc w:val="both"/>
        <w:rPr>
          <w:lang w:val="en-US"/>
        </w:rPr>
      </w:pPr>
      <w:r w:rsidRPr="00E14D8C">
        <w:rPr>
          <w:lang w:val="en-US"/>
        </w:rPr>
        <w:t xml:space="preserve">Recent developments across the globe have by no means prompted India to reconsider its decision to ban </w:t>
      </w:r>
      <w:r w:rsidR="00251847">
        <w:rPr>
          <w:lang w:val="en-US"/>
        </w:rPr>
        <w:t>self-driving</w:t>
      </w:r>
      <w:r w:rsidR="00251847" w:rsidRPr="00E14D8C">
        <w:rPr>
          <w:lang w:val="en-US"/>
        </w:rPr>
        <w:t xml:space="preserve"> </w:t>
      </w:r>
      <w:r w:rsidRPr="00E14D8C">
        <w:rPr>
          <w:lang w:val="en-US"/>
        </w:rPr>
        <w:t>cars.</w:t>
      </w:r>
      <w:r w:rsidR="0053669E" w:rsidRPr="00E14D8C">
        <w:rPr>
          <w:lang w:val="en-US"/>
        </w:rPr>
        <w:t xml:space="preserve"> </w:t>
      </w:r>
      <w:r w:rsidRPr="00E14D8C">
        <w:rPr>
          <w:lang w:val="en-US"/>
        </w:rPr>
        <w:t xml:space="preserve">Further, in the absence of membership to the Vienna Convention, the Republic is under no obligation to </w:t>
      </w:r>
      <w:r w:rsidR="00F03653">
        <w:rPr>
          <w:lang w:val="en-US"/>
        </w:rPr>
        <w:t>recognize</w:t>
      </w:r>
      <w:r w:rsidRPr="00E14D8C">
        <w:rPr>
          <w:lang w:val="en-US"/>
        </w:rPr>
        <w:t xml:space="preserve"> autonomous vehicles such as self-driving cars from other jurisdictions.</w:t>
      </w:r>
      <w:r w:rsidR="0053669E" w:rsidRPr="00E14D8C">
        <w:rPr>
          <w:lang w:val="en-US"/>
        </w:rPr>
        <w:t xml:space="preserve"> </w:t>
      </w:r>
      <w:r w:rsidRPr="00E14D8C">
        <w:rPr>
          <w:lang w:val="en-US"/>
        </w:rPr>
        <w:t xml:space="preserve">However, even as a founding signatory to the Geneva Convention, unlike some of its </w:t>
      </w:r>
      <w:r w:rsidR="00986B65" w:rsidRPr="00E14D8C">
        <w:rPr>
          <w:lang w:val="en-US"/>
        </w:rPr>
        <w:t>neighbors</w:t>
      </w:r>
      <w:r w:rsidRPr="00E14D8C">
        <w:rPr>
          <w:lang w:val="en-US"/>
        </w:rPr>
        <w:t xml:space="preserve"> and BRICS</w:t>
      </w:r>
      <w:r w:rsidR="003743A6">
        <w:rPr>
          <w:rStyle w:val="FootnoteReference"/>
          <w:lang w:val="en-US"/>
        </w:rPr>
        <w:footnoteReference w:id="236"/>
      </w:r>
      <w:r w:rsidRPr="00E14D8C">
        <w:rPr>
          <w:lang w:val="en-US"/>
        </w:rPr>
        <w:t xml:space="preserve"> partners such as China, India has not been prompted to initiate the reformulation of its regulatory regime to accommodate technological advancements in the field of motor vehicles. </w:t>
      </w:r>
    </w:p>
    <w:p w14:paraId="7E1962C3" w14:textId="63F0C30E" w:rsidR="006E5391" w:rsidRPr="00E14D8C" w:rsidRDefault="004253AE" w:rsidP="00D83878">
      <w:pPr>
        <w:spacing w:line="360" w:lineRule="auto"/>
        <w:jc w:val="both"/>
        <w:rPr>
          <w:lang w:val="en-US"/>
        </w:rPr>
      </w:pPr>
      <w:r w:rsidRPr="00E14D8C">
        <w:rPr>
          <w:lang w:val="en-US"/>
        </w:rPr>
        <w:t xml:space="preserve">      Like every other jurisdiction, any eventual decision to </w:t>
      </w:r>
      <w:r w:rsidR="00F03653">
        <w:rPr>
          <w:lang w:val="en-US"/>
        </w:rPr>
        <w:t>authorize</w:t>
      </w:r>
      <w:r w:rsidRPr="00E14D8C">
        <w:rPr>
          <w:lang w:val="en-US"/>
        </w:rPr>
        <w:t xml:space="preserve"> the operation of autonomous vehicles and, in particular, those that are </w:t>
      </w:r>
      <w:r w:rsidR="00251847">
        <w:rPr>
          <w:lang w:val="en-US"/>
        </w:rPr>
        <w:t>self-driving</w:t>
      </w:r>
      <w:r w:rsidR="00251847" w:rsidRPr="00E14D8C">
        <w:rPr>
          <w:lang w:val="en-US"/>
        </w:rPr>
        <w:t xml:space="preserve"> </w:t>
      </w:r>
      <w:r w:rsidRPr="00E14D8C">
        <w:rPr>
          <w:lang w:val="en-US"/>
        </w:rPr>
        <w:t>would have to be backed by a thorough assessment of the extent to which the current regulatory framework is conducive to disputes that may arise from their use.</w:t>
      </w:r>
      <w:r w:rsidR="0053669E" w:rsidRPr="00E14D8C">
        <w:rPr>
          <w:lang w:val="en-US"/>
        </w:rPr>
        <w:t xml:space="preserve"> </w:t>
      </w:r>
      <w:r w:rsidRPr="00E14D8C">
        <w:rPr>
          <w:lang w:val="en-US"/>
        </w:rPr>
        <w:t xml:space="preserve">In this context, studies have relentlessly depicted the </w:t>
      </w:r>
      <w:r w:rsidR="0041674D" w:rsidRPr="00E14D8C">
        <w:rPr>
          <w:lang w:val="en-US"/>
        </w:rPr>
        <w:t>Republic’s</w:t>
      </w:r>
      <w:r w:rsidRPr="00E14D8C">
        <w:rPr>
          <w:lang w:val="en-US"/>
        </w:rPr>
        <w:t xml:space="preserve"> lack of readiness </w:t>
      </w:r>
      <w:r w:rsidR="007676B0" w:rsidRPr="00E14D8C">
        <w:rPr>
          <w:lang w:val="en-US"/>
        </w:rPr>
        <w:t>and poor consumer acceptance towards the introduction of autonomous cars in general</w:t>
      </w:r>
      <w:r w:rsidR="007676B0" w:rsidRPr="00E14D8C">
        <w:rPr>
          <w:lang w:val="en-US"/>
        </w:rPr>
        <w:t xml:space="preserve">, </w:t>
      </w:r>
      <w:r w:rsidR="007676B0" w:rsidRPr="00E14D8C">
        <w:rPr>
          <w:lang w:val="en-US"/>
        </w:rPr>
        <w:t>regardless of whether they are driverless or not</w:t>
      </w:r>
      <w:r w:rsidR="007676B0" w:rsidRPr="00E14D8C">
        <w:rPr>
          <w:lang w:val="en-US"/>
        </w:rPr>
        <w:t>, without demonstrating the reasons that may have contributed to this dismal performance</w:t>
      </w:r>
      <w:r w:rsidRPr="00E14D8C">
        <w:rPr>
          <w:lang w:val="en-US"/>
        </w:rPr>
        <w:t>.</w:t>
      </w:r>
      <w:r w:rsidR="0053669E" w:rsidRPr="00E14D8C">
        <w:rPr>
          <w:lang w:val="en-US"/>
        </w:rPr>
        <w:t xml:space="preserve"> </w:t>
      </w:r>
      <w:r w:rsidR="006E5391" w:rsidRPr="00E14D8C">
        <w:rPr>
          <w:lang w:val="en-US"/>
        </w:rPr>
        <w:t xml:space="preserve">Nonetheless, it is not </w:t>
      </w:r>
      <w:r w:rsidR="002E6565" w:rsidRPr="00E14D8C">
        <w:rPr>
          <w:lang w:val="en-US"/>
        </w:rPr>
        <w:t>inconceivable</w:t>
      </w:r>
      <w:r w:rsidR="006E5391" w:rsidRPr="00E14D8C">
        <w:rPr>
          <w:lang w:val="en-US"/>
        </w:rPr>
        <w:t xml:space="preserve"> that much of the consumer anxieties would have to do with the underdeveloped state of regulations concerning the ascertainment of the rights and liabilities of parties </w:t>
      </w:r>
      <w:r w:rsidR="0041674D" w:rsidRPr="00E14D8C">
        <w:rPr>
          <w:lang w:val="en-US"/>
        </w:rPr>
        <w:t>affected by</w:t>
      </w:r>
      <w:r w:rsidR="006E5391" w:rsidRPr="00E14D8C">
        <w:rPr>
          <w:lang w:val="en-US"/>
        </w:rPr>
        <w:t xml:space="preserve"> </w:t>
      </w:r>
      <w:r w:rsidR="00251847">
        <w:rPr>
          <w:lang w:val="en-US"/>
        </w:rPr>
        <w:t>self-driving</w:t>
      </w:r>
      <w:r w:rsidR="00251847" w:rsidRPr="00E14D8C">
        <w:rPr>
          <w:lang w:val="en-US"/>
        </w:rPr>
        <w:t xml:space="preserve"> </w:t>
      </w:r>
      <w:r w:rsidR="006E5391" w:rsidRPr="00E14D8C">
        <w:rPr>
          <w:lang w:val="en-US"/>
        </w:rPr>
        <w:t>cars.</w:t>
      </w:r>
    </w:p>
    <w:p w14:paraId="49136D18" w14:textId="5D1FD40B" w:rsidR="006E5391" w:rsidRPr="00E14D8C" w:rsidRDefault="006E5391" w:rsidP="00D83878">
      <w:pPr>
        <w:spacing w:line="360" w:lineRule="auto"/>
        <w:jc w:val="both"/>
        <w:rPr>
          <w:lang w:val="en-US"/>
        </w:rPr>
      </w:pPr>
      <w:r w:rsidRPr="00E14D8C">
        <w:rPr>
          <w:lang w:val="en-US"/>
        </w:rPr>
        <w:t xml:space="preserve">     The discussion above demonstrates that t</w:t>
      </w:r>
      <w:r w:rsidR="00581672" w:rsidRPr="00E14D8C">
        <w:rPr>
          <w:lang w:val="en-US"/>
        </w:rPr>
        <w:t xml:space="preserve">he regime on which the determination of liabilities is based suffers from several defects and </w:t>
      </w:r>
      <w:r w:rsidR="0041674D" w:rsidRPr="00E14D8C">
        <w:rPr>
          <w:lang w:val="en-US"/>
        </w:rPr>
        <w:t>can</w:t>
      </w:r>
      <w:r w:rsidR="0034367F" w:rsidRPr="00E14D8C">
        <w:rPr>
          <w:lang w:val="en-US"/>
        </w:rPr>
        <w:t xml:space="preserve"> severely debilitate justice </w:t>
      </w:r>
      <w:r w:rsidR="004569A5" w:rsidRPr="00E14D8C">
        <w:rPr>
          <w:lang w:val="en-US"/>
        </w:rPr>
        <w:t>when applied to conventional cars – let alone those that are autonomous.</w:t>
      </w:r>
      <w:r w:rsidR="0053669E" w:rsidRPr="00E14D8C">
        <w:rPr>
          <w:lang w:val="en-US"/>
        </w:rPr>
        <w:t xml:space="preserve"> </w:t>
      </w:r>
      <w:r w:rsidR="004569A5" w:rsidRPr="00E14D8C">
        <w:rPr>
          <w:lang w:val="en-US"/>
        </w:rPr>
        <w:t xml:space="preserve">Despite being amended several times </w:t>
      </w:r>
      <w:r w:rsidR="004569A5" w:rsidRPr="00E14D8C">
        <w:rPr>
          <w:lang w:val="en-US"/>
        </w:rPr>
        <w:lastRenderedPageBreak/>
        <w:t>since its promulgation, the provisions of the MVA fail to address the existing inconsistencies, thus, exposing litigants to a structural disadvantage when involved in a road accident caused by a motor vehicle.</w:t>
      </w:r>
      <w:r w:rsidR="0053669E" w:rsidRPr="00E14D8C">
        <w:rPr>
          <w:lang w:val="en-US"/>
        </w:rPr>
        <w:t xml:space="preserve"> </w:t>
      </w:r>
      <w:r w:rsidR="004569A5" w:rsidRPr="00E14D8C">
        <w:rPr>
          <w:lang w:val="en-US"/>
        </w:rPr>
        <w:t xml:space="preserve">Of the many discrepancies, the fact that the legislative framework is far from holistic seems to lie at the core of consumer anxieties </w:t>
      </w:r>
      <w:r w:rsidR="0041674D" w:rsidRPr="00E14D8C">
        <w:rPr>
          <w:lang w:val="en-US"/>
        </w:rPr>
        <w:t>about</w:t>
      </w:r>
      <w:r w:rsidR="004569A5" w:rsidRPr="00E14D8C">
        <w:rPr>
          <w:lang w:val="en-US"/>
        </w:rPr>
        <w:t xml:space="preserve"> the potential harm that autonomous vehicles such as </w:t>
      </w:r>
      <w:r w:rsidR="00251847">
        <w:rPr>
          <w:lang w:val="en-US"/>
        </w:rPr>
        <w:t>self-driving</w:t>
      </w:r>
      <w:r w:rsidR="00251847" w:rsidRPr="00E14D8C">
        <w:rPr>
          <w:lang w:val="en-US"/>
        </w:rPr>
        <w:t xml:space="preserve"> </w:t>
      </w:r>
      <w:r w:rsidR="004569A5" w:rsidRPr="00E14D8C">
        <w:rPr>
          <w:lang w:val="en-US"/>
        </w:rPr>
        <w:t>cars may cause upon their introduction on public roads in India.</w:t>
      </w:r>
      <w:r w:rsidR="0053669E" w:rsidRPr="00E14D8C">
        <w:rPr>
          <w:lang w:val="en-US"/>
        </w:rPr>
        <w:t xml:space="preserve"> </w:t>
      </w:r>
      <w:r w:rsidR="004569A5" w:rsidRPr="00E14D8C">
        <w:rPr>
          <w:lang w:val="en-US"/>
        </w:rPr>
        <w:t xml:space="preserve">The provisions of the MVA merely devise the rules for the determination of liability in accidents of a fatal or grave nature but fail </w:t>
      </w:r>
      <w:r w:rsidR="0041674D" w:rsidRPr="00E14D8C">
        <w:rPr>
          <w:lang w:val="en-US"/>
        </w:rPr>
        <w:t>to clarify the repercussions for other types of harm correspondingly</w:t>
      </w:r>
      <w:r w:rsidR="004569A5" w:rsidRPr="00E14D8C">
        <w:rPr>
          <w:lang w:val="en-US"/>
        </w:rPr>
        <w:t>.</w:t>
      </w:r>
      <w:r w:rsidR="0053669E" w:rsidRPr="00E14D8C">
        <w:rPr>
          <w:lang w:val="en-US"/>
        </w:rPr>
        <w:t xml:space="preserve"> </w:t>
      </w:r>
      <w:r w:rsidR="0041674D" w:rsidRPr="00E14D8C">
        <w:rPr>
          <w:lang w:val="en-US"/>
        </w:rPr>
        <w:t>Therefore, interested parties would</w:t>
      </w:r>
      <w:r w:rsidR="00E901CF" w:rsidRPr="00E14D8C">
        <w:rPr>
          <w:lang w:val="en-US"/>
        </w:rPr>
        <w:t xml:space="preserve"> be </w:t>
      </w:r>
      <w:r w:rsidRPr="00E14D8C">
        <w:rPr>
          <w:lang w:val="en-US"/>
        </w:rPr>
        <w:t xml:space="preserve">constantly </w:t>
      </w:r>
      <w:r w:rsidR="00E901CF" w:rsidRPr="00E14D8C">
        <w:rPr>
          <w:lang w:val="en-US"/>
        </w:rPr>
        <w:t>compelled</w:t>
      </w:r>
      <w:r w:rsidR="00E901CF" w:rsidRPr="00E14D8C">
        <w:rPr>
          <w:lang w:val="en-US"/>
        </w:rPr>
        <w:t xml:space="preserve"> to peruse a jungle of case law to ascertain their rights and liabilities for injuries that are not subject to the no-fault liability rule.</w:t>
      </w:r>
      <w:r w:rsidR="00E901CF" w:rsidRPr="00E14D8C">
        <w:rPr>
          <w:lang w:val="en-US"/>
        </w:rPr>
        <w:t xml:space="preserve"> </w:t>
      </w:r>
    </w:p>
    <w:p w14:paraId="7E43DE39" w14:textId="4A347450" w:rsidR="004569A5" w:rsidRPr="00E14D8C" w:rsidRDefault="006E5391" w:rsidP="00D83878">
      <w:pPr>
        <w:spacing w:line="360" w:lineRule="auto"/>
        <w:jc w:val="both"/>
        <w:rPr>
          <w:lang w:val="en-US"/>
        </w:rPr>
      </w:pPr>
      <w:r w:rsidRPr="00E14D8C">
        <w:rPr>
          <w:lang w:val="en-US"/>
        </w:rPr>
        <w:t xml:space="preserve">     As such, t</w:t>
      </w:r>
      <w:r w:rsidR="004569A5" w:rsidRPr="00E14D8C">
        <w:rPr>
          <w:lang w:val="en-US"/>
        </w:rPr>
        <w:t>he Supreme Court</w:t>
      </w:r>
      <w:r w:rsidRPr="00E14D8C">
        <w:rPr>
          <w:lang w:val="en-US"/>
        </w:rPr>
        <w:t xml:space="preserve"> has,</w:t>
      </w:r>
      <w:r w:rsidR="004569A5" w:rsidRPr="00E14D8C">
        <w:rPr>
          <w:lang w:val="en-US"/>
        </w:rPr>
        <w:t xml:space="preserve"> in the exercise of its constitutional power under Article 141</w:t>
      </w:r>
      <w:r w:rsidRPr="00E14D8C">
        <w:rPr>
          <w:lang w:val="en-US"/>
        </w:rPr>
        <w:t>,</w:t>
      </w:r>
      <w:r w:rsidRPr="00E14D8C">
        <w:rPr>
          <w:rStyle w:val="FootnoteReference"/>
          <w:lang w:val="en-US"/>
        </w:rPr>
        <w:footnoteReference w:id="237"/>
      </w:r>
      <w:r w:rsidRPr="00E14D8C">
        <w:rPr>
          <w:lang w:val="en-US"/>
        </w:rPr>
        <w:t xml:space="preserve"> </w:t>
      </w:r>
      <w:r w:rsidR="004569A5" w:rsidRPr="00E14D8C">
        <w:rPr>
          <w:lang w:val="en-US"/>
        </w:rPr>
        <w:t>prescribed the application of the strict liability rule to govern such disputes</w:t>
      </w:r>
      <w:r w:rsidRPr="00E14D8C">
        <w:rPr>
          <w:lang w:val="en-US"/>
        </w:rPr>
        <w:t>.</w:t>
      </w:r>
      <w:r w:rsidRPr="00E14D8C">
        <w:rPr>
          <w:rStyle w:val="FootnoteReference"/>
          <w:lang w:val="en-US"/>
        </w:rPr>
        <w:footnoteReference w:id="238"/>
      </w:r>
      <w:r w:rsidRPr="00E14D8C">
        <w:rPr>
          <w:lang w:val="en-US"/>
        </w:rPr>
        <w:t xml:space="preserve"> The principle has been based</w:t>
      </w:r>
      <w:r w:rsidR="004569A5" w:rsidRPr="00E14D8C">
        <w:rPr>
          <w:lang w:val="en-US"/>
        </w:rPr>
        <w:t xml:space="preserve"> on the assumption that motor vehicles should be construed as a non-natural use of land and should be dealt with accordingly.</w:t>
      </w:r>
      <w:r w:rsidRPr="00E14D8C">
        <w:rPr>
          <w:rStyle w:val="FootnoteReference"/>
          <w:lang w:val="en-US"/>
        </w:rPr>
        <w:footnoteReference w:id="239"/>
      </w:r>
      <w:r w:rsidR="004569A5" w:rsidRPr="00E14D8C">
        <w:rPr>
          <w:lang w:val="en-US"/>
        </w:rPr>
        <w:t xml:space="preserve"> Since then, there has been no statutory clarification or reported dictum to justify or reconsider a) how and why the use of any motor vehicle should be perceived as a non-natural use of land in modern times; and b) how the principle is intended to </w:t>
      </w:r>
      <w:r w:rsidR="00F14E6F" w:rsidRPr="00E14D8C">
        <w:rPr>
          <w:lang w:val="en-US"/>
        </w:rPr>
        <w:t xml:space="preserve">operate when it comes to the determination of liability in disputes specifically relating to road accidents caused by motor vehicles. </w:t>
      </w:r>
    </w:p>
    <w:p w14:paraId="64757F2C" w14:textId="1367888E" w:rsidR="005009C3" w:rsidRPr="00E14D8C" w:rsidRDefault="00F14E6F" w:rsidP="00D83878">
      <w:pPr>
        <w:spacing w:line="360" w:lineRule="auto"/>
        <w:jc w:val="both"/>
        <w:rPr>
          <w:lang w:val="en-US"/>
        </w:rPr>
      </w:pPr>
      <w:r w:rsidRPr="00E14D8C">
        <w:rPr>
          <w:lang w:val="en-US"/>
        </w:rPr>
        <w:t xml:space="preserve">     </w:t>
      </w:r>
      <w:r w:rsidR="006E5391" w:rsidRPr="00E14D8C">
        <w:rPr>
          <w:lang w:val="en-US"/>
        </w:rPr>
        <w:t xml:space="preserve"> </w:t>
      </w:r>
      <w:r w:rsidRPr="00E14D8C">
        <w:rPr>
          <w:lang w:val="en-US"/>
        </w:rPr>
        <w:t>Owners</w:t>
      </w:r>
      <w:r w:rsidR="0041674D" w:rsidRPr="00E14D8C">
        <w:rPr>
          <w:lang w:val="en-US"/>
        </w:rPr>
        <w:t>,</w:t>
      </w:r>
      <w:r w:rsidRPr="00E14D8C">
        <w:rPr>
          <w:lang w:val="en-US"/>
        </w:rPr>
        <w:t xml:space="preserve"> in their capacity as users</w:t>
      </w:r>
      <w:r w:rsidR="0041674D" w:rsidRPr="00E14D8C">
        <w:rPr>
          <w:lang w:val="en-US"/>
        </w:rPr>
        <w:t>,</w:t>
      </w:r>
      <w:r w:rsidRPr="00E14D8C">
        <w:rPr>
          <w:lang w:val="en-US"/>
        </w:rPr>
        <w:t xml:space="preserve"> cannot be expected to be willing to pay for advanced technologies such as </w:t>
      </w:r>
      <w:r w:rsidR="00251847">
        <w:rPr>
          <w:lang w:val="en-US"/>
        </w:rPr>
        <w:t>self-driving</w:t>
      </w:r>
      <w:r w:rsidR="00251847" w:rsidRPr="00E14D8C">
        <w:rPr>
          <w:lang w:val="en-US"/>
        </w:rPr>
        <w:t xml:space="preserve"> </w:t>
      </w:r>
      <w:r w:rsidRPr="00E14D8C">
        <w:rPr>
          <w:lang w:val="en-US"/>
        </w:rPr>
        <w:t xml:space="preserve">cars regardless of whether it has the potential to confer increased safety unless they are well aware of the precise circumstances in which they would or would not be liable for any misfortune – grave or minor – especially if </w:t>
      </w:r>
      <w:r w:rsidR="00F355AA" w:rsidRPr="00E14D8C">
        <w:rPr>
          <w:lang w:val="en-US"/>
        </w:rPr>
        <w:t>they are expected to bear the primary liability</w:t>
      </w:r>
      <w:r w:rsidRPr="00E14D8C">
        <w:rPr>
          <w:lang w:val="en-US"/>
        </w:rPr>
        <w:t>.</w:t>
      </w:r>
      <w:r w:rsidR="0053669E" w:rsidRPr="00E14D8C">
        <w:rPr>
          <w:lang w:val="en-US"/>
        </w:rPr>
        <w:t xml:space="preserve"> </w:t>
      </w:r>
      <w:r w:rsidR="00DC1111" w:rsidRPr="00E14D8C">
        <w:rPr>
          <w:lang w:val="en-US"/>
        </w:rPr>
        <w:t>When seen from the perspective of a third party such as a consumer or pedestrian, imposing a primary liability on owners for all harm has its advantage of offering speedy relief to victims</w:t>
      </w:r>
      <w:r w:rsidR="009E559F" w:rsidRPr="00E14D8C">
        <w:rPr>
          <w:lang w:val="en-US"/>
        </w:rPr>
        <w:t>.</w:t>
      </w:r>
      <w:r w:rsidR="0053669E" w:rsidRPr="00E14D8C">
        <w:rPr>
          <w:lang w:val="en-US"/>
        </w:rPr>
        <w:t xml:space="preserve"> </w:t>
      </w:r>
      <w:r w:rsidR="009E559F" w:rsidRPr="00E14D8C">
        <w:rPr>
          <w:lang w:val="en-US"/>
        </w:rPr>
        <w:t>Third parties</w:t>
      </w:r>
      <w:r w:rsidR="00DC1111" w:rsidRPr="00E14D8C">
        <w:rPr>
          <w:lang w:val="en-US"/>
        </w:rPr>
        <w:t xml:space="preserve"> </w:t>
      </w:r>
      <w:r w:rsidR="002E6565" w:rsidRPr="00E14D8C">
        <w:rPr>
          <w:lang w:val="en-US"/>
        </w:rPr>
        <w:t xml:space="preserve">would </w:t>
      </w:r>
      <w:r w:rsidR="00DC1111" w:rsidRPr="00E14D8C">
        <w:rPr>
          <w:lang w:val="en-US"/>
        </w:rPr>
        <w:t xml:space="preserve">otherwise be exposed to unnecessary financial difficulties on being compelled to (themselves) sue producers </w:t>
      </w:r>
      <w:r w:rsidR="0041674D" w:rsidRPr="00E14D8C">
        <w:rPr>
          <w:lang w:val="en-US"/>
        </w:rPr>
        <w:t>due to</w:t>
      </w:r>
      <w:r w:rsidR="00DC1111" w:rsidRPr="00E14D8C">
        <w:rPr>
          <w:lang w:val="en-US"/>
        </w:rPr>
        <w:t xml:space="preserve"> lengthy investigations that may be necessary </w:t>
      </w:r>
      <w:r w:rsidR="0041674D" w:rsidRPr="00E14D8C">
        <w:rPr>
          <w:lang w:val="en-US"/>
        </w:rPr>
        <w:t>for</w:t>
      </w:r>
      <w:r w:rsidR="00DC1111" w:rsidRPr="00E14D8C">
        <w:rPr>
          <w:lang w:val="en-US"/>
        </w:rPr>
        <w:t xml:space="preserve"> proving the existence of defects in vehicles such as self-driving cars that imbibe sophisticated technology.</w:t>
      </w:r>
      <w:r w:rsidR="0053669E" w:rsidRPr="00E14D8C">
        <w:rPr>
          <w:lang w:val="en-US"/>
        </w:rPr>
        <w:t xml:space="preserve"> </w:t>
      </w:r>
      <w:r w:rsidR="006E5391" w:rsidRPr="00E14D8C">
        <w:rPr>
          <w:lang w:val="en-US"/>
        </w:rPr>
        <w:t>At the same time</w:t>
      </w:r>
      <w:r w:rsidR="009E559F" w:rsidRPr="00E14D8C">
        <w:rPr>
          <w:lang w:val="en-US"/>
        </w:rPr>
        <w:t>, the fact that owners may be compelled to bear the primary liability does not</w:t>
      </w:r>
      <w:r w:rsidR="002E6565" w:rsidRPr="00E14D8C">
        <w:rPr>
          <w:lang w:val="en-US"/>
        </w:rPr>
        <w:t xml:space="preserve">, in any manner, </w:t>
      </w:r>
      <w:r w:rsidR="009E559F" w:rsidRPr="00E14D8C">
        <w:rPr>
          <w:lang w:val="en-US"/>
        </w:rPr>
        <w:t xml:space="preserve">reduce or eliminate the need </w:t>
      </w:r>
      <w:r w:rsidR="002E6565" w:rsidRPr="00E14D8C">
        <w:rPr>
          <w:lang w:val="en-US"/>
        </w:rPr>
        <w:t>for</w:t>
      </w:r>
      <w:r w:rsidR="009E559F" w:rsidRPr="00E14D8C">
        <w:rPr>
          <w:lang w:val="en-US"/>
        </w:rPr>
        <w:t xml:space="preserve"> fairly apportion</w:t>
      </w:r>
      <w:r w:rsidR="002E6565" w:rsidRPr="00E14D8C">
        <w:rPr>
          <w:lang w:val="en-US"/>
        </w:rPr>
        <w:t>ing</w:t>
      </w:r>
      <w:r w:rsidR="009E559F" w:rsidRPr="00E14D8C">
        <w:rPr>
          <w:lang w:val="en-US"/>
        </w:rPr>
        <w:t xml:space="preserve"> the risks inherent in the use of modern technological innovations such as these</w:t>
      </w:r>
      <w:r w:rsidR="00B25182" w:rsidRPr="00E14D8C">
        <w:rPr>
          <w:lang w:val="en-US"/>
        </w:rPr>
        <w:t>.</w:t>
      </w:r>
      <w:r w:rsidR="0053669E" w:rsidRPr="00E14D8C">
        <w:rPr>
          <w:lang w:val="en-US"/>
        </w:rPr>
        <w:t xml:space="preserve"> </w:t>
      </w:r>
      <w:r w:rsidR="00B25182" w:rsidRPr="00E14D8C">
        <w:rPr>
          <w:lang w:val="en-US"/>
        </w:rPr>
        <w:lastRenderedPageBreak/>
        <w:t xml:space="preserve">Owners ought to be clearly apprised of the extent of the </w:t>
      </w:r>
      <w:r w:rsidR="0041674D" w:rsidRPr="00E14D8C">
        <w:rPr>
          <w:lang w:val="en-US"/>
        </w:rPr>
        <w:t>manufacturer’s</w:t>
      </w:r>
      <w:r w:rsidR="00B25182" w:rsidRPr="00E14D8C">
        <w:rPr>
          <w:lang w:val="en-US"/>
        </w:rPr>
        <w:t xml:space="preserve"> liability and the law according to which such claims may be adjudicated.</w:t>
      </w:r>
      <w:r w:rsidR="0053669E" w:rsidRPr="00E14D8C">
        <w:rPr>
          <w:lang w:val="en-US"/>
        </w:rPr>
        <w:t xml:space="preserve"> </w:t>
      </w:r>
      <w:r w:rsidR="005009C3" w:rsidRPr="00E14D8C">
        <w:rPr>
          <w:lang w:val="en-US"/>
        </w:rPr>
        <w:t xml:space="preserve">There is some indication in Indian law </w:t>
      </w:r>
      <w:r w:rsidR="0041674D" w:rsidRPr="00E14D8C">
        <w:rPr>
          <w:lang w:val="en-US"/>
        </w:rPr>
        <w:t>regarding</w:t>
      </w:r>
      <w:r w:rsidR="005009C3" w:rsidRPr="00E14D8C">
        <w:rPr>
          <w:lang w:val="en-US"/>
        </w:rPr>
        <w:t xml:space="preserve"> the likelihood of the applicability of the domestic principles of product liability under the </w:t>
      </w:r>
      <w:proofErr w:type="spellStart"/>
      <w:r w:rsidR="005009C3" w:rsidRPr="00E14D8C">
        <w:rPr>
          <w:i/>
          <w:lang w:val="en-US"/>
        </w:rPr>
        <w:t>lex</w:t>
      </w:r>
      <w:proofErr w:type="spellEnd"/>
      <w:r w:rsidR="005009C3" w:rsidRPr="00E14D8C">
        <w:rPr>
          <w:i/>
          <w:lang w:val="en-US"/>
        </w:rPr>
        <w:t xml:space="preserve"> </w:t>
      </w:r>
      <w:proofErr w:type="spellStart"/>
      <w:r w:rsidR="005009C3" w:rsidRPr="00E14D8C">
        <w:rPr>
          <w:i/>
          <w:lang w:val="en-US"/>
        </w:rPr>
        <w:t>fori</w:t>
      </w:r>
      <w:proofErr w:type="spellEnd"/>
      <w:r w:rsidR="005009C3" w:rsidRPr="00E14D8C">
        <w:rPr>
          <w:lang w:val="en-US"/>
        </w:rPr>
        <w:t xml:space="preserve"> rule to ascertain the rights and obligations of producers of such vehicles.</w:t>
      </w:r>
      <w:r w:rsidR="0053669E" w:rsidRPr="00E14D8C">
        <w:rPr>
          <w:lang w:val="en-US"/>
        </w:rPr>
        <w:t xml:space="preserve"> </w:t>
      </w:r>
      <w:r w:rsidR="00396DAC" w:rsidRPr="00E14D8C">
        <w:rPr>
          <w:lang w:val="en-US"/>
        </w:rPr>
        <w:t>Although the provisions of the CPA</w:t>
      </w:r>
      <w:r w:rsidR="002E6565" w:rsidRPr="00E14D8C">
        <w:rPr>
          <w:lang w:val="en-US"/>
        </w:rPr>
        <w:t>A</w:t>
      </w:r>
      <w:r w:rsidR="00396DAC" w:rsidRPr="00E14D8C">
        <w:rPr>
          <w:lang w:val="en-US"/>
        </w:rPr>
        <w:t xml:space="preserve"> indicate the circumstances in which producers of such </w:t>
      </w:r>
      <w:r w:rsidR="0041674D" w:rsidRPr="00E14D8C">
        <w:rPr>
          <w:lang w:val="en-US"/>
        </w:rPr>
        <w:t>cars</w:t>
      </w:r>
      <w:r w:rsidR="00396DAC" w:rsidRPr="00E14D8C">
        <w:rPr>
          <w:lang w:val="en-US"/>
        </w:rPr>
        <w:t xml:space="preserve"> may be held responsible for any harm caused to any person as a result of the defects in the car, they fail </w:t>
      </w:r>
      <w:r w:rsidR="0041674D" w:rsidRPr="00E14D8C">
        <w:rPr>
          <w:lang w:val="en-US"/>
        </w:rPr>
        <w:t>to prescribe the extent of the liability concurrently</w:t>
      </w:r>
      <w:r w:rsidR="005009C3" w:rsidRPr="00E14D8C">
        <w:rPr>
          <w:lang w:val="en-US"/>
        </w:rPr>
        <w:t>.</w:t>
      </w:r>
      <w:r w:rsidR="0053669E" w:rsidRPr="00E14D8C">
        <w:rPr>
          <w:lang w:val="en-US"/>
        </w:rPr>
        <w:t xml:space="preserve"> </w:t>
      </w:r>
      <w:r w:rsidR="00396DAC" w:rsidRPr="00E14D8C">
        <w:rPr>
          <w:lang w:val="en-US"/>
        </w:rPr>
        <w:t xml:space="preserve">Considering that technological advancements such as </w:t>
      </w:r>
      <w:r w:rsidR="00251847">
        <w:rPr>
          <w:lang w:val="en-US"/>
        </w:rPr>
        <w:t>self-driving</w:t>
      </w:r>
      <w:r w:rsidR="00251847" w:rsidRPr="00E14D8C">
        <w:rPr>
          <w:lang w:val="en-US"/>
        </w:rPr>
        <w:t xml:space="preserve"> </w:t>
      </w:r>
      <w:r w:rsidR="00396DAC" w:rsidRPr="00E14D8C">
        <w:rPr>
          <w:lang w:val="en-US"/>
        </w:rPr>
        <w:t xml:space="preserve">cars rely heavily on software to operate, owners should be well informed of the ramifications of any harm caused to any person </w:t>
      </w:r>
      <w:r w:rsidR="002E6565" w:rsidRPr="00E14D8C">
        <w:rPr>
          <w:lang w:val="en-US"/>
        </w:rPr>
        <w:t>by</w:t>
      </w:r>
      <w:r w:rsidR="00396DAC" w:rsidRPr="00E14D8C">
        <w:rPr>
          <w:lang w:val="en-US"/>
        </w:rPr>
        <w:t xml:space="preserve"> a malfunction in the technical system in the car from a faulty update</w:t>
      </w:r>
      <w:r w:rsidR="005009C3" w:rsidRPr="00E14D8C">
        <w:rPr>
          <w:lang w:val="en-US"/>
        </w:rPr>
        <w:t xml:space="preserve"> </w:t>
      </w:r>
      <w:r w:rsidR="00396DAC" w:rsidRPr="00E14D8C">
        <w:rPr>
          <w:lang w:val="en-US"/>
        </w:rPr>
        <w:t>that was added subsequently and, therefore, did not exist when the vehicle(s) were put into circulation in the market.</w:t>
      </w:r>
      <w:r w:rsidR="0053669E" w:rsidRPr="00E14D8C">
        <w:rPr>
          <w:lang w:val="en-US"/>
        </w:rPr>
        <w:t xml:space="preserve"> </w:t>
      </w:r>
      <w:r w:rsidR="00396DAC" w:rsidRPr="00E14D8C">
        <w:rPr>
          <w:lang w:val="en-US"/>
        </w:rPr>
        <w:t>The provisions of the CPA</w:t>
      </w:r>
      <w:r w:rsidR="002E6565" w:rsidRPr="00E14D8C">
        <w:rPr>
          <w:lang w:val="en-US"/>
        </w:rPr>
        <w:t>A</w:t>
      </w:r>
      <w:r w:rsidR="00396DAC" w:rsidRPr="00E14D8C">
        <w:rPr>
          <w:lang w:val="en-US"/>
        </w:rPr>
        <w:t xml:space="preserve"> are lacking </w:t>
      </w:r>
      <w:r w:rsidR="0041674D" w:rsidRPr="00E14D8C">
        <w:rPr>
          <w:lang w:val="en-US"/>
        </w:rPr>
        <w:t>in</w:t>
      </w:r>
      <w:r w:rsidR="00396DAC" w:rsidRPr="00E14D8C">
        <w:rPr>
          <w:lang w:val="en-US"/>
        </w:rPr>
        <w:t xml:space="preserve"> aspects such as these, thus, contributing to the uncertainties in Indian law. </w:t>
      </w:r>
    </w:p>
    <w:p w14:paraId="0DF7678A" w14:textId="49ADCE86" w:rsidR="005009C3" w:rsidRPr="00E14D8C" w:rsidRDefault="005009C3" w:rsidP="00D83878">
      <w:pPr>
        <w:spacing w:line="360" w:lineRule="auto"/>
        <w:jc w:val="both"/>
        <w:rPr>
          <w:lang w:val="en-US"/>
        </w:rPr>
      </w:pPr>
      <w:r w:rsidRPr="00E14D8C">
        <w:rPr>
          <w:lang w:val="en-US"/>
        </w:rPr>
        <w:t xml:space="preserve">      Likewise, users</w:t>
      </w:r>
      <w:r w:rsidR="0041674D" w:rsidRPr="00E14D8C">
        <w:rPr>
          <w:lang w:val="en-US"/>
        </w:rPr>
        <w:t>,</w:t>
      </w:r>
      <w:r w:rsidRPr="00E14D8C">
        <w:rPr>
          <w:lang w:val="en-US"/>
        </w:rPr>
        <w:t xml:space="preserve"> in their capacity as consumers</w:t>
      </w:r>
      <w:r w:rsidR="0041674D" w:rsidRPr="00E14D8C">
        <w:rPr>
          <w:lang w:val="en-US"/>
        </w:rPr>
        <w:t>,</w:t>
      </w:r>
      <w:r w:rsidRPr="00E14D8C">
        <w:rPr>
          <w:lang w:val="en-US"/>
        </w:rPr>
        <w:t xml:space="preserve"> cannot be expected to consent to the testing of such </w:t>
      </w:r>
      <w:r w:rsidR="00251847">
        <w:rPr>
          <w:lang w:val="en-US"/>
        </w:rPr>
        <w:t>self-driving</w:t>
      </w:r>
      <w:r w:rsidR="00251847" w:rsidRPr="00E14D8C">
        <w:rPr>
          <w:lang w:val="en-US"/>
        </w:rPr>
        <w:t xml:space="preserve"> </w:t>
      </w:r>
      <w:r w:rsidRPr="00E14D8C">
        <w:rPr>
          <w:lang w:val="en-US"/>
        </w:rPr>
        <w:t>cars on public roads in their vicinity unless the law clearly apprises them of their rights and remedies for any harm that they may be exposed to, through the operation of such vehicles.</w:t>
      </w:r>
      <w:r w:rsidR="0053669E" w:rsidRPr="00E14D8C">
        <w:rPr>
          <w:lang w:val="en-US"/>
        </w:rPr>
        <w:t xml:space="preserve"> </w:t>
      </w:r>
      <w:r w:rsidR="005722FB" w:rsidRPr="00E14D8C">
        <w:rPr>
          <w:lang w:val="en-US"/>
        </w:rPr>
        <w:t xml:space="preserve">The MVA, while postulating the mechanism on which the </w:t>
      </w:r>
      <w:r w:rsidR="0041674D" w:rsidRPr="00E14D8C">
        <w:rPr>
          <w:lang w:val="en-US"/>
        </w:rPr>
        <w:t>owner’s</w:t>
      </w:r>
      <w:r w:rsidR="005722FB" w:rsidRPr="00E14D8C">
        <w:rPr>
          <w:lang w:val="en-US"/>
        </w:rPr>
        <w:t xml:space="preserve"> liability will be ascertained, fail to correspondingly stipulate the remedies that third parties such as users may be entitled to in case of fatal or grave injuries</w:t>
      </w:r>
      <w:r w:rsidR="00373C0F" w:rsidRPr="00E14D8C">
        <w:rPr>
          <w:lang w:val="en-US"/>
        </w:rPr>
        <w:t xml:space="preserve"> </w:t>
      </w:r>
      <w:r w:rsidR="0041674D" w:rsidRPr="00E14D8C">
        <w:rPr>
          <w:lang w:val="en-US"/>
        </w:rPr>
        <w:t>transparently and predictably</w:t>
      </w:r>
      <w:r w:rsidR="005722FB" w:rsidRPr="00E14D8C">
        <w:rPr>
          <w:lang w:val="en-US"/>
        </w:rPr>
        <w:t>.</w:t>
      </w:r>
      <w:r w:rsidR="0053669E" w:rsidRPr="00E14D8C">
        <w:rPr>
          <w:lang w:val="en-US"/>
        </w:rPr>
        <w:t xml:space="preserve"> </w:t>
      </w:r>
      <w:r w:rsidR="005722FB" w:rsidRPr="00E14D8C">
        <w:rPr>
          <w:lang w:val="en-US"/>
        </w:rPr>
        <w:t>At other times</w:t>
      </w:r>
      <w:r w:rsidR="003464AC" w:rsidRPr="00E14D8C">
        <w:rPr>
          <w:lang w:val="en-US"/>
        </w:rPr>
        <w:t>, t</w:t>
      </w:r>
      <w:r w:rsidR="00373C0F" w:rsidRPr="00E14D8C">
        <w:rPr>
          <w:lang w:val="en-US"/>
        </w:rPr>
        <w:t xml:space="preserve">he </w:t>
      </w:r>
      <w:r w:rsidR="00EA5257" w:rsidRPr="00E14D8C">
        <w:rPr>
          <w:lang w:val="en-US"/>
        </w:rPr>
        <w:t xml:space="preserve">strict liability rule </w:t>
      </w:r>
      <w:r w:rsidR="003464AC" w:rsidRPr="00E14D8C">
        <w:rPr>
          <w:lang w:val="en-US"/>
        </w:rPr>
        <w:t>that determines the liability for</w:t>
      </w:r>
      <w:r w:rsidR="00EA5257" w:rsidRPr="00E14D8C">
        <w:rPr>
          <w:lang w:val="en-US"/>
        </w:rPr>
        <w:t xml:space="preserve"> </w:t>
      </w:r>
      <w:r w:rsidR="003464AC" w:rsidRPr="00E14D8C">
        <w:rPr>
          <w:lang w:val="en-US"/>
        </w:rPr>
        <w:t>other</w:t>
      </w:r>
      <w:r w:rsidR="00EA5257" w:rsidRPr="00E14D8C">
        <w:rPr>
          <w:lang w:val="en-US"/>
        </w:rPr>
        <w:t xml:space="preserve"> forms of damage renders the current principles of Indian law most unsuitable </w:t>
      </w:r>
      <w:r w:rsidR="0041674D" w:rsidRPr="00E14D8C">
        <w:rPr>
          <w:lang w:val="en-US"/>
        </w:rPr>
        <w:t>for</w:t>
      </w:r>
      <w:r w:rsidR="00EA5257" w:rsidRPr="00E14D8C">
        <w:rPr>
          <w:lang w:val="en-US"/>
        </w:rPr>
        <w:t xml:space="preserve"> </w:t>
      </w:r>
      <w:r w:rsidR="0041674D" w:rsidRPr="00E14D8C">
        <w:rPr>
          <w:lang w:val="en-US"/>
        </w:rPr>
        <w:t>regulating</w:t>
      </w:r>
      <w:r w:rsidR="003464AC" w:rsidRPr="00E14D8C">
        <w:rPr>
          <w:lang w:val="en-US"/>
        </w:rPr>
        <w:t xml:space="preserve"> </w:t>
      </w:r>
      <w:r w:rsidR="00251847">
        <w:rPr>
          <w:lang w:val="en-US"/>
        </w:rPr>
        <w:t>self-driving</w:t>
      </w:r>
      <w:r w:rsidR="00251847" w:rsidRPr="00E14D8C">
        <w:rPr>
          <w:lang w:val="en-US"/>
        </w:rPr>
        <w:t xml:space="preserve"> </w:t>
      </w:r>
      <w:r w:rsidR="003464AC" w:rsidRPr="00E14D8C">
        <w:rPr>
          <w:lang w:val="en-US"/>
        </w:rPr>
        <w:t>cars</w:t>
      </w:r>
      <w:r w:rsidR="0041674D" w:rsidRPr="00E14D8C">
        <w:rPr>
          <w:lang w:val="en-US"/>
        </w:rPr>
        <w:t>,</w:t>
      </w:r>
      <w:r w:rsidR="003464AC" w:rsidRPr="00E14D8C">
        <w:rPr>
          <w:lang w:val="en-US"/>
        </w:rPr>
        <w:t xml:space="preserve"> given the wide range of</w:t>
      </w:r>
      <w:r w:rsidR="0041674D" w:rsidRPr="00E14D8C">
        <w:rPr>
          <w:lang w:val="en-US"/>
        </w:rPr>
        <w:t xml:space="preserve"> </w:t>
      </w:r>
      <w:proofErr w:type="spellStart"/>
      <w:r w:rsidR="0041674D" w:rsidRPr="00E14D8C">
        <w:rPr>
          <w:lang w:val="en-US"/>
        </w:rPr>
        <w:t>defences</w:t>
      </w:r>
      <w:proofErr w:type="spellEnd"/>
      <w:r w:rsidR="003464AC" w:rsidRPr="00E14D8C">
        <w:rPr>
          <w:lang w:val="en-US"/>
        </w:rPr>
        <w:t xml:space="preserve"> under which owners mat exonerate themselves from liability; thus, </w:t>
      </w:r>
      <w:r w:rsidR="003464AC" w:rsidRPr="00E14D8C">
        <w:rPr>
          <w:lang w:val="en-US"/>
        </w:rPr>
        <w:t xml:space="preserve">exposing </w:t>
      </w:r>
      <w:r w:rsidR="003464AC" w:rsidRPr="00E14D8C">
        <w:rPr>
          <w:lang w:val="en-US"/>
        </w:rPr>
        <w:t>victims</w:t>
      </w:r>
      <w:r w:rsidR="003464AC" w:rsidRPr="00E14D8C">
        <w:rPr>
          <w:lang w:val="en-US"/>
        </w:rPr>
        <w:t xml:space="preserve"> to unexpected financial difficulties and mental distress.</w:t>
      </w:r>
      <w:r w:rsidR="003464AC" w:rsidRPr="00E14D8C">
        <w:rPr>
          <w:rStyle w:val="FootnoteReference"/>
          <w:lang w:val="en-US"/>
        </w:rPr>
        <w:footnoteReference w:id="240"/>
      </w:r>
    </w:p>
    <w:p w14:paraId="4E8FB69A" w14:textId="38C0D3EB" w:rsidR="005009C3" w:rsidRPr="00E14D8C" w:rsidRDefault="007050E3" w:rsidP="00D83878">
      <w:pPr>
        <w:spacing w:line="360" w:lineRule="auto"/>
        <w:jc w:val="both"/>
        <w:rPr>
          <w:lang w:val="en-US"/>
        </w:rPr>
      </w:pPr>
      <w:r w:rsidRPr="00E14D8C">
        <w:rPr>
          <w:lang w:val="en-US"/>
        </w:rPr>
        <w:t xml:space="preserve">       </w:t>
      </w:r>
      <w:r w:rsidR="005722FB" w:rsidRPr="00E14D8C">
        <w:rPr>
          <w:lang w:val="en-US"/>
        </w:rPr>
        <w:t xml:space="preserve">The current state of the regulatory framework, thus, </w:t>
      </w:r>
      <w:r w:rsidR="008F0AB9" w:rsidRPr="00E14D8C">
        <w:rPr>
          <w:lang w:val="en-US"/>
        </w:rPr>
        <w:t>seems</w:t>
      </w:r>
      <w:r w:rsidR="005722FB" w:rsidRPr="00E14D8C">
        <w:rPr>
          <w:lang w:val="en-US"/>
        </w:rPr>
        <w:t xml:space="preserve"> to have played a pivotal role in persuading consumers against the deployment of autonomous vehicles such as driverless cars</w:t>
      </w:r>
      <w:r w:rsidR="008F0AB9" w:rsidRPr="00E14D8C">
        <w:rPr>
          <w:lang w:val="en-US"/>
        </w:rPr>
        <w:t>.</w:t>
      </w:r>
      <w:r w:rsidR="0053669E" w:rsidRPr="00E14D8C">
        <w:rPr>
          <w:lang w:val="en-US"/>
        </w:rPr>
        <w:t xml:space="preserve"> </w:t>
      </w:r>
      <w:r w:rsidR="005D00EB" w:rsidRPr="00E14D8C">
        <w:rPr>
          <w:lang w:val="en-US"/>
        </w:rPr>
        <w:t>Unlike France</w:t>
      </w:r>
      <w:r w:rsidR="0041674D" w:rsidRPr="00E14D8C">
        <w:rPr>
          <w:lang w:val="en-US"/>
        </w:rPr>
        <w:t>,</w:t>
      </w:r>
      <w:r w:rsidR="005D00EB" w:rsidRPr="00E14D8C">
        <w:rPr>
          <w:lang w:val="en-US"/>
        </w:rPr>
        <w:t xml:space="preserve"> </w:t>
      </w:r>
      <w:r w:rsidR="0041674D" w:rsidRPr="00E14D8C">
        <w:rPr>
          <w:lang w:val="en-US"/>
        </w:rPr>
        <w:t>which</w:t>
      </w:r>
      <w:r w:rsidR="005D00EB" w:rsidRPr="00E14D8C">
        <w:rPr>
          <w:lang w:val="en-US"/>
        </w:rPr>
        <w:t xml:space="preserve"> subjects </w:t>
      </w:r>
      <w:r w:rsidR="00251847">
        <w:rPr>
          <w:lang w:val="en-US"/>
        </w:rPr>
        <w:t>self-driving</w:t>
      </w:r>
      <w:r w:rsidR="00251847" w:rsidRPr="00E14D8C">
        <w:rPr>
          <w:lang w:val="en-US"/>
        </w:rPr>
        <w:t xml:space="preserve"> </w:t>
      </w:r>
      <w:r w:rsidR="005D00EB" w:rsidRPr="00E14D8C">
        <w:rPr>
          <w:lang w:val="en-US"/>
        </w:rPr>
        <w:t>cars to the general rules on the determination of liability under civil law applicable to other motor vehicles, the principles of Indian law are not equipped to regulate the operation of such vehicles.</w:t>
      </w:r>
      <w:r w:rsidR="0053669E" w:rsidRPr="00E14D8C">
        <w:rPr>
          <w:lang w:val="en-US"/>
        </w:rPr>
        <w:t xml:space="preserve"> </w:t>
      </w:r>
      <w:r w:rsidR="0041674D" w:rsidRPr="00E14D8C">
        <w:rPr>
          <w:lang w:val="en-US"/>
        </w:rPr>
        <w:t>Therefore, the</w:t>
      </w:r>
      <w:r w:rsidR="008F0AB9" w:rsidRPr="00E14D8C">
        <w:rPr>
          <w:lang w:val="en-US"/>
        </w:rPr>
        <w:t xml:space="preserve"> formulation of special rules to regulate vehicles such as </w:t>
      </w:r>
      <w:r w:rsidR="0041674D" w:rsidRPr="00E14D8C">
        <w:rPr>
          <w:lang w:val="en-US"/>
        </w:rPr>
        <w:t>these is</w:t>
      </w:r>
      <w:r w:rsidR="008F0AB9" w:rsidRPr="00E14D8C">
        <w:rPr>
          <w:lang w:val="en-US"/>
        </w:rPr>
        <w:t xml:space="preserve"> indispensable</w:t>
      </w:r>
      <w:r w:rsidR="0041674D" w:rsidRPr="00E14D8C">
        <w:rPr>
          <w:lang w:val="en-US"/>
        </w:rPr>
        <w:t>,</w:t>
      </w:r>
      <w:r w:rsidR="008F0AB9" w:rsidRPr="00E14D8C">
        <w:rPr>
          <w:lang w:val="en-US"/>
        </w:rPr>
        <w:t xml:space="preserve"> having regard to the challenges that adjudicators are prone to confront </w:t>
      </w:r>
      <w:r w:rsidR="0041674D" w:rsidRPr="00E14D8C">
        <w:rPr>
          <w:lang w:val="en-US"/>
        </w:rPr>
        <w:t>up</w:t>
      </w:r>
      <w:r w:rsidR="008F0AB9" w:rsidRPr="00E14D8C">
        <w:rPr>
          <w:lang w:val="en-US"/>
        </w:rPr>
        <w:t>on their introduction.</w:t>
      </w:r>
      <w:r w:rsidR="0053669E" w:rsidRPr="00E14D8C">
        <w:rPr>
          <w:lang w:val="en-US"/>
        </w:rPr>
        <w:t xml:space="preserve"> </w:t>
      </w:r>
      <w:r w:rsidR="008F0AB9" w:rsidRPr="00E14D8C">
        <w:rPr>
          <w:lang w:val="en-US"/>
        </w:rPr>
        <w:t xml:space="preserve">In doing so, lawmakers in India </w:t>
      </w:r>
      <w:r w:rsidR="006E5391" w:rsidRPr="00E14D8C">
        <w:rPr>
          <w:lang w:val="en-US"/>
        </w:rPr>
        <w:t>should consider imbibing</w:t>
      </w:r>
      <w:r w:rsidR="008F0AB9" w:rsidRPr="00E14D8C">
        <w:rPr>
          <w:lang w:val="en-US"/>
        </w:rPr>
        <w:t xml:space="preserve"> the principles of German law on the subject </w:t>
      </w:r>
      <w:r w:rsidR="006E5391" w:rsidRPr="00E14D8C">
        <w:rPr>
          <w:lang w:val="en-US"/>
        </w:rPr>
        <w:t xml:space="preserve">for its ability to succinctly </w:t>
      </w:r>
      <w:r w:rsidR="008F0AB9" w:rsidRPr="00E14D8C">
        <w:rPr>
          <w:lang w:val="en-US"/>
        </w:rPr>
        <w:t>demarcate the rights and obligations of owners and producers of such vehicles.</w:t>
      </w:r>
      <w:r w:rsidR="006E5391" w:rsidRPr="00E14D8C">
        <w:rPr>
          <w:rStyle w:val="FootnoteReference"/>
          <w:lang w:val="en-US"/>
        </w:rPr>
        <w:footnoteReference w:id="241"/>
      </w:r>
      <w:r w:rsidR="008F0AB9" w:rsidRPr="00E14D8C">
        <w:rPr>
          <w:lang w:val="en-US"/>
        </w:rPr>
        <w:t xml:space="preserve"> </w:t>
      </w:r>
      <w:r w:rsidR="00DF3C1B" w:rsidRPr="00E14D8C">
        <w:rPr>
          <w:lang w:val="en-US"/>
        </w:rPr>
        <w:t xml:space="preserve">In </w:t>
      </w:r>
      <w:r w:rsidR="00DF3C1B" w:rsidRPr="00E14D8C">
        <w:rPr>
          <w:lang w:val="en-US"/>
        </w:rPr>
        <w:lastRenderedPageBreak/>
        <w:t>doing so</w:t>
      </w:r>
      <w:r w:rsidR="006E5391" w:rsidRPr="00E14D8C">
        <w:rPr>
          <w:lang w:val="en-US"/>
        </w:rPr>
        <w:t xml:space="preserve">, it is suggested that Indian law should continue to impose the primary liability on owners – albeit after clearly stipulating their obligations in the manner </w:t>
      </w:r>
      <w:r w:rsidR="0041674D" w:rsidRPr="00E14D8C">
        <w:rPr>
          <w:lang w:val="en-US"/>
        </w:rPr>
        <w:t>indicated</w:t>
      </w:r>
      <w:r w:rsidR="006E5391" w:rsidRPr="00E14D8C">
        <w:rPr>
          <w:lang w:val="en-US"/>
        </w:rPr>
        <w:t xml:space="preserve"> above.</w:t>
      </w:r>
      <w:r w:rsidR="0053669E" w:rsidRPr="00E14D8C">
        <w:rPr>
          <w:lang w:val="en-US"/>
        </w:rPr>
        <w:t xml:space="preserve"> </w:t>
      </w:r>
      <w:r w:rsidR="0041674D" w:rsidRPr="00E14D8C">
        <w:rPr>
          <w:lang w:val="en-US"/>
        </w:rPr>
        <w:t>Thus, manufacturers' liability should</w:t>
      </w:r>
      <w:r w:rsidR="000E7B31" w:rsidRPr="00E14D8C">
        <w:rPr>
          <w:lang w:val="en-US"/>
        </w:rPr>
        <w:t xml:space="preserve"> remain secondary to alleviate the plausible injustice that third parties such as users, pedestrians</w:t>
      </w:r>
      <w:r w:rsidR="0041674D" w:rsidRPr="00E14D8C">
        <w:rPr>
          <w:lang w:val="en-US"/>
        </w:rPr>
        <w:t>,</w:t>
      </w:r>
      <w:r w:rsidR="000E7B31" w:rsidRPr="00E14D8C">
        <w:rPr>
          <w:lang w:val="en-US"/>
        </w:rPr>
        <w:t xml:space="preserve"> or drivers of conventional vehicles may face on being compelled to conduct lengthy investigations while establishing a causal link between the defect and the harm.</w:t>
      </w:r>
      <w:r w:rsidR="0053669E" w:rsidRPr="00E14D8C">
        <w:rPr>
          <w:lang w:val="en-US"/>
        </w:rPr>
        <w:t xml:space="preserve"> </w:t>
      </w:r>
      <w:r w:rsidR="000E7B31" w:rsidRPr="00E14D8C">
        <w:rPr>
          <w:lang w:val="en-US"/>
        </w:rPr>
        <w:t xml:space="preserve">The law according to which such claims against manufacturers would be adjudicated should, therefore, be clearly stipulated and should preferably be determined according to a special, as opposed to a general rule that </w:t>
      </w:r>
      <w:r w:rsidR="0041674D" w:rsidRPr="00E14D8C">
        <w:rPr>
          <w:lang w:val="en-US"/>
        </w:rPr>
        <w:t>applies</w:t>
      </w:r>
      <w:r w:rsidR="000E7B31" w:rsidRPr="00E14D8C">
        <w:rPr>
          <w:lang w:val="en-US"/>
        </w:rPr>
        <w:t xml:space="preserve"> to all kinds of torts.</w:t>
      </w:r>
      <w:r w:rsidR="0053669E" w:rsidRPr="00E14D8C">
        <w:rPr>
          <w:lang w:val="en-US"/>
        </w:rPr>
        <w:t xml:space="preserve"> </w:t>
      </w:r>
      <w:r w:rsidR="0041674D" w:rsidRPr="00E14D8C">
        <w:rPr>
          <w:lang w:val="en-US"/>
        </w:rPr>
        <w:t>Therefore, the lawmakers should</w:t>
      </w:r>
      <w:r w:rsidR="00982606" w:rsidRPr="00E14D8C">
        <w:rPr>
          <w:lang w:val="en-US"/>
        </w:rPr>
        <w:t xml:space="preserve"> abandon the </w:t>
      </w:r>
      <w:r w:rsidR="0041674D" w:rsidRPr="00E14D8C">
        <w:rPr>
          <w:lang w:val="en-US"/>
        </w:rPr>
        <w:t>‘</w:t>
      </w:r>
      <w:r w:rsidR="00982606" w:rsidRPr="00E14D8C">
        <w:rPr>
          <w:lang w:val="en-US"/>
        </w:rPr>
        <w:t>chauvinist and parochial</w:t>
      </w:r>
      <w:r w:rsidR="0041674D" w:rsidRPr="00E14D8C">
        <w:rPr>
          <w:lang w:val="en-US"/>
        </w:rPr>
        <w:t>’</w:t>
      </w:r>
      <w:r w:rsidR="00982606" w:rsidRPr="00E14D8C">
        <w:rPr>
          <w:rStyle w:val="FootnoteReference"/>
          <w:lang w:val="en-US"/>
        </w:rPr>
        <w:footnoteReference w:id="242"/>
      </w:r>
      <w:r w:rsidR="00982606" w:rsidRPr="00E14D8C">
        <w:rPr>
          <w:lang w:val="en-US"/>
        </w:rPr>
        <w:t xml:space="preserve"> </w:t>
      </w:r>
      <w:r w:rsidR="00982606" w:rsidRPr="00E14D8C">
        <w:rPr>
          <w:lang w:val="en-US"/>
        </w:rPr>
        <w:t xml:space="preserve">double actionability and the corresponding </w:t>
      </w:r>
      <w:proofErr w:type="spellStart"/>
      <w:r w:rsidR="00982606" w:rsidRPr="00E14D8C">
        <w:rPr>
          <w:i/>
          <w:lang w:val="en-US"/>
        </w:rPr>
        <w:t>lex</w:t>
      </w:r>
      <w:proofErr w:type="spellEnd"/>
      <w:r w:rsidR="00982606" w:rsidRPr="00E14D8C">
        <w:rPr>
          <w:i/>
          <w:lang w:val="en-US"/>
        </w:rPr>
        <w:t xml:space="preserve"> </w:t>
      </w:r>
      <w:proofErr w:type="spellStart"/>
      <w:r w:rsidR="00982606" w:rsidRPr="00E14D8C">
        <w:rPr>
          <w:i/>
          <w:lang w:val="en-US"/>
        </w:rPr>
        <w:t>fori</w:t>
      </w:r>
      <w:proofErr w:type="spellEnd"/>
      <w:r w:rsidR="00982606" w:rsidRPr="00E14D8C">
        <w:rPr>
          <w:lang w:val="en-US"/>
        </w:rPr>
        <w:t xml:space="preserve"> rule that </w:t>
      </w:r>
      <w:r w:rsidR="00982606" w:rsidRPr="00E14D8C">
        <w:rPr>
          <w:lang w:val="en-US"/>
        </w:rPr>
        <w:t xml:space="preserve">unnecessarily </w:t>
      </w:r>
      <w:r w:rsidR="00982606" w:rsidRPr="00E14D8C">
        <w:rPr>
          <w:lang w:val="en-US"/>
        </w:rPr>
        <w:t>necessitates</w:t>
      </w:r>
      <w:r w:rsidR="00982606" w:rsidRPr="00E14D8C">
        <w:rPr>
          <w:lang w:val="en-US"/>
        </w:rPr>
        <w:t xml:space="preserve"> the application of Indian law to every cross-border claim in a tortious matter.</w:t>
      </w:r>
      <w:r w:rsidR="0053669E" w:rsidRPr="00E14D8C">
        <w:rPr>
          <w:lang w:val="en-US"/>
        </w:rPr>
        <w:t xml:space="preserve"> </w:t>
      </w:r>
      <w:r w:rsidR="00982606" w:rsidRPr="00E14D8C">
        <w:rPr>
          <w:lang w:val="en-US"/>
        </w:rPr>
        <w:t xml:space="preserve">Claims against foreign manufacturers should, instead, be adjudicated according to conflict of law rules that are </w:t>
      </w:r>
      <w:r w:rsidR="00E901CF" w:rsidRPr="00E14D8C">
        <w:rPr>
          <w:lang w:val="en-US"/>
        </w:rPr>
        <w:t xml:space="preserve">akin to those that are applicable in the </w:t>
      </w:r>
      <w:r w:rsidR="00F03653">
        <w:rPr>
          <w:lang w:val="en-US"/>
        </w:rPr>
        <w:t>EU</w:t>
      </w:r>
      <w:r w:rsidR="00E901CF" w:rsidRPr="00E14D8C">
        <w:rPr>
          <w:lang w:val="en-US"/>
        </w:rPr>
        <w:t xml:space="preserve"> jurisdictions such as Germany and France</w:t>
      </w:r>
      <w:r w:rsidR="00483454" w:rsidRPr="00E14D8C">
        <w:rPr>
          <w:lang w:val="en-US"/>
        </w:rPr>
        <w:t xml:space="preserve"> for their ability to </w:t>
      </w:r>
      <w:r w:rsidR="00744C59" w:rsidRPr="00E14D8C">
        <w:rPr>
          <w:lang w:val="en-US"/>
        </w:rPr>
        <w:t>contribute to enhanced certainty and predictability in the regulatory framework on the subject</w:t>
      </w:r>
      <w:r w:rsidR="00744C59" w:rsidRPr="00E14D8C">
        <w:rPr>
          <w:lang w:val="en-GB"/>
        </w:rPr>
        <w:t xml:space="preserve"> while </w:t>
      </w:r>
      <w:r w:rsidR="00744C59" w:rsidRPr="00E14D8C">
        <w:rPr>
          <w:lang w:val="en-GB"/>
        </w:rPr>
        <w:t>provid</w:t>
      </w:r>
      <w:r w:rsidR="00744C59" w:rsidRPr="00E14D8C">
        <w:rPr>
          <w:lang w:val="en-GB"/>
        </w:rPr>
        <w:t>ing</w:t>
      </w:r>
      <w:r w:rsidR="00744C59" w:rsidRPr="00E14D8C">
        <w:rPr>
          <w:lang w:val="en-GB"/>
        </w:rPr>
        <w:t xml:space="preserve"> the most balanced solution in protecting the interests of </w:t>
      </w:r>
      <w:r w:rsidR="00744C59" w:rsidRPr="00E14D8C">
        <w:rPr>
          <w:lang w:val="en-GB"/>
        </w:rPr>
        <w:t xml:space="preserve">all users </w:t>
      </w:r>
      <w:r w:rsidR="00744C59" w:rsidRPr="00E14D8C">
        <w:rPr>
          <w:lang w:val="en-GB"/>
        </w:rPr>
        <w:t xml:space="preserve">and </w:t>
      </w:r>
      <w:r w:rsidR="00744C59" w:rsidRPr="00E14D8C">
        <w:rPr>
          <w:lang w:val="en-GB"/>
        </w:rPr>
        <w:t>producers of such vehicles</w:t>
      </w:r>
      <w:r w:rsidR="00483454" w:rsidRPr="00E14D8C">
        <w:rPr>
          <w:lang w:val="en-US"/>
        </w:rPr>
        <w:t xml:space="preserve">. </w:t>
      </w:r>
    </w:p>
    <w:p w14:paraId="250A3B35" w14:textId="77777777" w:rsidR="004569A5" w:rsidRPr="00E14D8C" w:rsidRDefault="004569A5" w:rsidP="00D83878">
      <w:pPr>
        <w:spacing w:line="360" w:lineRule="auto"/>
        <w:jc w:val="both"/>
        <w:rPr>
          <w:lang w:val="en-US"/>
        </w:rPr>
      </w:pPr>
    </w:p>
    <w:p w14:paraId="2D5ACA49" w14:textId="77777777" w:rsidR="004569A5" w:rsidRPr="00E14D8C" w:rsidRDefault="004569A5" w:rsidP="00D83878">
      <w:pPr>
        <w:spacing w:line="360" w:lineRule="auto"/>
        <w:jc w:val="both"/>
        <w:rPr>
          <w:lang w:val="en-US"/>
        </w:rPr>
      </w:pPr>
    </w:p>
    <w:p w14:paraId="161BE8AD" w14:textId="77777777" w:rsidR="00256111" w:rsidRPr="00E14D8C" w:rsidRDefault="00256111" w:rsidP="00D83878">
      <w:pPr>
        <w:spacing w:line="360" w:lineRule="auto"/>
        <w:jc w:val="both"/>
        <w:rPr>
          <w:lang w:val="en-US"/>
        </w:rPr>
      </w:pPr>
    </w:p>
    <w:p w14:paraId="2662B24E" w14:textId="77777777" w:rsidR="00DD1957" w:rsidRPr="00E14D8C" w:rsidRDefault="00DD1957" w:rsidP="00106D77">
      <w:pPr>
        <w:spacing w:line="360" w:lineRule="auto"/>
        <w:jc w:val="both"/>
        <w:rPr>
          <w:lang w:val="en-US"/>
        </w:rPr>
      </w:pPr>
    </w:p>
    <w:p w14:paraId="312B8AE5" w14:textId="14A4429E" w:rsidR="00890D8B" w:rsidRPr="00E14D8C" w:rsidRDefault="00890D8B" w:rsidP="00106D77">
      <w:pPr>
        <w:spacing w:line="360" w:lineRule="auto"/>
        <w:jc w:val="both"/>
        <w:rPr>
          <w:lang w:val="en-US"/>
        </w:rPr>
      </w:pPr>
    </w:p>
    <w:p w14:paraId="0C2A4DE9" w14:textId="77777777" w:rsidR="00890D8B" w:rsidRPr="00E14D8C" w:rsidRDefault="00890D8B" w:rsidP="00106D77">
      <w:pPr>
        <w:spacing w:line="360" w:lineRule="auto"/>
        <w:jc w:val="both"/>
        <w:rPr>
          <w:lang w:val="nl-BE"/>
        </w:rPr>
      </w:pPr>
    </w:p>
    <w:p w14:paraId="4BEDD159" w14:textId="0679A1FF" w:rsidR="006B1DBC" w:rsidRPr="00E14D8C" w:rsidRDefault="00890D8B" w:rsidP="00106D77">
      <w:pPr>
        <w:spacing w:line="360" w:lineRule="auto"/>
        <w:jc w:val="both"/>
        <w:rPr>
          <w:lang w:val="en-US"/>
        </w:rPr>
      </w:pPr>
      <w:r w:rsidRPr="00E14D8C">
        <w:rPr>
          <w:lang w:val="nl-BE"/>
        </w:rPr>
        <w:t xml:space="preserve">  </w:t>
      </w:r>
    </w:p>
    <w:p w14:paraId="4DE65A10" w14:textId="49B3075F" w:rsidR="00567A1F" w:rsidRPr="00E14D8C" w:rsidRDefault="00567A1F" w:rsidP="00A34E89">
      <w:pPr>
        <w:spacing w:line="360" w:lineRule="auto"/>
        <w:jc w:val="both"/>
        <w:rPr>
          <w:lang w:val="en-US"/>
        </w:rPr>
      </w:pPr>
      <w:r w:rsidRPr="00E14D8C">
        <w:rPr>
          <w:lang w:val="en-US"/>
        </w:rPr>
        <w:t xml:space="preserve">           </w:t>
      </w:r>
    </w:p>
    <w:p w14:paraId="4E87A128" w14:textId="272CF40C" w:rsidR="00DA4113" w:rsidRPr="00E14D8C" w:rsidRDefault="007E5353" w:rsidP="00A34E89">
      <w:pPr>
        <w:spacing w:line="360" w:lineRule="auto"/>
        <w:jc w:val="both"/>
      </w:pPr>
      <w:r w:rsidRPr="00E14D8C">
        <w:rPr>
          <w:lang w:val="en-US"/>
        </w:rPr>
        <w:t xml:space="preserve">       </w:t>
      </w:r>
    </w:p>
    <w:p w14:paraId="2A276632" w14:textId="2DF82F6E" w:rsidR="00370996" w:rsidRPr="00E14D8C" w:rsidRDefault="00370996" w:rsidP="00A34E89">
      <w:pPr>
        <w:spacing w:line="360" w:lineRule="auto"/>
        <w:jc w:val="both"/>
      </w:pPr>
    </w:p>
    <w:p w14:paraId="294E8E4E" w14:textId="1F0567A6" w:rsidR="00975E3E" w:rsidRPr="00E14D8C" w:rsidRDefault="00975E3E" w:rsidP="00A34E89">
      <w:pPr>
        <w:spacing w:line="360" w:lineRule="auto"/>
        <w:jc w:val="both"/>
        <w:rPr>
          <w:lang w:val="en-US"/>
        </w:rPr>
      </w:pPr>
    </w:p>
    <w:p w14:paraId="74E3A833" w14:textId="77777777" w:rsidR="00975E3E" w:rsidRPr="00E14D8C" w:rsidRDefault="00975E3E" w:rsidP="00A34E89">
      <w:pPr>
        <w:spacing w:line="360" w:lineRule="auto"/>
        <w:jc w:val="both"/>
        <w:rPr>
          <w:lang w:val="en-US"/>
        </w:rPr>
      </w:pPr>
    </w:p>
    <w:p w14:paraId="62C98D8B" w14:textId="43385E58" w:rsidR="00EC1963" w:rsidRPr="00E14D8C" w:rsidRDefault="00E67B53" w:rsidP="00A34E89">
      <w:pPr>
        <w:spacing w:line="360" w:lineRule="auto"/>
        <w:jc w:val="both"/>
        <w:rPr>
          <w:lang w:val="en-US"/>
        </w:rPr>
      </w:pPr>
      <w:r w:rsidRPr="00E14D8C">
        <w:rPr>
          <w:lang w:val="en-US"/>
        </w:rPr>
        <w:t xml:space="preserve">       </w:t>
      </w:r>
    </w:p>
    <w:p w14:paraId="407EBEA4" w14:textId="15425137" w:rsidR="00A448AD" w:rsidRPr="00E14D8C" w:rsidRDefault="00A448AD" w:rsidP="00A34E89">
      <w:pPr>
        <w:spacing w:line="360" w:lineRule="auto"/>
        <w:jc w:val="both"/>
        <w:rPr>
          <w:lang w:val="en-US"/>
        </w:rPr>
      </w:pPr>
    </w:p>
    <w:sectPr w:rsidR="00A448AD" w:rsidRPr="00E14D8C" w:rsidSect="0067649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89368" w14:textId="77777777" w:rsidR="00E5354A" w:rsidRDefault="00E5354A" w:rsidP="00D14B57">
      <w:r>
        <w:separator/>
      </w:r>
    </w:p>
  </w:endnote>
  <w:endnote w:type="continuationSeparator" w:id="0">
    <w:p w14:paraId="6CBE7505" w14:textId="77777777" w:rsidR="00E5354A" w:rsidRDefault="00E5354A" w:rsidP="00D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nionPro-Regular">
    <w:altName w:val="Cambria Math"/>
    <w:panose1 w:val="020B0604020202020204"/>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63CEB" w14:textId="77777777" w:rsidR="00E5354A" w:rsidRDefault="00E5354A" w:rsidP="00D14B57">
      <w:r>
        <w:separator/>
      </w:r>
    </w:p>
  </w:footnote>
  <w:footnote w:type="continuationSeparator" w:id="0">
    <w:p w14:paraId="15DFF60F" w14:textId="77777777" w:rsidR="00E5354A" w:rsidRDefault="00E5354A" w:rsidP="00D14B57">
      <w:r>
        <w:continuationSeparator/>
      </w:r>
    </w:p>
  </w:footnote>
  <w:footnote w:id="1">
    <w:p w14:paraId="177BDE59" w14:textId="0D2A79B0" w:rsidR="00D979D3" w:rsidRDefault="00D979D3" w:rsidP="004019B9">
      <w:pPr>
        <w:pStyle w:val="FootnoteText"/>
        <w:jc w:val="both"/>
        <w:rPr>
          <w:color w:val="000000" w:themeColor="text1"/>
        </w:rPr>
      </w:pPr>
      <w:r>
        <w:rPr>
          <w:color w:val="000000" w:themeColor="text1"/>
        </w:rPr>
        <w:t xml:space="preserve">* The author is a Full Professor of Private Law and Private International Law at the OP Jindal Global Law School, Sonipat, India; and a Visiting Associate Professor at the Faculty of Law, University of Johannesburg, South Africa. The author would like to express her gratitude to Ms Aline </w:t>
      </w:r>
      <w:proofErr w:type="spellStart"/>
      <w:r>
        <w:rPr>
          <w:color w:val="000000" w:themeColor="text1"/>
        </w:rPr>
        <w:t>Briessmann</w:t>
      </w:r>
      <w:proofErr w:type="spellEnd"/>
      <w:r>
        <w:rPr>
          <w:color w:val="000000" w:themeColor="text1"/>
        </w:rPr>
        <w:t xml:space="preserve">, </w:t>
      </w:r>
      <w:r w:rsidRPr="002B2FBC">
        <w:rPr>
          <w:i/>
          <w:color w:val="000000" w:themeColor="text1"/>
        </w:rPr>
        <w:t xml:space="preserve">Maître </w:t>
      </w:r>
      <w:proofErr w:type="spellStart"/>
      <w:r w:rsidRPr="002B2FBC">
        <w:rPr>
          <w:i/>
          <w:color w:val="000000" w:themeColor="text1"/>
        </w:rPr>
        <w:t>en</w:t>
      </w:r>
      <w:proofErr w:type="spellEnd"/>
      <w:r w:rsidRPr="002B2FBC">
        <w:rPr>
          <w:i/>
          <w:color w:val="000000" w:themeColor="text1"/>
        </w:rPr>
        <w:t xml:space="preserve"> droit</w:t>
      </w:r>
      <w:r>
        <w:rPr>
          <w:color w:val="000000" w:themeColor="text1"/>
        </w:rPr>
        <w:t xml:space="preserve">: </w:t>
      </w:r>
      <w:r w:rsidRPr="002B2FBC">
        <w:rPr>
          <w:color w:val="000000" w:themeColor="text1"/>
        </w:rPr>
        <w:t>Chair of Private Law, Private International and Comparative Law,</w:t>
      </w:r>
      <w:r>
        <w:rPr>
          <w:color w:val="000000" w:themeColor="text1"/>
        </w:rPr>
        <w:t xml:space="preserve"> Ludwig </w:t>
      </w:r>
      <w:proofErr w:type="spellStart"/>
      <w:r>
        <w:rPr>
          <w:color w:val="000000" w:themeColor="text1"/>
        </w:rPr>
        <w:t>Maximilians</w:t>
      </w:r>
      <w:proofErr w:type="spellEnd"/>
      <w:r>
        <w:rPr>
          <w:color w:val="000000" w:themeColor="text1"/>
        </w:rPr>
        <w:t xml:space="preserve"> Universität, München for her insights on German and French law; and Mr Yang </w:t>
      </w:r>
      <w:proofErr w:type="spellStart"/>
      <w:r>
        <w:rPr>
          <w:color w:val="000000" w:themeColor="text1"/>
        </w:rPr>
        <w:t>Teizheng</w:t>
      </w:r>
      <w:proofErr w:type="spellEnd"/>
      <w:r>
        <w:rPr>
          <w:color w:val="000000" w:themeColor="text1"/>
        </w:rPr>
        <w:t xml:space="preserve">, </w:t>
      </w:r>
      <w:r w:rsidRPr="002B2FBC">
        <w:rPr>
          <w:rFonts w:hint="eastAsia"/>
          <w:color w:val="000000" w:themeColor="text1"/>
        </w:rPr>
        <w:t>PhD candidate, Faculty of Law, University of Macau</w:t>
      </w:r>
      <w:r>
        <w:rPr>
          <w:color w:val="000000" w:themeColor="text1"/>
        </w:rPr>
        <w:t xml:space="preserve"> for his insights on Chinese law on the subject</w:t>
      </w:r>
      <w:r w:rsidRPr="002B2FBC">
        <w:rPr>
          <w:color w:val="000000" w:themeColor="text1"/>
        </w:rPr>
        <w:t>.</w:t>
      </w:r>
      <w:bookmarkStart w:id="0" w:name="_GoBack"/>
      <w:bookmarkEnd w:id="0"/>
    </w:p>
    <w:p w14:paraId="5F444259" w14:textId="5A1FF80D"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See in this respect, the </w:t>
      </w:r>
      <w:r w:rsidRPr="00DF0ED0">
        <w:rPr>
          <w:color w:val="000000" w:themeColor="text1"/>
          <w:lang w:val="en-US"/>
        </w:rPr>
        <w:t xml:space="preserve">international standards prescribed by the </w:t>
      </w:r>
      <w:r w:rsidRPr="00DF0ED0">
        <w:rPr>
          <w:color w:val="000000" w:themeColor="text1"/>
        </w:rPr>
        <w:t xml:space="preserve">Society of Automotive Engineers [SAE], </w:t>
      </w:r>
      <w:r w:rsidRPr="00DF0ED0">
        <w:rPr>
          <w:bCs/>
          <w:color w:val="000000" w:themeColor="text1"/>
        </w:rPr>
        <w:t xml:space="preserve">Taxonomy and Definitions for Terms Related to Driving Automation Systems for On-Road Motor Vehicles, J3016_202104, 20 April 2021, available at sae.org/standards/content/j3016_202104/. </w:t>
      </w:r>
      <w:r w:rsidR="00F02271" w:rsidRPr="00DF0ED0">
        <w:rPr>
          <w:bCs/>
          <w:color w:val="000000" w:themeColor="text1"/>
        </w:rPr>
        <w:t xml:space="preserve">The standards </w:t>
      </w:r>
      <w:r w:rsidR="00F02271" w:rsidRPr="00DF0ED0">
        <w:rPr>
          <w:color w:val="000000" w:themeColor="text1"/>
          <w:lang w:val="en-US"/>
        </w:rPr>
        <w:t>identity the different levels of automation. They clarify that</w:t>
      </w:r>
      <w:r w:rsidRPr="00DF0ED0">
        <w:rPr>
          <w:bCs/>
          <w:color w:val="000000" w:themeColor="text1"/>
        </w:rPr>
        <w:t xml:space="preserve"> vehicles </w:t>
      </w:r>
      <w:r w:rsidR="00F02271" w:rsidRPr="00DF0ED0">
        <w:rPr>
          <w:bCs/>
          <w:color w:val="000000" w:themeColor="text1"/>
        </w:rPr>
        <w:t xml:space="preserve">operating </w:t>
      </w:r>
      <w:r w:rsidRPr="00DF0ED0">
        <w:rPr>
          <w:bCs/>
          <w:color w:val="000000" w:themeColor="text1"/>
        </w:rPr>
        <w:t xml:space="preserve">below Level 3 </w:t>
      </w:r>
      <w:r w:rsidR="00F02271" w:rsidRPr="00DF0ED0">
        <w:rPr>
          <w:bCs/>
          <w:color w:val="000000" w:themeColor="text1"/>
        </w:rPr>
        <w:t>would not</w:t>
      </w:r>
      <w:r w:rsidRPr="00DF0ED0">
        <w:rPr>
          <w:bCs/>
          <w:color w:val="000000" w:themeColor="text1"/>
        </w:rPr>
        <w:t xml:space="preserve"> be considered as ‘autonomous’</w:t>
      </w:r>
      <w:r w:rsidR="00F02271" w:rsidRPr="00DF0ED0">
        <w:rPr>
          <w:bCs/>
          <w:color w:val="000000" w:themeColor="text1"/>
        </w:rPr>
        <w:t>. Instead, such vehicles should</w:t>
      </w:r>
      <w:r w:rsidRPr="00DF0ED0">
        <w:rPr>
          <w:bCs/>
          <w:color w:val="000000" w:themeColor="text1"/>
        </w:rPr>
        <w:t xml:space="preserve"> be construed as ‘Driving Support Systems’</w:t>
      </w:r>
      <w:r w:rsidR="00F02271" w:rsidRPr="00DF0ED0">
        <w:rPr>
          <w:bCs/>
          <w:color w:val="000000" w:themeColor="text1"/>
        </w:rPr>
        <w:t xml:space="preserve"> that aid the driver.</w:t>
      </w:r>
    </w:p>
  </w:footnote>
  <w:footnote w:id="2">
    <w:p w14:paraId="1AC4D75E" w14:textId="2529429D"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Ibid, which clarifies that autonomous cars functioning at Levels 4 and 5 are construed as ‘self-driving’.</w:t>
      </w:r>
    </w:p>
  </w:footnote>
  <w:footnote w:id="3">
    <w:p w14:paraId="6D9093B9" w14:textId="7B2CEFD9"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w:t>
      </w:r>
      <w:r w:rsidRPr="00DF0ED0">
        <w:rPr>
          <w:color w:val="000000" w:themeColor="text1"/>
          <w:lang w:val="en-US"/>
        </w:rPr>
        <w:t xml:space="preserve">Glancy, </w:t>
      </w:r>
      <w:r w:rsidR="00A352CE" w:rsidRPr="00DF0ED0">
        <w:rPr>
          <w:color w:val="000000" w:themeColor="text1"/>
          <w:lang w:val="en-US"/>
        </w:rPr>
        <w:t>Dorothy</w:t>
      </w:r>
      <w:r w:rsidR="00A352CE" w:rsidRPr="00DF0ED0">
        <w:rPr>
          <w:color w:val="000000" w:themeColor="text1"/>
          <w:lang w:val="en-US"/>
        </w:rPr>
        <w:t>, “</w:t>
      </w:r>
      <w:r w:rsidRPr="00DF0ED0">
        <w:rPr>
          <w:color w:val="000000" w:themeColor="text1"/>
          <w:lang w:val="en-US"/>
        </w:rPr>
        <w:t>Privacy in Autonomous Vehicles</w:t>
      </w:r>
      <w:r w:rsidR="00A352CE" w:rsidRPr="00DF0ED0">
        <w:rPr>
          <w:color w:val="000000" w:themeColor="text1"/>
          <w:lang w:val="en-US"/>
        </w:rPr>
        <w:t>”,</w:t>
      </w:r>
      <w:r w:rsidRPr="00DF0ED0">
        <w:rPr>
          <w:color w:val="000000" w:themeColor="text1"/>
          <w:lang w:val="en-US"/>
        </w:rPr>
        <w:t xml:space="preserve"> 52 </w:t>
      </w:r>
      <w:r w:rsidRPr="00DF0ED0">
        <w:rPr>
          <w:i/>
          <w:color w:val="000000" w:themeColor="text1"/>
          <w:lang w:val="en-US"/>
        </w:rPr>
        <w:t>Santa Clara Law Review</w:t>
      </w:r>
      <w:r w:rsidRPr="00DF0ED0">
        <w:rPr>
          <w:color w:val="000000" w:themeColor="text1"/>
          <w:lang w:val="en-US"/>
        </w:rPr>
        <w:t xml:space="preserve"> </w:t>
      </w:r>
      <w:r w:rsidR="00A352CE" w:rsidRPr="00DF0ED0">
        <w:rPr>
          <w:color w:val="000000" w:themeColor="text1"/>
          <w:lang w:val="en-US"/>
        </w:rPr>
        <w:t xml:space="preserve">(2012) </w:t>
      </w:r>
      <w:r w:rsidRPr="00DF0ED0">
        <w:rPr>
          <w:color w:val="000000" w:themeColor="text1"/>
          <w:lang w:val="en-US"/>
        </w:rPr>
        <w:t>1171, 1174.</w:t>
      </w:r>
    </w:p>
  </w:footnote>
  <w:footnote w:id="4">
    <w:p w14:paraId="384DD394" w14:textId="08E379A9"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w:t>
      </w:r>
      <w:proofErr w:type="spellStart"/>
      <w:r w:rsidRPr="00DF0ED0">
        <w:rPr>
          <w:color w:val="000000" w:themeColor="text1"/>
          <w:lang w:val="en-US"/>
        </w:rPr>
        <w:t>Bellan</w:t>
      </w:r>
      <w:proofErr w:type="spellEnd"/>
      <w:r w:rsidRPr="00DF0ED0">
        <w:rPr>
          <w:color w:val="000000" w:themeColor="text1"/>
          <w:lang w:val="en-US"/>
        </w:rPr>
        <w:t xml:space="preserve">, </w:t>
      </w:r>
      <w:r w:rsidR="00A352CE" w:rsidRPr="00DF0ED0">
        <w:rPr>
          <w:color w:val="000000" w:themeColor="text1"/>
          <w:lang w:val="en-US"/>
        </w:rPr>
        <w:t>Rebecca</w:t>
      </w:r>
      <w:r w:rsidR="00A352CE" w:rsidRPr="00DF0ED0">
        <w:rPr>
          <w:color w:val="000000" w:themeColor="text1"/>
          <w:lang w:val="en-US"/>
        </w:rPr>
        <w:t>,</w:t>
      </w:r>
      <w:r w:rsidR="00A352CE" w:rsidRPr="00DF0ED0">
        <w:rPr>
          <w:color w:val="000000" w:themeColor="text1"/>
          <w:lang w:val="en-US"/>
        </w:rPr>
        <w:t xml:space="preserve"> </w:t>
      </w:r>
      <w:r w:rsidR="00A352CE" w:rsidRPr="00DF0ED0">
        <w:rPr>
          <w:color w:val="000000" w:themeColor="text1"/>
          <w:lang w:val="en-US"/>
        </w:rPr>
        <w:t>“</w:t>
      </w:r>
      <w:r w:rsidRPr="00DF0ED0">
        <w:rPr>
          <w:color w:val="000000" w:themeColor="text1"/>
          <w:lang w:val="en-US"/>
        </w:rPr>
        <w:t xml:space="preserve">Waymo Launches </w:t>
      </w:r>
      <w:proofErr w:type="spellStart"/>
      <w:r w:rsidRPr="00DF0ED0">
        <w:rPr>
          <w:color w:val="000000" w:themeColor="text1"/>
          <w:lang w:val="en-US"/>
        </w:rPr>
        <w:t>Robotaxi</w:t>
      </w:r>
      <w:proofErr w:type="spellEnd"/>
      <w:r w:rsidRPr="00DF0ED0">
        <w:rPr>
          <w:color w:val="000000" w:themeColor="text1"/>
          <w:lang w:val="en-US"/>
        </w:rPr>
        <w:t xml:space="preserve"> Service in San Francisco</w:t>
      </w:r>
      <w:r w:rsidR="00A352CE" w:rsidRPr="00DF0ED0">
        <w:rPr>
          <w:color w:val="000000" w:themeColor="text1"/>
          <w:lang w:val="en-US"/>
        </w:rPr>
        <w:t>”</w:t>
      </w:r>
      <w:r w:rsidRPr="00DF0ED0">
        <w:rPr>
          <w:color w:val="000000" w:themeColor="text1"/>
          <w:lang w:val="en-US"/>
        </w:rPr>
        <w:t xml:space="preserve"> 24 August 2021 </w:t>
      </w:r>
      <w:proofErr w:type="spellStart"/>
      <w:r w:rsidRPr="00DF0ED0">
        <w:rPr>
          <w:i/>
          <w:color w:val="000000" w:themeColor="text1"/>
          <w:lang w:val="en-US"/>
        </w:rPr>
        <w:t>Techcrunch</w:t>
      </w:r>
      <w:proofErr w:type="spellEnd"/>
      <w:r w:rsidRPr="00DF0ED0">
        <w:rPr>
          <w:color w:val="000000" w:themeColor="text1"/>
          <w:lang w:val="en-US"/>
        </w:rPr>
        <w:t xml:space="preserve">, available at </w:t>
      </w:r>
      <w:hyperlink r:id="rId1" w:history="1">
        <w:r w:rsidRPr="00DF0ED0">
          <w:rPr>
            <w:rStyle w:val="Hyperlink"/>
            <w:color w:val="000000" w:themeColor="text1"/>
            <w:u w:val="none"/>
            <w:lang w:val="en-US"/>
          </w:rPr>
          <w:t>https://techcrunch.com/2021/08/24/waymo-launches-robotaxi-service-in-san-francisco/</w:t>
        </w:r>
      </w:hyperlink>
      <w:r w:rsidR="00B41A16" w:rsidRPr="00DF0ED0">
        <w:rPr>
          <w:color w:val="000000" w:themeColor="text1"/>
          <w:lang w:val="en-US"/>
        </w:rPr>
        <w:t xml:space="preserve"> (accessed 12 April 2022); </w:t>
      </w:r>
      <w:proofErr w:type="spellStart"/>
      <w:r w:rsidRPr="00DF0ED0">
        <w:rPr>
          <w:color w:val="000000" w:themeColor="text1"/>
          <w:lang w:val="en-US"/>
        </w:rPr>
        <w:t>Bellan</w:t>
      </w:r>
      <w:proofErr w:type="spellEnd"/>
      <w:r w:rsidRPr="00DF0ED0">
        <w:rPr>
          <w:color w:val="000000" w:themeColor="text1"/>
          <w:lang w:val="en-US"/>
        </w:rPr>
        <w:t xml:space="preserve">, </w:t>
      </w:r>
      <w:r w:rsidR="00A352CE" w:rsidRPr="00DF0ED0">
        <w:rPr>
          <w:color w:val="000000" w:themeColor="text1"/>
          <w:lang w:val="en-US"/>
        </w:rPr>
        <w:t>Rebecca</w:t>
      </w:r>
      <w:r w:rsidR="00A352CE" w:rsidRPr="00DF0ED0">
        <w:rPr>
          <w:color w:val="000000" w:themeColor="text1"/>
          <w:lang w:val="en-US"/>
        </w:rPr>
        <w:t>, “</w:t>
      </w:r>
      <w:r w:rsidRPr="00DF0ED0">
        <w:rPr>
          <w:color w:val="000000" w:themeColor="text1"/>
          <w:lang w:val="en-US"/>
        </w:rPr>
        <w:t xml:space="preserve">Waymo to Begin Charging for </w:t>
      </w:r>
      <w:proofErr w:type="spellStart"/>
      <w:r w:rsidRPr="00DF0ED0">
        <w:rPr>
          <w:color w:val="000000" w:themeColor="text1"/>
          <w:lang w:val="en-US"/>
        </w:rPr>
        <w:t>Robotaxi</w:t>
      </w:r>
      <w:proofErr w:type="spellEnd"/>
      <w:r w:rsidRPr="00DF0ED0">
        <w:rPr>
          <w:color w:val="000000" w:themeColor="text1"/>
          <w:lang w:val="en-US"/>
        </w:rPr>
        <w:t xml:space="preserve"> Rides in San Francisco</w:t>
      </w:r>
      <w:r w:rsidR="00A352CE" w:rsidRPr="00DF0ED0">
        <w:rPr>
          <w:color w:val="000000" w:themeColor="text1"/>
          <w:lang w:val="en-US"/>
        </w:rPr>
        <w:t>”</w:t>
      </w:r>
      <w:r w:rsidRPr="00DF0ED0">
        <w:rPr>
          <w:color w:val="000000" w:themeColor="text1"/>
          <w:lang w:val="en-US"/>
        </w:rPr>
        <w:t xml:space="preserve"> 1 March 2022, </w:t>
      </w:r>
      <w:proofErr w:type="spellStart"/>
      <w:r w:rsidRPr="00DF0ED0">
        <w:rPr>
          <w:i/>
          <w:color w:val="000000" w:themeColor="text1"/>
          <w:lang w:val="en-US"/>
        </w:rPr>
        <w:t>Techcrunch</w:t>
      </w:r>
      <w:proofErr w:type="spellEnd"/>
      <w:r w:rsidRPr="00DF0ED0">
        <w:rPr>
          <w:color w:val="000000" w:themeColor="text1"/>
          <w:lang w:val="en-US"/>
        </w:rPr>
        <w:t xml:space="preserve">, available at: </w:t>
      </w:r>
      <w:hyperlink r:id="rId2" w:history="1">
        <w:r w:rsidRPr="00DF0ED0">
          <w:rPr>
            <w:rStyle w:val="Hyperlink"/>
            <w:color w:val="000000" w:themeColor="text1"/>
            <w:u w:val="none"/>
            <w:lang w:val="en-US"/>
          </w:rPr>
          <w:t>https://techcrunch.com/2022/02/28/waymo-to-begin-charging-for-robotaxi-rides-in-san-francisco/</w:t>
        </w:r>
      </w:hyperlink>
      <w:r w:rsidR="00B41A16" w:rsidRPr="00DF0ED0">
        <w:rPr>
          <w:color w:val="000000" w:themeColor="text1"/>
          <w:lang w:val="en-US"/>
        </w:rPr>
        <w:t xml:space="preserve"> </w:t>
      </w:r>
      <w:r w:rsidR="00B41A16" w:rsidRPr="00DF0ED0">
        <w:rPr>
          <w:color w:val="000000" w:themeColor="text1"/>
          <w:lang w:val="en-US"/>
        </w:rPr>
        <w:t>(accessed 12 April 2022)</w:t>
      </w:r>
      <w:r w:rsidRPr="00DF0ED0">
        <w:rPr>
          <w:color w:val="000000" w:themeColor="text1"/>
          <w:lang w:val="en-US"/>
        </w:rPr>
        <w:t xml:space="preserve">; and Cusack, </w:t>
      </w:r>
      <w:r w:rsidR="006F121A" w:rsidRPr="00DF0ED0">
        <w:rPr>
          <w:color w:val="000000" w:themeColor="text1"/>
          <w:lang w:val="en-US"/>
        </w:rPr>
        <w:t>Jenny</w:t>
      </w:r>
      <w:r w:rsidR="006F121A" w:rsidRPr="00DF0ED0">
        <w:rPr>
          <w:color w:val="000000" w:themeColor="text1"/>
          <w:lang w:val="en-US"/>
        </w:rPr>
        <w:t>,</w:t>
      </w:r>
      <w:r w:rsidR="006F121A" w:rsidRPr="00DF0ED0">
        <w:rPr>
          <w:color w:val="000000" w:themeColor="text1"/>
          <w:lang w:val="en-US"/>
        </w:rPr>
        <w:t xml:space="preserve"> </w:t>
      </w:r>
      <w:r w:rsidR="006F121A" w:rsidRPr="00DF0ED0">
        <w:rPr>
          <w:color w:val="000000" w:themeColor="text1"/>
          <w:lang w:val="en-US"/>
        </w:rPr>
        <w:t>“</w:t>
      </w:r>
      <w:r w:rsidRPr="00DF0ED0">
        <w:rPr>
          <w:color w:val="000000" w:themeColor="text1"/>
          <w:lang w:val="en-US"/>
        </w:rPr>
        <w:t>Self-Driving Vehicles are Steadily Becoming a Reality Despite the Many Hurdles Still to be Overcome – and they could Change our World in Some Unexpected Ways</w:t>
      </w:r>
      <w:r w:rsidR="006F121A" w:rsidRPr="00DF0ED0">
        <w:rPr>
          <w:color w:val="000000" w:themeColor="text1"/>
          <w:lang w:val="en-US"/>
        </w:rPr>
        <w:t>”,</w:t>
      </w:r>
      <w:r w:rsidRPr="00DF0ED0">
        <w:rPr>
          <w:color w:val="000000" w:themeColor="text1"/>
          <w:lang w:val="en-US"/>
        </w:rPr>
        <w:t xml:space="preserve"> 30 November 2021, available at </w:t>
      </w:r>
      <w:hyperlink r:id="rId3" w:history="1">
        <w:r w:rsidR="00B41A16" w:rsidRPr="00DF0ED0">
          <w:rPr>
            <w:rStyle w:val="Hyperlink"/>
            <w:color w:val="000000" w:themeColor="text1"/>
            <w:u w:val="none"/>
            <w:lang w:val="en-US"/>
          </w:rPr>
          <w:t>https://www.bbc.com/future/article/20211126-how-driverless-cars-will-change-our-world</w:t>
        </w:r>
      </w:hyperlink>
      <w:r w:rsidR="00B41A16" w:rsidRPr="00DF0ED0">
        <w:rPr>
          <w:color w:val="000000" w:themeColor="text1"/>
          <w:lang w:val="en-US"/>
        </w:rPr>
        <w:t xml:space="preserve"> </w:t>
      </w:r>
      <w:r w:rsidR="00B41A16" w:rsidRPr="00DF0ED0">
        <w:rPr>
          <w:color w:val="000000" w:themeColor="text1"/>
          <w:lang w:val="en-US"/>
        </w:rPr>
        <w:t>(accessed 12 April 2022)</w:t>
      </w:r>
    </w:p>
  </w:footnote>
  <w:footnote w:id="5">
    <w:p w14:paraId="64A3F620" w14:textId="69F61F8B" w:rsidR="009515E4" w:rsidRPr="00DF0ED0" w:rsidRDefault="009515E4" w:rsidP="004019B9">
      <w:pPr>
        <w:pStyle w:val="FootnoteText"/>
        <w:jc w:val="both"/>
        <w:rPr>
          <w:color w:val="000000" w:themeColor="text1"/>
        </w:rPr>
      </w:pPr>
      <w:r w:rsidRPr="00DF0ED0">
        <w:rPr>
          <w:rStyle w:val="FootnoteReference"/>
          <w:color w:val="000000" w:themeColor="text1"/>
        </w:rPr>
        <w:footnoteRef/>
      </w:r>
      <w:r w:rsidRPr="00DF0ED0">
        <w:rPr>
          <w:color w:val="000000" w:themeColor="text1"/>
        </w:rPr>
        <w:t xml:space="preserve">  </w:t>
      </w:r>
      <w:r w:rsidR="00C82BE3" w:rsidRPr="00DF0ED0">
        <w:rPr>
          <w:color w:val="000000" w:themeColor="text1"/>
        </w:rPr>
        <w:t xml:space="preserve">See for instance, </w:t>
      </w:r>
      <w:proofErr w:type="spellStart"/>
      <w:r w:rsidR="00C82BE3" w:rsidRPr="00DF0ED0">
        <w:rPr>
          <w:color w:val="000000" w:themeColor="text1"/>
        </w:rPr>
        <w:t>Lavars</w:t>
      </w:r>
      <w:proofErr w:type="spellEnd"/>
      <w:r w:rsidR="00C82BE3" w:rsidRPr="00DF0ED0">
        <w:rPr>
          <w:color w:val="000000" w:themeColor="text1"/>
        </w:rPr>
        <w:t xml:space="preserve">, </w:t>
      </w:r>
      <w:r w:rsidR="006F121A" w:rsidRPr="00DF0ED0">
        <w:rPr>
          <w:color w:val="000000" w:themeColor="text1"/>
        </w:rPr>
        <w:t>Nick</w:t>
      </w:r>
      <w:r w:rsidR="006F121A" w:rsidRPr="00DF0ED0">
        <w:rPr>
          <w:color w:val="000000" w:themeColor="text1"/>
        </w:rPr>
        <w:t>,</w:t>
      </w:r>
      <w:r w:rsidR="006F121A" w:rsidRPr="00DF0ED0">
        <w:rPr>
          <w:color w:val="000000" w:themeColor="text1"/>
        </w:rPr>
        <w:t xml:space="preserve"> </w:t>
      </w:r>
      <w:r w:rsidR="006F121A" w:rsidRPr="00DF0ED0">
        <w:rPr>
          <w:color w:val="000000" w:themeColor="text1"/>
        </w:rPr>
        <w:t>“</w:t>
      </w:r>
      <w:r w:rsidR="00C82BE3" w:rsidRPr="00DF0ED0">
        <w:rPr>
          <w:color w:val="000000" w:themeColor="text1"/>
        </w:rPr>
        <w:t>First Driverless Vehicle Approved to Operate on Public Roads in Europe</w:t>
      </w:r>
      <w:r w:rsidR="006F121A" w:rsidRPr="00DF0ED0">
        <w:rPr>
          <w:color w:val="000000" w:themeColor="text1"/>
        </w:rPr>
        <w:t>”</w:t>
      </w:r>
      <w:r w:rsidR="00C82BE3" w:rsidRPr="00DF0ED0">
        <w:rPr>
          <w:color w:val="000000" w:themeColor="text1"/>
        </w:rPr>
        <w:t xml:space="preserve"> </w:t>
      </w:r>
      <w:r w:rsidR="006F121A" w:rsidRPr="00DF0ED0">
        <w:rPr>
          <w:color w:val="000000" w:themeColor="text1"/>
        </w:rPr>
        <w:t xml:space="preserve">dated </w:t>
      </w:r>
      <w:r w:rsidR="00C82BE3" w:rsidRPr="00DF0ED0">
        <w:rPr>
          <w:color w:val="000000" w:themeColor="text1"/>
        </w:rPr>
        <w:t>28</w:t>
      </w:r>
      <w:r w:rsidR="006F121A" w:rsidRPr="00DF0ED0">
        <w:rPr>
          <w:color w:val="000000" w:themeColor="text1"/>
        </w:rPr>
        <w:t xml:space="preserve"> </w:t>
      </w:r>
      <w:r w:rsidR="00C82BE3" w:rsidRPr="00DF0ED0">
        <w:rPr>
          <w:color w:val="000000" w:themeColor="text1"/>
        </w:rPr>
        <w:t>November 2021, available athttps://newatlas.com/automotive/easymile-shuttle-first-europe-public-roads-level-4-autonomy/</w:t>
      </w:r>
      <w:r w:rsidR="006F121A" w:rsidRPr="00DF0ED0">
        <w:rPr>
          <w:color w:val="000000" w:themeColor="text1"/>
        </w:rPr>
        <w:t xml:space="preserve"> </w:t>
      </w:r>
      <w:r w:rsidR="00B41A16" w:rsidRPr="00DF0ED0">
        <w:rPr>
          <w:color w:val="000000" w:themeColor="text1"/>
          <w:lang w:val="en-US"/>
        </w:rPr>
        <w:t>(accessed 12 April 2022)</w:t>
      </w:r>
      <w:r w:rsidR="00B41A16" w:rsidRPr="00DF0ED0">
        <w:rPr>
          <w:color w:val="000000" w:themeColor="text1"/>
          <w:lang w:val="en-US"/>
        </w:rPr>
        <w:t xml:space="preserve">; and </w:t>
      </w:r>
      <w:proofErr w:type="spellStart"/>
      <w:r w:rsidR="00C82BE3" w:rsidRPr="00DF0ED0">
        <w:rPr>
          <w:color w:val="000000" w:themeColor="text1"/>
        </w:rPr>
        <w:t>SmartCitiesWorld</w:t>
      </w:r>
      <w:proofErr w:type="spellEnd"/>
      <w:r w:rsidR="00C82BE3" w:rsidRPr="00DF0ED0">
        <w:rPr>
          <w:color w:val="000000" w:themeColor="text1"/>
        </w:rPr>
        <w:t>,</w:t>
      </w:r>
      <w:r w:rsidR="006F121A" w:rsidRPr="00DF0ED0">
        <w:rPr>
          <w:color w:val="000000" w:themeColor="text1"/>
        </w:rPr>
        <w:t xml:space="preserve"> “</w:t>
      </w:r>
      <w:r w:rsidR="00C82BE3" w:rsidRPr="00DF0ED0">
        <w:rPr>
          <w:color w:val="000000" w:themeColor="text1"/>
        </w:rPr>
        <w:t>Driverless passenger shuttle launched in Paris Ile-de-France</w:t>
      </w:r>
      <w:r w:rsidR="006F121A" w:rsidRPr="00DF0ED0">
        <w:rPr>
          <w:color w:val="000000" w:themeColor="text1"/>
        </w:rPr>
        <w:t>”</w:t>
      </w:r>
      <w:r w:rsidR="00C82BE3" w:rsidRPr="00DF0ED0">
        <w:rPr>
          <w:color w:val="000000" w:themeColor="text1"/>
        </w:rPr>
        <w:t xml:space="preserve"> </w:t>
      </w:r>
      <w:r w:rsidR="006F121A" w:rsidRPr="00DF0ED0">
        <w:rPr>
          <w:color w:val="000000" w:themeColor="text1"/>
        </w:rPr>
        <w:t xml:space="preserve">dated </w:t>
      </w:r>
      <w:r w:rsidR="00C82BE3" w:rsidRPr="00DF0ED0">
        <w:rPr>
          <w:color w:val="000000" w:themeColor="text1"/>
        </w:rPr>
        <w:t>1 April</w:t>
      </w:r>
      <w:r w:rsidR="006F121A" w:rsidRPr="00DF0ED0">
        <w:rPr>
          <w:color w:val="000000" w:themeColor="text1"/>
        </w:rPr>
        <w:t xml:space="preserve"> </w:t>
      </w:r>
      <w:r w:rsidR="00C82BE3" w:rsidRPr="00DF0ED0">
        <w:rPr>
          <w:color w:val="000000" w:themeColor="text1"/>
        </w:rPr>
        <w:t>2021, available a</w:t>
      </w:r>
      <w:r w:rsidR="006F121A" w:rsidRPr="00DF0ED0">
        <w:rPr>
          <w:color w:val="000000" w:themeColor="text1"/>
        </w:rPr>
        <w:t xml:space="preserve">t: </w:t>
      </w:r>
      <w:hyperlink r:id="rId4" w:history="1">
        <w:r w:rsidR="006F121A" w:rsidRPr="00DF0ED0">
          <w:rPr>
            <w:rStyle w:val="Hyperlink"/>
            <w:color w:val="000000" w:themeColor="text1"/>
            <w:u w:val="none"/>
          </w:rPr>
          <w:t>https://www.smartcitiesworld.net/news/news/driverless-passenger-shuttle-launched-in-paris-ile-de-france-6262</w:t>
        </w:r>
      </w:hyperlink>
      <w:r w:rsidR="006F121A" w:rsidRPr="00DF0ED0">
        <w:rPr>
          <w:color w:val="000000" w:themeColor="text1"/>
        </w:rPr>
        <w:t xml:space="preserve"> </w:t>
      </w:r>
      <w:r w:rsidR="00B41A16" w:rsidRPr="00DF0ED0">
        <w:rPr>
          <w:color w:val="000000" w:themeColor="text1"/>
          <w:lang w:val="en-US"/>
        </w:rPr>
        <w:t>(accessed 12 April 2022)</w:t>
      </w:r>
      <w:r w:rsidR="00C82BE3" w:rsidRPr="00DF0ED0">
        <w:rPr>
          <w:color w:val="000000" w:themeColor="text1"/>
        </w:rPr>
        <w:t>.</w:t>
      </w:r>
    </w:p>
  </w:footnote>
  <w:footnote w:id="6">
    <w:p w14:paraId="594D3194" w14:textId="17BD1F75" w:rsidR="009515E4" w:rsidRPr="00DF0ED0" w:rsidRDefault="009515E4" w:rsidP="004019B9">
      <w:pPr>
        <w:pStyle w:val="FootnoteText"/>
        <w:jc w:val="both"/>
        <w:rPr>
          <w:bCs/>
          <w:color w:val="000000" w:themeColor="text1"/>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w:t>
      </w:r>
      <w:proofErr w:type="spellStart"/>
      <w:r w:rsidRPr="00DF0ED0">
        <w:rPr>
          <w:color w:val="000000" w:themeColor="text1"/>
          <w:lang w:val="en-US"/>
        </w:rPr>
        <w:t>DWNews</w:t>
      </w:r>
      <w:proofErr w:type="spellEnd"/>
      <w:r w:rsidRPr="00DF0ED0">
        <w:rPr>
          <w:color w:val="000000" w:themeColor="text1"/>
          <w:lang w:val="en-US"/>
        </w:rPr>
        <w:t xml:space="preserve">, </w:t>
      </w:r>
      <w:r w:rsidR="006F121A" w:rsidRPr="00DF0ED0">
        <w:rPr>
          <w:color w:val="000000" w:themeColor="text1"/>
          <w:lang w:val="en-US"/>
        </w:rPr>
        <w:t>“</w:t>
      </w:r>
      <w:r w:rsidRPr="00DF0ED0">
        <w:rPr>
          <w:bCs/>
          <w:color w:val="000000" w:themeColor="text1"/>
        </w:rPr>
        <w:t>Germany aims to get self-driving cars on the roads in 2022</w:t>
      </w:r>
      <w:r w:rsidR="006F121A" w:rsidRPr="00DF0ED0">
        <w:rPr>
          <w:bCs/>
          <w:color w:val="000000" w:themeColor="text1"/>
        </w:rPr>
        <w:t>” dated</w:t>
      </w:r>
      <w:r w:rsidRPr="00DF0ED0">
        <w:rPr>
          <w:bCs/>
          <w:color w:val="000000" w:themeColor="text1"/>
        </w:rPr>
        <w:t xml:space="preserve"> 22 May 2021, available at: </w:t>
      </w:r>
      <w:hyperlink r:id="rId5" w:history="1">
        <w:r w:rsidR="00B41A16" w:rsidRPr="00DF0ED0">
          <w:rPr>
            <w:rStyle w:val="Hyperlink"/>
            <w:bCs/>
            <w:color w:val="000000" w:themeColor="text1"/>
            <w:u w:val="none"/>
          </w:rPr>
          <w:t>https://www.dw.com/en/germany-aims-to-get-self-driving-cars-on-the-roads-in-2022/a-57629028</w:t>
        </w:r>
      </w:hyperlink>
      <w:r w:rsidRPr="00DF0ED0">
        <w:rPr>
          <w:bCs/>
          <w:color w:val="000000" w:themeColor="text1"/>
        </w:rPr>
        <w:t>.</w:t>
      </w:r>
      <w:r w:rsidR="00B41A16" w:rsidRPr="00DF0ED0">
        <w:rPr>
          <w:bCs/>
          <w:color w:val="000000" w:themeColor="text1"/>
        </w:rPr>
        <w:t xml:space="preserve"> </w:t>
      </w:r>
      <w:r w:rsidR="00B41A16" w:rsidRPr="00DF0ED0">
        <w:rPr>
          <w:color w:val="000000" w:themeColor="text1"/>
          <w:lang w:val="en-US"/>
        </w:rPr>
        <w:t>(accessed 12 April 2022)</w:t>
      </w:r>
    </w:p>
  </w:footnote>
  <w:footnote w:id="7">
    <w:p w14:paraId="14563766" w14:textId="49D2C377"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France-Presse, </w:t>
      </w:r>
      <w:proofErr w:type="spellStart"/>
      <w:r w:rsidR="006F121A" w:rsidRPr="00DF0ED0">
        <w:rPr>
          <w:color w:val="000000" w:themeColor="text1"/>
          <w:lang w:val="en-US"/>
        </w:rPr>
        <w:t>Agence</w:t>
      </w:r>
      <w:proofErr w:type="spellEnd"/>
      <w:r w:rsidR="006F121A" w:rsidRPr="00DF0ED0">
        <w:rPr>
          <w:color w:val="000000" w:themeColor="text1"/>
          <w:lang w:val="en-US"/>
        </w:rPr>
        <w:t>,</w:t>
      </w:r>
      <w:r w:rsidR="006F121A" w:rsidRPr="00DF0ED0">
        <w:rPr>
          <w:color w:val="000000" w:themeColor="text1"/>
          <w:lang w:val="en-US"/>
        </w:rPr>
        <w:t xml:space="preserve"> </w:t>
      </w:r>
      <w:r w:rsidR="006F121A" w:rsidRPr="00DF0ED0">
        <w:rPr>
          <w:color w:val="000000" w:themeColor="text1"/>
          <w:lang w:val="en-US"/>
        </w:rPr>
        <w:t>“</w:t>
      </w:r>
      <w:r w:rsidRPr="00DF0ED0">
        <w:rPr>
          <w:color w:val="000000" w:themeColor="text1"/>
          <w:lang w:val="en-US"/>
        </w:rPr>
        <w:t>Autonomous ‘</w:t>
      </w:r>
      <w:proofErr w:type="spellStart"/>
      <w:r w:rsidRPr="00DF0ED0">
        <w:rPr>
          <w:color w:val="000000" w:themeColor="text1"/>
          <w:lang w:val="en-US"/>
        </w:rPr>
        <w:t>Robotaxis</w:t>
      </w:r>
      <w:proofErr w:type="spellEnd"/>
      <w:r w:rsidRPr="00DF0ED0">
        <w:rPr>
          <w:color w:val="000000" w:themeColor="text1"/>
          <w:lang w:val="en-US"/>
        </w:rPr>
        <w:t>’ Debut on China Streets</w:t>
      </w:r>
      <w:r w:rsidR="006F121A" w:rsidRPr="00DF0ED0">
        <w:rPr>
          <w:color w:val="000000" w:themeColor="text1"/>
          <w:lang w:val="en-US"/>
        </w:rPr>
        <w:t xml:space="preserve">”, </w:t>
      </w:r>
      <w:r w:rsidR="006F121A" w:rsidRPr="00DF0ED0">
        <w:rPr>
          <w:i/>
          <w:color w:val="000000" w:themeColor="text1"/>
          <w:lang w:val="en-US"/>
        </w:rPr>
        <w:t>NDTV World News</w:t>
      </w:r>
      <w:r w:rsidR="006F121A" w:rsidRPr="00DF0ED0">
        <w:rPr>
          <w:color w:val="000000" w:themeColor="text1"/>
          <w:lang w:val="en-US"/>
        </w:rPr>
        <w:t>,</w:t>
      </w:r>
      <w:r w:rsidRPr="00DF0ED0">
        <w:rPr>
          <w:color w:val="000000" w:themeColor="text1"/>
          <w:lang w:val="en-US"/>
        </w:rPr>
        <w:t xml:space="preserve"> updated 26 November 2021, available at: </w:t>
      </w:r>
      <w:hyperlink r:id="rId6" w:history="1">
        <w:r w:rsidR="008B79C7" w:rsidRPr="00DF0ED0">
          <w:rPr>
            <w:rStyle w:val="Hyperlink"/>
            <w:color w:val="000000" w:themeColor="text1"/>
            <w:u w:val="none"/>
            <w:lang w:val="en-US"/>
          </w:rPr>
          <w:t>https://www.ndtv.com/world-news/autonomous-robotaxis-debut-on-china-streets-2626066</w:t>
        </w:r>
      </w:hyperlink>
      <w:r w:rsidR="008B79C7" w:rsidRPr="00DF0ED0">
        <w:rPr>
          <w:color w:val="000000" w:themeColor="text1"/>
          <w:lang w:val="en-US"/>
        </w:rPr>
        <w:t xml:space="preserve"> </w:t>
      </w:r>
      <w:r w:rsidR="008B79C7" w:rsidRPr="00DF0ED0">
        <w:rPr>
          <w:color w:val="000000" w:themeColor="text1"/>
          <w:lang w:val="en-US"/>
        </w:rPr>
        <w:t>(accessed 12 April 2022)</w:t>
      </w:r>
      <w:r w:rsidR="008B79C7" w:rsidRPr="00DF0ED0">
        <w:rPr>
          <w:color w:val="000000" w:themeColor="text1"/>
          <w:lang w:val="en-US"/>
        </w:rPr>
        <w:t>.</w:t>
      </w:r>
    </w:p>
    <w:p w14:paraId="4A97F941" w14:textId="3754C33D" w:rsidR="009515E4" w:rsidRPr="00DF0ED0" w:rsidRDefault="009515E4" w:rsidP="004019B9">
      <w:pPr>
        <w:pStyle w:val="FootnoteText"/>
        <w:jc w:val="both"/>
        <w:rPr>
          <w:b/>
          <w:color w:val="000000" w:themeColor="text1"/>
        </w:rPr>
      </w:pPr>
      <w:r w:rsidRPr="00DF0ED0">
        <w:rPr>
          <w:rStyle w:val="FootnoteReference"/>
          <w:color w:val="000000" w:themeColor="text1"/>
        </w:rPr>
        <w:footnoteRef/>
      </w:r>
      <w:r w:rsidRPr="00DF0ED0">
        <w:rPr>
          <w:color w:val="000000" w:themeColor="text1"/>
        </w:rPr>
        <w:t xml:space="preserve"> </w:t>
      </w:r>
      <w:r w:rsidR="00E10E92" w:rsidRPr="00DF0ED0">
        <w:rPr>
          <w:color w:val="000000" w:themeColor="text1"/>
        </w:rPr>
        <w:t xml:space="preserve">See, </w:t>
      </w:r>
      <w:proofErr w:type="spellStart"/>
      <w:r w:rsidR="00E10E92" w:rsidRPr="00DF0ED0">
        <w:rPr>
          <w:color w:val="000000" w:themeColor="text1"/>
        </w:rPr>
        <w:t>Hongpei</w:t>
      </w:r>
      <w:proofErr w:type="spellEnd"/>
      <w:r w:rsidR="00E10E92" w:rsidRPr="00DF0ED0">
        <w:rPr>
          <w:color w:val="000000" w:themeColor="text1"/>
        </w:rPr>
        <w:t>, Zhang, “China’s Autonomous Driving Enters Fast Lane, Boosted by NEV Growth and Favourable Policies”</w:t>
      </w:r>
      <w:r w:rsidR="00CC503C" w:rsidRPr="00DF0ED0">
        <w:rPr>
          <w:color w:val="000000" w:themeColor="text1"/>
        </w:rPr>
        <w:t xml:space="preserve">, Global Times, dated 18 January 2022, available at: </w:t>
      </w:r>
      <w:hyperlink r:id="rId7" w:history="1">
        <w:r w:rsidR="008B79C7" w:rsidRPr="00DF0ED0">
          <w:rPr>
            <w:rStyle w:val="Hyperlink"/>
            <w:color w:val="000000" w:themeColor="text1"/>
            <w:u w:val="none"/>
          </w:rPr>
          <w:t>https://www.globaltimes.cn/page/202201/1246248.shtml</w:t>
        </w:r>
      </w:hyperlink>
      <w:r w:rsidR="008B79C7" w:rsidRPr="00DF0ED0">
        <w:rPr>
          <w:color w:val="000000" w:themeColor="text1"/>
        </w:rPr>
        <w:t xml:space="preserve"> </w:t>
      </w:r>
      <w:r w:rsidR="008B79C7" w:rsidRPr="00DF0ED0">
        <w:rPr>
          <w:color w:val="000000" w:themeColor="text1"/>
          <w:lang w:val="en-US"/>
        </w:rPr>
        <w:t>(accessed 12 April 2022)</w:t>
      </w:r>
      <w:r w:rsidR="008B79C7" w:rsidRPr="00DF0ED0">
        <w:rPr>
          <w:color w:val="000000" w:themeColor="text1"/>
          <w:lang w:val="en-US"/>
        </w:rPr>
        <w:t>.</w:t>
      </w:r>
    </w:p>
  </w:footnote>
  <w:footnote w:id="8">
    <w:p w14:paraId="221FF320" w14:textId="32FA3351" w:rsidR="009515E4" w:rsidRPr="00DF0ED0" w:rsidRDefault="009515E4" w:rsidP="004019B9">
      <w:pPr>
        <w:pStyle w:val="FootnoteText"/>
        <w:jc w:val="both"/>
        <w:rPr>
          <w:color w:val="000000" w:themeColor="text1"/>
        </w:rPr>
      </w:pPr>
      <w:r w:rsidRPr="00DF0ED0">
        <w:rPr>
          <w:rStyle w:val="FootnoteReference"/>
          <w:color w:val="000000" w:themeColor="text1"/>
        </w:rPr>
        <w:footnoteRef/>
      </w:r>
      <w:r w:rsidRPr="00DF0ED0">
        <w:rPr>
          <w:color w:val="000000" w:themeColor="text1"/>
        </w:rPr>
        <w:t xml:space="preserve"> </w:t>
      </w:r>
      <w:r w:rsidR="006F121A" w:rsidRPr="00DF0ED0">
        <w:rPr>
          <w:color w:val="000000" w:themeColor="text1"/>
          <w:lang w:val="en-US"/>
        </w:rPr>
        <w:t xml:space="preserve">See in this respect, </w:t>
      </w:r>
      <w:r w:rsidR="00E10E92" w:rsidRPr="00DF0ED0">
        <w:rPr>
          <w:color w:val="000000" w:themeColor="text1"/>
          <w:lang w:val="en-US"/>
        </w:rPr>
        <w:t>Hope, Graham, “</w:t>
      </w:r>
      <w:r w:rsidR="00E10E92" w:rsidRPr="00DF0ED0">
        <w:rPr>
          <w:color w:val="000000" w:themeColor="text1"/>
        </w:rPr>
        <w:t xml:space="preserve">Japan is One Step Closer to Launching Driverless Vehicles” </w:t>
      </w:r>
      <w:r w:rsidR="00E10E92" w:rsidRPr="00DF0ED0">
        <w:rPr>
          <w:i/>
          <w:color w:val="000000" w:themeColor="text1"/>
        </w:rPr>
        <w:t>IOT World Today</w:t>
      </w:r>
      <w:r w:rsidR="00E10E92" w:rsidRPr="00DF0ED0">
        <w:rPr>
          <w:color w:val="000000" w:themeColor="text1"/>
        </w:rPr>
        <w:t xml:space="preserve">, dated 10 March 2022, available at: </w:t>
      </w:r>
      <w:hyperlink r:id="rId8" w:history="1">
        <w:r w:rsidR="009363E9" w:rsidRPr="00DF0ED0">
          <w:rPr>
            <w:rStyle w:val="Hyperlink"/>
            <w:color w:val="000000" w:themeColor="text1"/>
            <w:u w:val="none"/>
          </w:rPr>
          <w:t>https://www.iotworldtoday.com/2022/03/10/japan-is-one-step-closer-to-launching-driverless-vehicles/</w:t>
        </w:r>
      </w:hyperlink>
      <w:r w:rsidR="009363E9" w:rsidRPr="00DF0ED0">
        <w:rPr>
          <w:color w:val="000000" w:themeColor="text1"/>
          <w:lang w:val="en-US"/>
        </w:rPr>
        <w:t xml:space="preserve"> </w:t>
      </w:r>
      <w:r w:rsidR="009363E9" w:rsidRPr="00DF0ED0">
        <w:rPr>
          <w:color w:val="000000" w:themeColor="text1"/>
          <w:lang w:val="en-US"/>
        </w:rPr>
        <w:t>(accessed 12 April 2022)</w:t>
      </w:r>
      <w:r w:rsidR="009363E9" w:rsidRPr="00DF0ED0">
        <w:rPr>
          <w:color w:val="000000" w:themeColor="text1"/>
          <w:lang w:val="en-US"/>
        </w:rPr>
        <w:t>.</w:t>
      </w:r>
    </w:p>
  </w:footnote>
  <w:footnote w:id="9">
    <w:p w14:paraId="19607F61" w14:textId="04D469A6"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Griggs, </w:t>
      </w:r>
      <w:r w:rsidR="006F121A" w:rsidRPr="00DF0ED0">
        <w:rPr>
          <w:color w:val="000000" w:themeColor="text1"/>
        </w:rPr>
        <w:t>Lynden</w:t>
      </w:r>
      <w:r w:rsidR="006F121A" w:rsidRPr="00DF0ED0">
        <w:rPr>
          <w:color w:val="000000" w:themeColor="text1"/>
        </w:rPr>
        <w:t>,</w:t>
      </w:r>
      <w:r w:rsidR="006F121A" w:rsidRPr="00DF0ED0">
        <w:rPr>
          <w:color w:val="000000" w:themeColor="text1"/>
        </w:rPr>
        <w:t xml:space="preserve"> </w:t>
      </w:r>
      <w:r w:rsidR="006F121A" w:rsidRPr="00DF0ED0">
        <w:rPr>
          <w:color w:val="000000" w:themeColor="text1"/>
        </w:rPr>
        <w:t>“</w:t>
      </w:r>
      <w:r w:rsidRPr="00DF0ED0">
        <w:rPr>
          <w:color w:val="000000" w:themeColor="text1"/>
        </w:rPr>
        <w:t>A Radical Solution for Solving the Liability Conundrum of autonomous Vehicles</w:t>
      </w:r>
      <w:r w:rsidR="006F121A" w:rsidRPr="00DF0ED0">
        <w:rPr>
          <w:color w:val="000000" w:themeColor="text1"/>
        </w:rPr>
        <w:t>”,</w:t>
      </w:r>
      <w:r w:rsidRPr="00DF0ED0">
        <w:rPr>
          <w:color w:val="000000" w:themeColor="text1"/>
        </w:rPr>
        <w:t xml:space="preserve"> 25 </w:t>
      </w:r>
      <w:r w:rsidRPr="00DF0ED0">
        <w:rPr>
          <w:i/>
          <w:color w:val="000000" w:themeColor="text1"/>
        </w:rPr>
        <w:t>Competition and Consumer Law Journal</w:t>
      </w:r>
      <w:r w:rsidRPr="00DF0ED0">
        <w:rPr>
          <w:color w:val="000000" w:themeColor="text1"/>
        </w:rPr>
        <w:t xml:space="preserve"> </w:t>
      </w:r>
      <w:r w:rsidR="006F121A" w:rsidRPr="00DF0ED0">
        <w:rPr>
          <w:color w:val="000000" w:themeColor="text1"/>
        </w:rPr>
        <w:t>(2017)</w:t>
      </w:r>
      <w:r w:rsidR="006F121A" w:rsidRPr="00DF0ED0">
        <w:rPr>
          <w:color w:val="000000" w:themeColor="text1"/>
        </w:rPr>
        <w:t>,</w:t>
      </w:r>
      <w:r w:rsidR="006F121A" w:rsidRPr="00DF0ED0">
        <w:rPr>
          <w:color w:val="000000" w:themeColor="text1"/>
        </w:rPr>
        <w:t xml:space="preserve"> </w:t>
      </w:r>
      <w:r w:rsidRPr="00DF0ED0">
        <w:rPr>
          <w:color w:val="000000" w:themeColor="text1"/>
        </w:rPr>
        <w:t>151, 152-153.</w:t>
      </w:r>
    </w:p>
  </w:footnote>
  <w:footnote w:id="10">
    <w:p w14:paraId="26036F14" w14:textId="77D48806"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See, Germany’s Draft of an Act Amending the Road Traffic Act and the Compulsory Insurance Act – the Autonomous Driving Act, Notified in accordance with Directive (EU) 2015/1535 of the European Parliament and of the Council of 9 September 2015 Laying Down a Procedure for the Provision of Information in the Field of Technical Regulations and of Rules on Information Society Services (OJ L 241, 17.9.2015, p. 1) (8 February 2021)</w:t>
      </w:r>
      <w:r w:rsidR="006F121A" w:rsidRPr="00DF0ED0">
        <w:rPr>
          <w:color w:val="000000" w:themeColor="text1"/>
        </w:rPr>
        <w:t xml:space="preserve">, at </w:t>
      </w:r>
      <w:r w:rsidRPr="00DF0ED0">
        <w:rPr>
          <w:color w:val="000000" w:themeColor="text1"/>
        </w:rPr>
        <w:t>18.</w:t>
      </w:r>
    </w:p>
  </w:footnote>
  <w:footnote w:id="11">
    <w:p w14:paraId="2837DDDF" w14:textId="21C97EDA" w:rsidR="009515E4" w:rsidRPr="00DF0ED0" w:rsidRDefault="009515E4" w:rsidP="004019B9">
      <w:pPr>
        <w:jc w:val="both"/>
        <w:rPr>
          <w:color w:val="000000" w:themeColor="text1"/>
          <w:sz w:val="20"/>
          <w:szCs w:val="20"/>
        </w:rPr>
      </w:pPr>
      <w:r w:rsidRPr="00DF0ED0">
        <w:rPr>
          <w:rStyle w:val="FootnoteReference"/>
          <w:color w:val="000000" w:themeColor="text1"/>
          <w:sz w:val="20"/>
          <w:szCs w:val="20"/>
        </w:rPr>
        <w:footnoteRef/>
      </w:r>
      <w:r w:rsidRPr="00DF0ED0">
        <w:rPr>
          <w:color w:val="000000" w:themeColor="text1"/>
          <w:sz w:val="20"/>
          <w:szCs w:val="20"/>
        </w:rPr>
        <w:t xml:space="preserve"> </w:t>
      </w:r>
      <w:r w:rsidRPr="00DF0ED0">
        <w:rPr>
          <w:color w:val="000000" w:themeColor="text1"/>
          <w:sz w:val="20"/>
          <w:szCs w:val="20"/>
        </w:rPr>
        <w:t xml:space="preserve">Korosec, </w:t>
      </w:r>
      <w:r w:rsidR="006F121A" w:rsidRPr="00DF0ED0">
        <w:rPr>
          <w:color w:val="000000" w:themeColor="text1"/>
          <w:sz w:val="20"/>
          <w:szCs w:val="20"/>
        </w:rPr>
        <w:t>Kirsten</w:t>
      </w:r>
      <w:r w:rsidR="006F121A" w:rsidRPr="00DF0ED0">
        <w:rPr>
          <w:color w:val="000000" w:themeColor="text1"/>
          <w:sz w:val="20"/>
          <w:szCs w:val="20"/>
        </w:rPr>
        <w:t>,</w:t>
      </w:r>
      <w:r w:rsidR="006F121A" w:rsidRPr="00DF0ED0">
        <w:rPr>
          <w:color w:val="000000" w:themeColor="text1"/>
          <w:sz w:val="20"/>
          <w:szCs w:val="20"/>
        </w:rPr>
        <w:t xml:space="preserve"> </w:t>
      </w:r>
      <w:r w:rsidR="006F121A" w:rsidRPr="00DF0ED0">
        <w:rPr>
          <w:color w:val="000000" w:themeColor="text1"/>
          <w:sz w:val="20"/>
          <w:szCs w:val="20"/>
        </w:rPr>
        <w:t>“</w:t>
      </w:r>
      <w:r w:rsidRPr="00DF0ED0">
        <w:rPr>
          <w:color w:val="000000" w:themeColor="text1"/>
          <w:sz w:val="20"/>
          <w:szCs w:val="20"/>
        </w:rPr>
        <w:t>Tesla Sued in Wrongful Death Lawsuit that Alleges Autopilot caused Crash</w:t>
      </w:r>
      <w:r w:rsidR="006F121A" w:rsidRPr="00DF0ED0">
        <w:rPr>
          <w:color w:val="000000" w:themeColor="text1"/>
          <w:sz w:val="20"/>
          <w:szCs w:val="20"/>
        </w:rPr>
        <w:t>”,</w:t>
      </w:r>
      <w:r w:rsidRPr="00DF0ED0">
        <w:rPr>
          <w:color w:val="000000" w:themeColor="text1"/>
          <w:sz w:val="20"/>
          <w:szCs w:val="20"/>
        </w:rPr>
        <w:t xml:space="preserve"> </w:t>
      </w:r>
      <w:proofErr w:type="spellStart"/>
      <w:r w:rsidRPr="00DF0ED0">
        <w:rPr>
          <w:i/>
          <w:color w:val="000000" w:themeColor="text1"/>
          <w:sz w:val="20"/>
          <w:szCs w:val="20"/>
        </w:rPr>
        <w:t>Techcrunch</w:t>
      </w:r>
      <w:proofErr w:type="spellEnd"/>
      <w:r w:rsidRPr="00DF0ED0">
        <w:rPr>
          <w:color w:val="000000" w:themeColor="text1"/>
          <w:sz w:val="20"/>
          <w:szCs w:val="20"/>
        </w:rPr>
        <w:t xml:space="preserve">, available at: </w:t>
      </w:r>
      <w:hyperlink r:id="rId9" w:history="1">
        <w:r w:rsidRPr="00DF0ED0">
          <w:rPr>
            <w:color w:val="000000" w:themeColor="text1"/>
            <w:sz w:val="20"/>
            <w:szCs w:val="20"/>
          </w:rPr>
          <w:t>https://techcrunch.com/2019/05/01/tesla-sued-in-wrongful-death-lawsuit-that-alleges-autopilot-caused-crash/</w:t>
        </w:r>
      </w:hyperlink>
      <w:r w:rsidRPr="00DF0ED0">
        <w:rPr>
          <w:color w:val="000000" w:themeColor="text1"/>
          <w:sz w:val="20"/>
          <w:szCs w:val="20"/>
        </w:rPr>
        <w:t xml:space="preserve"> (accessed </w:t>
      </w:r>
      <w:r w:rsidR="009363E9" w:rsidRPr="00DF0ED0">
        <w:rPr>
          <w:color w:val="000000" w:themeColor="text1"/>
          <w:sz w:val="20"/>
          <w:szCs w:val="20"/>
        </w:rPr>
        <w:t>15 March</w:t>
      </w:r>
      <w:r w:rsidRPr="00DF0ED0">
        <w:rPr>
          <w:color w:val="000000" w:themeColor="text1"/>
          <w:sz w:val="20"/>
          <w:szCs w:val="20"/>
        </w:rPr>
        <w:t xml:space="preserve"> </w:t>
      </w:r>
      <w:r w:rsidR="009363E9" w:rsidRPr="00DF0ED0">
        <w:rPr>
          <w:color w:val="000000" w:themeColor="text1"/>
          <w:sz w:val="20"/>
          <w:szCs w:val="20"/>
        </w:rPr>
        <w:t>2022</w:t>
      </w:r>
      <w:r w:rsidRPr="00DF0ED0">
        <w:rPr>
          <w:color w:val="000000" w:themeColor="text1"/>
          <w:sz w:val="20"/>
          <w:szCs w:val="20"/>
        </w:rPr>
        <w:t xml:space="preserve">); and Templeton, </w:t>
      </w:r>
      <w:r w:rsidR="006F121A" w:rsidRPr="00DF0ED0">
        <w:rPr>
          <w:color w:val="000000" w:themeColor="text1"/>
          <w:sz w:val="20"/>
          <w:szCs w:val="20"/>
        </w:rPr>
        <w:t>Brad</w:t>
      </w:r>
      <w:r w:rsidR="006F121A" w:rsidRPr="00DF0ED0">
        <w:rPr>
          <w:color w:val="000000" w:themeColor="text1"/>
          <w:sz w:val="20"/>
          <w:szCs w:val="20"/>
        </w:rPr>
        <w:t>,</w:t>
      </w:r>
      <w:r w:rsidR="006F121A" w:rsidRPr="00DF0ED0">
        <w:rPr>
          <w:color w:val="000000" w:themeColor="text1"/>
          <w:sz w:val="20"/>
          <w:szCs w:val="20"/>
        </w:rPr>
        <w:t xml:space="preserve"> </w:t>
      </w:r>
      <w:r w:rsidR="006F121A" w:rsidRPr="00DF0ED0">
        <w:rPr>
          <w:color w:val="000000" w:themeColor="text1"/>
          <w:sz w:val="20"/>
          <w:szCs w:val="20"/>
        </w:rPr>
        <w:t>“</w:t>
      </w:r>
      <w:r w:rsidRPr="00DF0ED0">
        <w:rPr>
          <w:bCs/>
          <w:color w:val="000000" w:themeColor="text1"/>
          <w:sz w:val="20"/>
          <w:szCs w:val="20"/>
        </w:rPr>
        <w:t>Tesla Autopilot Repeats Fatal Crash; Do They Learn From Past Mistakes?</w:t>
      </w:r>
      <w:r w:rsidR="006F121A" w:rsidRPr="00DF0ED0">
        <w:rPr>
          <w:bCs/>
          <w:color w:val="000000" w:themeColor="text1"/>
          <w:sz w:val="20"/>
          <w:szCs w:val="20"/>
        </w:rPr>
        <w:t xml:space="preserve">” </w:t>
      </w:r>
      <w:r w:rsidR="006F121A" w:rsidRPr="00DF0ED0">
        <w:rPr>
          <w:bCs/>
          <w:color w:val="000000" w:themeColor="text1"/>
          <w:sz w:val="20"/>
          <w:szCs w:val="20"/>
        </w:rPr>
        <w:t>Forbes</w:t>
      </w:r>
      <w:r w:rsidR="006F121A" w:rsidRPr="00DF0ED0">
        <w:rPr>
          <w:bCs/>
          <w:color w:val="000000" w:themeColor="text1"/>
          <w:sz w:val="20"/>
          <w:szCs w:val="20"/>
        </w:rPr>
        <w:t xml:space="preserve">, dated </w:t>
      </w:r>
      <w:r w:rsidRPr="00DF0ED0">
        <w:rPr>
          <w:bCs/>
          <w:color w:val="000000" w:themeColor="text1"/>
          <w:sz w:val="20"/>
          <w:szCs w:val="20"/>
        </w:rPr>
        <w:t>21 May 2019, available at:</w:t>
      </w:r>
      <w:r w:rsidRPr="00DF0ED0">
        <w:rPr>
          <w:b/>
          <w:bCs/>
          <w:color w:val="000000" w:themeColor="text1"/>
          <w:sz w:val="20"/>
          <w:szCs w:val="20"/>
        </w:rPr>
        <w:t xml:space="preserve"> </w:t>
      </w:r>
      <w:hyperlink r:id="rId10" w:anchor="66323e642f2e" w:history="1">
        <w:r w:rsidRPr="00DF0ED0">
          <w:rPr>
            <w:color w:val="000000" w:themeColor="text1"/>
            <w:sz w:val="20"/>
            <w:szCs w:val="20"/>
          </w:rPr>
          <w:t>https://www.forbes.com/sites/bradtempleton/2019/05/21/tesla-autopilot-repeats-fatal-crash-do-they-learn-from-past-mistakes/#66323e642f2e</w:t>
        </w:r>
      </w:hyperlink>
      <w:r w:rsidRPr="00DF0ED0">
        <w:rPr>
          <w:color w:val="000000" w:themeColor="text1"/>
          <w:sz w:val="20"/>
          <w:szCs w:val="20"/>
        </w:rPr>
        <w:t xml:space="preserve"> (accessed </w:t>
      </w:r>
      <w:r w:rsidR="009363E9" w:rsidRPr="00DF0ED0">
        <w:rPr>
          <w:color w:val="000000" w:themeColor="text1"/>
          <w:sz w:val="20"/>
          <w:szCs w:val="20"/>
        </w:rPr>
        <w:t>15 March 2022</w:t>
      </w:r>
      <w:r w:rsidRPr="00DF0ED0">
        <w:rPr>
          <w:color w:val="000000" w:themeColor="text1"/>
          <w:sz w:val="20"/>
          <w:szCs w:val="20"/>
        </w:rPr>
        <w:t>).</w:t>
      </w:r>
    </w:p>
  </w:footnote>
  <w:footnote w:id="12">
    <w:p w14:paraId="02476A7E" w14:textId="6CE60C4A" w:rsidR="009515E4" w:rsidRPr="00DF0ED0" w:rsidRDefault="009515E4" w:rsidP="004019B9">
      <w:pPr>
        <w:jc w:val="both"/>
        <w:rPr>
          <w:color w:val="000000" w:themeColor="text1"/>
          <w:sz w:val="20"/>
          <w:szCs w:val="20"/>
        </w:rPr>
      </w:pPr>
      <w:r w:rsidRPr="00DF0ED0">
        <w:rPr>
          <w:rStyle w:val="FootnoteReference"/>
          <w:color w:val="000000" w:themeColor="text1"/>
          <w:sz w:val="20"/>
          <w:szCs w:val="20"/>
        </w:rPr>
        <w:footnoteRef/>
      </w:r>
      <w:r w:rsidRPr="00DF0ED0">
        <w:rPr>
          <w:color w:val="000000" w:themeColor="text1"/>
          <w:sz w:val="20"/>
          <w:szCs w:val="20"/>
        </w:rPr>
        <w:t xml:space="preserve"> </w:t>
      </w:r>
      <w:r w:rsidR="006F121A" w:rsidRPr="00DF0ED0">
        <w:rPr>
          <w:color w:val="000000" w:themeColor="text1"/>
          <w:sz w:val="20"/>
          <w:szCs w:val="20"/>
        </w:rPr>
        <w:t>The Guardian</w:t>
      </w:r>
      <w:r w:rsidR="006F121A" w:rsidRPr="00DF0ED0">
        <w:rPr>
          <w:color w:val="000000" w:themeColor="text1"/>
          <w:sz w:val="20"/>
          <w:szCs w:val="20"/>
        </w:rPr>
        <w:t>, “</w:t>
      </w:r>
      <w:r w:rsidRPr="00DF0ED0">
        <w:rPr>
          <w:color w:val="000000" w:themeColor="text1"/>
          <w:sz w:val="20"/>
          <w:szCs w:val="20"/>
        </w:rPr>
        <w:t>Tesla driver dies in first fatal crash while using autopilot mode</w:t>
      </w:r>
      <w:r w:rsidR="006F121A" w:rsidRPr="00DF0ED0">
        <w:rPr>
          <w:color w:val="000000" w:themeColor="text1"/>
          <w:sz w:val="20"/>
          <w:szCs w:val="20"/>
        </w:rPr>
        <w:t>”</w:t>
      </w:r>
      <w:r w:rsidRPr="00DF0ED0">
        <w:rPr>
          <w:color w:val="000000" w:themeColor="text1"/>
          <w:sz w:val="20"/>
          <w:szCs w:val="20"/>
        </w:rPr>
        <w:t xml:space="preserve">, </w:t>
      </w:r>
      <w:r w:rsidR="006F121A" w:rsidRPr="00DF0ED0">
        <w:rPr>
          <w:color w:val="000000" w:themeColor="text1"/>
          <w:sz w:val="20"/>
          <w:szCs w:val="20"/>
        </w:rPr>
        <w:t xml:space="preserve">dated </w:t>
      </w:r>
      <w:r w:rsidRPr="00DF0ED0">
        <w:rPr>
          <w:color w:val="000000" w:themeColor="text1"/>
          <w:sz w:val="20"/>
          <w:szCs w:val="20"/>
        </w:rPr>
        <w:t xml:space="preserve">1 July 2016 available at: </w:t>
      </w:r>
      <w:r w:rsidRPr="00DF0ED0">
        <w:rPr>
          <w:color w:val="000000" w:themeColor="text1"/>
          <w:sz w:val="20"/>
          <w:szCs w:val="20"/>
        </w:rPr>
        <w:fldChar w:fldCharType="begin"/>
      </w:r>
      <w:r w:rsidRPr="00DF0ED0">
        <w:rPr>
          <w:color w:val="000000" w:themeColor="text1"/>
          <w:sz w:val="20"/>
          <w:szCs w:val="20"/>
        </w:rPr>
        <w:instrText xml:space="preserve"> HYPERLINK "https://www.theguardian.com/technology/2016/jun/30/tesla-autopilot-death-self-driving-car-elon-musk" </w:instrText>
      </w:r>
      <w:r w:rsidRPr="00DF0ED0">
        <w:rPr>
          <w:color w:val="000000" w:themeColor="text1"/>
          <w:sz w:val="20"/>
          <w:szCs w:val="20"/>
        </w:rPr>
        <w:fldChar w:fldCharType="separate"/>
      </w:r>
      <w:r w:rsidRPr="00DF0ED0">
        <w:rPr>
          <w:color w:val="000000" w:themeColor="text1"/>
          <w:sz w:val="20"/>
          <w:szCs w:val="20"/>
        </w:rPr>
        <w:t>https://www.theguardian.com/technology/2016/jun/30/tesla-autopilot-death-self-driving-car-elon-musk</w:t>
      </w:r>
      <w:r w:rsidRPr="00DF0ED0">
        <w:rPr>
          <w:color w:val="000000" w:themeColor="text1"/>
          <w:sz w:val="20"/>
          <w:szCs w:val="20"/>
        </w:rPr>
        <w:fldChar w:fldCharType="end"/>
      </w:r>
      <w:r w:rsidRPr="00DF0ED0">
        <w:rPr>
          <w:color w:val="000000" w:themeColor="text1"/>
          <w:sz w:val="20"/>
          <w:szCs w:val="20"/>
        </w:rPr>
        <w:t xml:space="preserve"> (accessed 17 </w:t>
      </w:r>
      <w:r w:rsidR="006F121A" w:rsidRPr="00DF0ED0">
        <w:rPr>
          <w:color w:val="000000" w:themeColor="text1"/>
          <w:sz w:val="20"/>
          <w:szCs w:val="20"/>
        </w:rPr>
        <w:t>April</w:t>
      </w:r>
      <w:r w:rsidRPr="00DF0ED0">
        <w:rPr>
          <w:color w:val="000000" w:themeColor="text1"/>
          <w:sz w:val="20"/>
          <w:szCs w:val="20"/>
        </w:rPr>
        <w:t xml:space="preserve"> 202</w:t>
      </w:r>
      <w:r w:rsidR="006F121A" w:rsidRPr="00DF0ED0">
        <w:rPr>
          <w:color w:val="000000" w:themeColor="text1"/>
          <w:sz w:val="20"/>
          <w:szCs w:val="20"/>
        </w:rPr>
        <w:t>2</w:t>
      </w:r>
      <w:r w:rsidRPr="00DF0ED0">
        <w:rPr>
          <w:color w:val="000000" w:themeColor="text1"/>
          <w:sz w:val="20"/>
          <w:szCs w:val="20"/>
        </w:rPr>
        <w:t>).</w:t>
      </w:r>
    </w:p>
  </w:footnote>
  <w:footnote w:id="13">
    <w:p w14:paraId="08CD09EA" w14:textId="1FC00935" w:rsidR="009515E4" w:rsidRPr="00DF0ED0" w:rsidRDefault="009515E4" w:rsidP="004019B9">
      <w:pPr>
        <w:pStyle w:val="FootnoteText"/>
        <w:jc w:val="both"/>
        <w:rPr>
          <w:b/>
          <w:bCs/>
          <w:color w:val="000000" w:themeColor="text1"/>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O’ Kane, </w:t>
      </w:r>
      <w:r w:rsidR="006F121A" w:rsidRPr="00DF0ED0">
        <w:rPr>
          <w:color w:val="000000" w:themeColor="text1"/>
        </w:rPr>
        <w:t>Sean</w:t>
      </w:r>
      <w:r w:rsidR="006F121A" w:rsidRPr="00DF0ED0">
        <w:rPr>
          <w:color w:val="000000" w:themeColor="text1"/>
        </w:rPr>
        <w:t>,</w:t>
      </w:r>
      <w:r w:rsidR="006F121A" w:rsidRPr="00DF0ED0">
        <w:rPr>
          <w:color w:val="000000" w:themeColor="text1"/>
        </w:rPr>
        <w:t xml:space="preserve"> </w:t>
      </w:r>
      <w:r w:rsidR="006F121A" w:rsidRPr="00DF0ED0">
        <w:rPr>
          <w:color w:val="000000" w:themeColor="text1"/>
        </w:rPr>
        <w:t>“</w:t>
      </w:r>
      <w:r w:rsidRPr="00DF0ED0">
        <w:rPr>
          <w:bCs/>
          <w:color w:val="000000" w:themeColor="text1"/>
        </w:rPr>
        <w:t>Uber debuts a new self-driving car with more fail-safes</w:t>
      </w:r>
      <w:r w:rsidR="006F121A" w:rsidRPr="00DF0ED0">
        <w:rPr>
          <w:bCs/>
          <w:color w:val="000000" w:themeColor="text1"/>
        </w:rPr>
        <w:t>”,</w:t>
      </w:r>
      <w:r w:rsidRPr="00DF0ED0">
        <w:rPr>
          <w:bCs/>
          <w:color w:val="000000" w:themeColor="text1"/>
        </w:rPr>
        <w:t xml:space="preserve"> </w:t>
      </w:r>
      <w:r w:rsidRPr="00DF0ED0">
        <w:rPr>
          <w:bCs/>
          <w:i/>
          <w:color w:val="000000" w:themeColor="text1"/>
        </w:rPr>
        <w:t>The Verge</w:t>
      </w:r>
      <w:r w:rsidRPr="00DF0ED0">
        <w:rPr>
          <w:bCs/>
          <w:color w:val="000000" w:themeColor="text1"/>
        </w:rPr>
        <w:t xml:space="preserve">, 12 June 2019, available at: </w:t>
      </w:r>
      <w:hyperlink r:id="rId11" w:history="1">
        <w:r w:rsidRPr="00DF0ED0">
          <w:rPr>
            <w:rStyle w:val="Hyperlink"/>
            <w:bCs/>
            <w:color w:val="000000" w:themeColor="text1"/>
            <w:u w:val="none"/>
          </w:rPr>
          <w:t>https://www.theverge.com/2019/6/12/18662626/uber-volvo-self-driving-car-safety-autonomous-factory-level</w:t>
        </w:r>
      </w:hyperlink>
      <w:r w:rsidRPr="00DF0ED0">
        <w:rPr>
          <w:bCs/>
          <w:color w:val="000000" w:themeColor="text1"/>
        </w:rPr>
        <w:t xml:space="preserve"> (accessed 15 </w:t>
      </w:r>
      <w:r w:rsidR="006F121A" w:rsidRPr="00DF0ED0">
        <w:rPr>
          <w:bCs/>
          <w:color w:val="000000" w:themeColor="text1"/>
        </w:rPr>
        <w:t>March</w:t>
      </w:r>
      <w:r w:rsidRPr="00DF0ED0">
        <w:rPr>
          <w:bCs/>
          <w:color w:val="000000" w:themeColor="text1"/>
        </w:rPr>
        <w:t xml:space="preserve"> </w:t>
      </w:r>
      <w:r w:rsidR="006F121A" w:rsidRPr="00DF0ED0">
        <w:rPr>
          <w:bCs/>
          <w:color w:val="000000" w:themeColor="text1"/>
        </w:rPr>
        <w:t>2022</w:t>
      </w:r>
      <w:r w:rsidRPr="00DF0ED0">
        <w:rPr>
          <w:bCs/>
          <w:color w:val="000000" w:themeColor="text1"/>
        </w:rPr>
        <w:t>).</w:t>
      </w:r>
      <w:r w:rsidRPr="00DF0ED0">
        <w:rPr>
          <w:color w:val="000000" w:themeColor="text1"/>
        </w:rPr>
        <w:t xml:space="preserve"> </w:t>
      </w:r>
    </w:p>
  </w:footnote>
  <w:footnote w:id="14">
    <w:p w14:paraId="25D0EA56" w14:textId="78302112" w:rsidR="00EA2C4D" w:rsidRPr="00DF0ED0" w:rsidRDefault="00EA2C4D"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w:t>
      </w:r>
      <w:r w:rsidR="00C041EE" w:rsidRPr="00DF0ED0">
        <w:rPr>
          <w:color w:val="000000" w:themeColor="text1"/>
          <w:lang w:val="en-US"/>
        </w:rPr>
        <w:t>,</w:t>
      </w:r>
      <w:r w:rsidRPr="00DF0ED0">
        <w:rPr>
          <w:color w:val="000000" w:themeColor="text1"/>
          <w:lang w:val="en-US"/>
        </w:rPr>
        <w:t xml:space="preserve"> </w:t>
      </w:r>
      <w:r w:rsidR="00303FB8" w:rsidRPr="00DF0ED0">
        <w:rPr>
          <w:color w:val="000000" w:themeColor="text1"/>
          <w:lang w:val="en-US"/>
        </w:rPr>
        <w:t>Section 2.1.3.1 below.</w:t>
      </w:r>
      <w:r w:rsidRPr="00DF0ED0">
        <w:rPr>
          <w:color w:val="000000" w:themeColor="text1"/>
          <w:lang w:val="en-US"/>
        </w:rPr>
        <w:t xml:space="preserve"> </w:t>
      </w:r>
    </w:p>
  </w:footnote>
  <w:footnote w:id="15">
    <w:p w14:paraId="6F8EA622" w14:textId="14E56681"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DF0ED0">
        <w:rPr>
          <w:color w:val="000000" w:themeColor="text1"/>
          <w:lang w:val="en-US"/>
        </w:rPr>
        <w:t>Dahiyat</w:t>
      </w:r>
      <w:proofErr w:type="spellEnd"/>
      <w:r w:rsidRPr="00DF0ED0">
        <w:rPr>
          <w:color w:val="000000" w:themeColor="text1"/>
          <w:lang w:val="en-US"/>
        </w:rPr>
        <w:t>,</w:t>
      </w:r>
      <w:r w:rsidR="006F121A" w:rsidRPr="00DF0ED0">
        <w:rPr>
          <w:color w:val="000000" w:themeColor="text1"/>
          <w:lang w:val="en-US"/>
        </w:rPr>
        <w:t xml:space="preserve"> </w:t>
      </w:r>
      <w:r w:rsidR="006F121A" w:rsidRPr="00DF0ED0">
        <w:rPr>
          <w:color w:val="000000" w:themeColor="text1"/>
          <w:lang w:val="en-US"/>
        </w:rPr>
        <w:t>Emad</w:t>
      </w:r>
      <w:r w:rsidR="006F121A" w:rsidRPr="00DF0ED0">
        <w:rPr>
          <w:color w:val="000000" w:themeColor="text1"/>
          <w:lang w:val="en-US"/>
        </w:rPr>
        <w:t>,</w:t>
      </w:r>
      <w:r w:rsidRPr="00DF0ED0">
        <w:rPr>
          <w:color w:val="000000" w:themeColor="text1"/>
          <w:lang w:val="en-US"/>
        </w:rPr>
        <w:t xml:space="preserve"> </w:t>
      </w:r>
      <w:r w:rsidR="006F121A" w:rsidRPr="00DF0ED0">
        <w:rPr>
          <w:color w:val="000000" w:themeColor="text1"/>
          <w:lang w:val="en-US"/>
        </w:rPr>
        <w:t>“</w:t>
      </w:r>
      <w:r w:rsidRPr="00DF0ED0">
        <w:rPr>
          <w:color w:val="000000" w:themeColor="text1"/>
          <w:lang w:val="en-US"/>
        </w:rPr>
        <w:t>From Science Fiction to Reality: How will the Law Adapt to Self-Driving Vehicles?</w:t>
      </w:r>
      <w:r w:rsidR="006F121A" w:rsidRPr="00DF0ED0">
        <w:rPr>
          <w:color w:val="000000" w:themeColor="text1"/>
          <w:lang w:val="en-US"/>
        </w:rPr>
        <w:t>”</w:t>
      </w:r>
      <w:r w:rsidRPr="00DF0ED0">
        <w:rPr>
          <w:color w:val="000000" w:themeColor="text1"/>
          <w:lang w:val="en-US"/>
        </w:rPr>
        <w:t xml:space="preserve"> 7(9) </w:t>
      </w:r>
      <w:r w:rsidRPr="00DF0ED0">
        <w:rPr>
          <w:i/>
          <w:color w:val="000000" w:themeColor="text1"/>
          <w:lang w:val="en-US"/>
        </w:rPr>
        <w:t>Journal of Arts and Humanities</w:t>
      </w:r>
      <w:r w:rsidRPr="00DF0ED0">
        <w:rPr>
          <w:color w:val="000000" w:themeColor="text1"/>
          <w:lang w:val="en-US"/>
        </w:rPr>
        <w:t xml:space="preserve"> </w:t>
      </w:r>
      <w:r w:rsidR="006F121A" w:rsidRPr="00DF0ED0">
        <w:rPr>
          <w:color w:val="000000" w:themeColor="text1"/>
          <w:lang w:val="en-US"/>
        </w:rPr>
        <w:t>(2018)</w:t>
      </w:r>
      <w:r w:rsidR="006F121A" w:rsidRPr="00DF0ED0">
        <w:rPr>
          <w:color w:val="000000" w:themeColor="text1"/>
          <w:lang w:val="en-US"/>
        </w:rPr>
        <w:t xml:space="preserve">, </w:t>
      </w:r>
      <w:r w:rsidRPr="00DF0ED0">
        <w:rPr>
          <w:color w:val="000000" w:themeColor="text1"/>
          <w:lang w:val="en-US"/>
        </w:rPr>
        <w:t>34, 35.</w:t>
      </w:r>
    </w:p>
  </w:footnote>
  <w:footnote w:id="16">
    <w:p w14:paraId="4E88529F" w14:textId="2B172AA8" w:rsidR="009515E4" w:rsidRPr="00DF0ED0" w:rsidRDefault="009515E4" w:rsidP="004019B9">
      <w:pPr>
        <w:jc w:val="both"/>
        <w:rPr>
          <w:color w:val="000000" w:themeColor="text1"/>
          <w:sz w:val="20"/>
          <w:szCs w:val="20"/>
        </w:rPr>
      </w:pPr>
      <w:r w:rsidRPr="00DF0ED0">
        <w:rPr>
          <w:rStyle w:val="FootnoteReference"/>
          <w:color w:val="000000" w:themeColor="text1"/>
          <w:sz w:val="20"/>
          <w:szCs w:val="20"/>
        </w:rPr>
        <w:footnoteRef/>
      </w:r>
      <w:r w:rsidRPr="00DF0ED0">
        <w:rPr>
          <w:color w:val="000000" w:themeColor="text1"/>
          <w:sz w:val="20"/>
          <w:szCs w:val="20"/>
        </w:rPr>
        <w:t xml:space="preserve"> </w:t>
      </w:r>
      <w:proofErr w:type="spellStart"/>
      <w:r w:rsidR="006F121A" w:rsidRPr="00DF0ED0">
        <w:rPr>
          <w:color w:val="000000" w:themeColor="text1"/>
          <w:sz w:val="20"/>
          <w:szCs w:val="20"/>
          <w:lang w:val="en-US"/>
        </w:rPr>
        <w:t>Geistfeld</w:t>
      </w:r>
      <w:proofErr w:type="spellEnd"/>
      <w:r w:rsidR="006F121A" w:rsidRPr="00DF0ED0">
        <w:rPr>
          <w:color w:val="000000" w:themeColor="text1"/>
          <w:sz w:val="20"/>
          <w:szCs w:val="20"/>
          <w:lang w:val="en-US"/>
        </w:rPr>
        <w:t>,</w:t>
      </w:r>
      <w:r w:rsidR="006F121A" w:rsidRPr="00DF0ED0">
        <w:rPr>
          <w:color w:val="000000" w:themeColor="text1"/>
          <w:sz w:val="20"/>
          <w:szCs w:val="20"/>
          <w:lang w:val="en-US"/>
        </w:rPr>
        <w:t xml:space="preserve"> </w:t>
      </w:r>
      <w:r w:rsidR="006F121A" w:rsidRPr="00DF0ED0">
        <w:rPr>
          <w:color w:val="000000" w:themeColor="text1"/>
          <w:sz w:val="20"/>
          <w:szCs w:val="20"/>
          <w:lang w:val="en-US"/>
        </w:rPr>
        <w:t>Mark A</w:t>
      </w:r>
      <w:r w:rsidR="006F121A" w:rsidRPr="00DF0ED0">
        <w:rPr>
          <w:color w:val="000000" w:themeColor="text1"/>
          <w:sz w:val="20"/>
          <w:szCs w:val="20"/>
          <w:lang w:val="en-US"/>
        </w:rPr>
        <w:t>,</w:t>
      </w:r>
      <w:r w:rsidR="006F121A" w:rsidRPr="00DF0ED0">
        <w:rPr>
          <w:color w:val="000000" w:themeColor="text1"/>
          <w:sz w:val="20"/>
          <w:szCs w:val="20"/>
          <w:lang w:val="en-US"/>
        </w:rPr>
        <w:t xml:space="preserve"> </w:t>
      </w:r>
      <w:r w:rsidR="006F121A" w:rsidRPr="00DF0ED0">
        <w:rPr>
          <w:color w:val="000000" w:themeColor="text1"/>
          <w:sz w:val="20"/>
          <w:szCs w:val="20"/>
          <w:lang w:val="en-US"/>
        </w:rPr>
        <w:t>“</w:t>
      </w:r>
      <w:r w:rsidR="006F121A" w:rsidRPr="00DF0ED0">
        <w:rPr>
          <w:color w:val="000000" w:themeColor="text1"/>
          <w:sz w:val="20"/>
          <w:szCs w:val="20"/>
          <w:lang w:val="en-US"/>
        </w:rPr>
        <w:t>A Roadmap for Autonomous Vehicles: State Tort Liability, Autonomous Insurance, and Federal Safety Regulation</w:t>
      </w:r>
      <w:r w:rsidR="006F121A" w:rsidRPr="00DF0ED0">
        <w:rPr>
          <w:color w:val="000000" w:themeColor="text1"/>
          <w:sz w:val="20"/>
          <w:szCs w:val="20"/>
          <w:lang w:val="en-US"/>
        </w:rPr>
        <w:t>”,</w:t>
      </w:r>
      <w:r w:rsidR="006F121A" w:rsidRPr="00DF0ED0">
        <w:rPr>
          <w:color w:val="000000" w:themeColor="text1"/>
          <w:sz w:val="20"/>
          <w:szCs w:val="20"/>
          <w:lang w:val="en-US"/>
        </w:rPr>
        <w:t xml:space="preserve"> 105 </w:t>
      </w:r>
      <w:r w:rsidR="006F121A" w:rsidRPr="00DF0ED0">
        <w:rPr>
          <w:i/>
          <w:color w:val="000000" w:themeColor="text1"/>
          <w:sz w:val="20"/>
          <w:szCs w:val="20"/>
          <w:lang w:val="en-US"/>
        </w:rPr>
        <w:t>California Law Review</w:t>
      </w:r>
      <w:r w:rsidR="006F121A" w:rsidRPr="00DF0ED0">
        <w:rPr>
          <w:color w:val="000000" w:themeColor="text1"/>
          <w:sz w:val="20"/>
          <w:szCs w:val="20"/>
          <w:lang w:val="en-US"/>
        </w:rPr>
        <w:t xml:space="preserve"> (2017)</w:t>
      </w:r>
      <w:r w:rsidR="006F121A" w:rsidRPr="00DF0ED0">
        <w:rPr>
          <w:color w:val="000000" w:themeColor="text1"/>
          <w:sz w:val="20"/>
          <w:szCs w:val="20"/>
          <w:lang w:val="en-US"/>
        </w:rPr>
        <w:t xml:space="preserve">, </w:t>
      </w:r>
      <w:r w:rsidR="006F121A" w:rsidRPr="00DF0ED0">
        <w:rPr>
          <w:color w:val="000000" w:themeColor="text1"/>
          <w:sz w:val="20"/>
          <w:szCs w:val="20"/>
          <w:lang w:val="en-US"/>
        </w:rPr>
        <w:t>1611, 161</w:t>
      </w:r>
      <w:r w:rsidR="006F121A" w:rsidRPr="00DF0ED0">
        <w:rPr>
          <w:color w:val="000000" w:themeColor="text1"/>
          <w:sz w:val="20"/>
          <w:szCs w:val="20"/>
          <w:lang w:val="en-US"/>
        </w:rPr>
        <w:t xml:space="preserve">7; and </w:t>
      </w:r>
      <w:r w:rsidRPr="00DF0ED0">
        <w:rPr>
          <w:color w:val="000000" w:themeColor="text1"/>
          <w:sz w:val="20"/>
          <w:szCs w:val="20"/>
          <w:lang w:val="en-US"/>
        </w:rPr>
        <w:t xml:space="preserve">Nakashima, </w:t>
      </w:r>
      <w:r w:rsidR="006F121A" w:rsidRPr="00DF0ED0">
        <w:rPr>
          <w:color w:val="000000" w:themeColor="text1"/>
          <w:sz w:val="20"/>
          <w:szCs w:val="20"/>
          <w:lang w:val="en-US"/>
        </w:rPr>
        <w:t>Ryan</w:t>
      </w:r>
      <w:r w:rsidR="006F121A" w:rsidRPr="00DF0ED0">
        <w:rPr>
          <w:color w:val="000000" w:themeColor="text1"/>
          <w:sz w:val="20"/>
          <w:szCs w:val="20"/>
          <w:lang w:val="en-US"/>
        </w:rPr>
        <w:t>,</w:t>
      </w:r>
      <w:r w:rsidR="006F121A" w:rsidRPr="00DF0ED0">
        <w:rPr>
          <w:color w:val="000000" w:themeColor="text1"/>
          <w:sz w:val="20"/>
          <w:szCs w:val="20"/>
          <w:lang w:val="en-US"/>
        </w:rPr>
        <w:t xml:space="preserve"> </w:t>
      </w:r>
      <w:r w:rsidR="006F121A" w:rsidRPr="00DF0ED0">
        <w:rPr>
          <w:color w:val="000000" w:themeColor="text1"/>
          <w:sz w:val="20"/>
          <w:szCs w:val="20"/>
          <w:lang w:val="en-US"/>
        </w:rPr>
        <w:t>“</w:t>
      </w:r>
      <w:r w:rsidRPr="00DF0ED0">
        <w:rPr>
          <w:color w:val="000000" w:themeColor="text1"/>
          <w:sz w:val="20"/>
          <w:szCs w:val="20"/>
          <w:lang w:val="en-US"/>
        </w:rPr>
        <w:t>Carmakers at Nevada Show: Driverless Cars need Legal Framework</w:t>
      </w:r>
      <w:r w:rsidR="006F121A" w:rsidRPr="00DF0ED0">
        <w:rPr>
          <w:color w:val="000000" w:themeColor="text1"/>
          <w:sz w:val="20"/>
          <w:szCs w:val="20"/>
          <w:lang w:val="en-US"/>
        </w:rPr>
        <w:t xml:space="preserve">”, </w:t>
      </w:r>
      <w:r w:rsidR="006F121A" w:rsidRPr="00DF0ED0">
        <w:rPr>
          <w:color w:val="000000" w:themeColor="text1"/>
          <w:sz w:val="20"/>
          <w:szCs w:val="20"/>
          <w:lang w:val="en-US"/>
        </w:rPr>
        <w:t>Insurance Journal</w:t>
      </w:r>
      <w:r w:rsidRPr="00DF0ED0">
        <w:rPr>
          <w:color w:val="000000" w:themeColor="text1"/>
          <w:sz w:val="20"/>
          <w:szCs w:val="20"/>
          <w:lang w:val="en-US"/>
        </w:rPr>
        <w:t xml:space="preserve"> (2014)</w:t>
      </w:r>
      <w:r w:rsidR="006F121A" w:rsidRPr="00DF0ED0">
        <w:rPr>
          <w:color w:val="000000" w:themeColor="text1"/>
          <w:sz w:val="20"/>
          <w:szCs w:val="20"/>
          <w:lang w:val="en-US"/>
        </w:rPr>
        <w:t>.</w:t>
      </w:r>
    </w:p>
  </w:footnote>
  <w:footnote w:id="17">
    <w:p w14:paraId="6080AA56" w14:textId="4A143874"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w:t>
      </w:r>
      <w:r w:rsidRPr="00DF0ED0">
        <w:rPr>
          <w:rFonts w:eastAsiaTheme="minorHAnsi"/>
          <w:color w:val="000000" w:themeColor="text1"/>
        </w:rPr>
        <w:t xml:space="preserve">Decree No. 2021-873 of June 29, 2021 </w:t>
      </w:r>
      <w:r w:rsidRPr="00DF0ED0">
        <w:rPr>
          <w:color w:val="000000" w:themeColor="text1"/>
        </w:rPr>
        <w:t xml:space="preserve">Implementing </w:t>
      </w:r>
      <w:r w:rsidRPr="00DF0ED0">
        <w:rPr>
          <w:rFonts w:eastAsiaTheme="minorHAnsi"/>
          <w:color w:val="000000" w:themeColor="text1"/>
        </w:rPr>
        <w:t>Ordinance No</w:t>
      </w:r>
      <w:r w:rsidRPr="00DF0ED0">
        <w:rPr>
          <w:color w:val="000000" w:themeColor="text1"/>
        </w:rPr>
        <w:t xml:space="preserve">. 2021-443 Of </w:t>
      </w:r>
      <w:r w:rsidRPr="00DF0ED0">
        <w:rPr>
          <w:rFonts w:eastAsiaTheme="minorHAnsi"/>
          <w:color w:val="000000" w:themeColor="text1"/>
        </w:rPr>
        <w:t xml:space="preserve">April </w:t>
      </w:r>
      <w:r w:rsidRPr="00DF0ED0">
        <w:rPr>
          <w:color w:val="000000" w:themeColor="text1"/>
        </w:rPr>
        <w:t xml:space="preserve">14, 2021 Relating to the Criminal Liability Regime Applicable in the Event of the Circulation of a Vehicle with Driving Delegation and its Conditions of Operation Use (official translated version), available at </w:t>
      </w:r>
      <w:hyperlink r:id="rId12" w:history="1">
        <w:r w:rsidRPr="00DF0ED0">
          <w:rPr>
            <w:rStyle w:val="Hyperlink"/>
            <w:color w:val="000000" w:themeColor="text1"/>
            <w:u w:val="none"/>
          </w:rPr>
          <w:t>https://www.legifrance.gouv.fr/jorf/id/JORFTEXT000043729532</w:t>
        </w:r>
      </w:hyperlink>
      <w:r w:rsidRPr="00DF0ED0">
        <w:rPr>
          <w:color w:val="000000" w:themeColor="text1"/>
        </w:rPr>
        <w:t xml:space="preserve"> [hereinafter referred to as the French Highway Code, 2022]</w:t>
      </w:r>
      <w:r w:rsidR="009363E9" w:rsidRPr="00DF0ED0">
        <w:rPr>
          <w:color w:val="000000" w:themeColor="text1"/>
        </w:rPr>
        <w:t>.</w:t>
      </w:r>
    </w:p>
  </w:footnote>
  <w:footnote w:id="18">
    <w:p w14:paraId="0D91F6E9" w14:textId="03E1DF38"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Germany’s Draft of an Act Amending the Road Traffic Act </w:t>
      </w:r>
      <w:r w:rsidR="003B0A61" w:rsidRPr="00DF0ED0">
        <w:rPr>
          <w:color w:val="000000" w:themeColor="text1"/>
        </w:rPr>
        <w:t xml:space="preserve">[also known as the </w:t>
      </w:r>
      <w:proofErr w:type="spellStart"/>
      <w:r w:rsidRPr="00DF0ED0">
        <w:rPr>
          <w:color w:val="000000" w:themeColor="text1"/>
        </w:rPr>
        <w:t>Straßenverkehrsgesetz</w:t>
      </w:r>
      <w:proofErr w:type="spellEnd"/>
      <w:r w:rsidRPr="00DF0ED0">
        <w:rPr>
          <w:color w:val="000000" w:themeColor="text1"/>
        </w:rPr>
        <w:t xml:space="preserve"> </w:t>
      </w:r>
      <w:r w:rsidR="003B0A61" w:rsidRPr="00DF0ED0">
        <w:rPr>
          <w:color w:val="000000" w:themeColor="text1"/>
        </w:rPr>
        <w:t xml:space="preserve">or the </w:t>
      </w:r>
      <w:proofErr w:type="spellStart"/>
      <w:r w:rsidRPr="00DF0ED0">
        <w:rPr>
          <w:color w:val="000000" w:themeColor="text1"/>
        </w:rPr>
        <w:t>StVG</w:t>
      </w:r>
      <w:proofErr w:type="spellEnd"/>
      <w:r w:rsidR="003B0A61" w:rsidRPr="00DF0ED0">
        <w:rPr>
          <w:color w:val="000000" w:themeColor="text1"/>
        </w:rPr>
        <w:t>]</w:t>
      </w:r>
      <w:r w:rsidRPr="00DF0ED0">
        <w:rPr>
          <w:color w:val="000000" w:themeColor="text1"/>
        </w:rPr>
        <w:t xml:space="preserve"> and the Compulsory Insurance Act – the Autonomous Driving Act, Notified in accordance with Directive (EU) 2015/1535 of the European Parliament and of the Council of 9 September 2015 Laying Down a Procedure for the Provision of Information in the Field of Technical Regulations and of Rules on Information Society Services (OJ L 241, 17.9.2015, p. 1) (8 February 2021) [hereinafter referred to as </w:t>
      </w:r>
      <w:r w:rsidR="003B0A61" w:rsidRPr="00DF0ED0">
        <w:rPr>
          <w:color w:val="000000" w:themeColor="text1"/>
        </w:rPr>
        <w:t xml:space="preserve">the </w:t>
      </w:r>
      <w:proofErr w:type="spellStart"/>
      <w:r w:rsidRPr="00DF0ED0">
        <w:rPr>
          <w:color w:val="000000" w:themeColor="text1"/>
        </w:rPr>
        <w:t>StVG</w:t>
      </w:r>
      <w:proofErr w:type="spellEnd"/>
      <w:r w:rsidRPr="00DF0ED0">
        <w:rPr>
          <w:color w:val="000000" w:themeColor="text1"/>
        </w:rPr>
        <w:t xml:space="preserve">]. </w:t>
      </w:r>
    </w:p>
  </w:footnote>
  <w:footnote w:id="19">
    <w:p w14:paraId="43AA7230" w14:textId="54263550"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See, Part 1 of the Automated and Electrical Vehicles Act 2018 [AEVA].</w:t>
      </w:r>
    </w:p>
  </w:footnote>
  <w:footnote w:id="20">
    <w:p w14:paraId="34B63C02" w14:textId="469A45CA"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810AF3" w:rsidRPr="00DF0ED0">
        <w:rPr>
          <w:color w:val="000000" w:themeColor="text1"/>
        </w:rPr>
        <w:t xml:space="preserve">See for instance, </w:t>
      </w:r>
      <w:r w:rsidR="00810AF3" w:rsidRPr="00DF0ED0">
        <w:rPr>
          <w:color w:val="000000" w:themeColor="text1"/>
          <w:lang w:val="en-US"/>
        </w:rPr>
        <w:t xml:space="preserve">Government of Shanghai, </w:t>
      </w:r>
      <w:r w:rsidR="00810AF3" w:rsidRPr="00DF0ED0">
        <w:rPr>
          <w:color w:val="000000" w:themeColor="text1"/>
        </w:rPr>
        <w:t>Ministry of Industry and Information Technology’s [MIIT’s] Draft for Comments of the Administrative Measures for Road Testing and Demonstration (for Trial Implementation), which operate in the form of local regulations</w:t>
      </w:r>
      <w:r w:rsidRPr="00DF0ED0">
        <w:rPr>
          <w:color w:val="000000" w:themeColor="text1"/>
        </w:rPr>
        <w:t>.</w:t>
      </w:r>
      <w:r w:rsidR="00810AF3" w:rsidRPr="00DF0ED0">
        <w:rPr>
          <w:color w:val="000000" w:themeColor="text1"/>
        </w:rPr>
        <w:t xml:space="preserve"> </w:t>
      </w:r>
    </w:p>
  </w:footnote>
  <w:footnote w:id="21">
    <w:p w14:paraId="41F8239C" w14:textId="45CF6778"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C041EE" w:rsidRPr="00DF0ED0">
        <w:rPr>
          <w:color w:val="000000" w:themeColor="text1"/>
          <w:lang w:val="en-US"/>
        </w:rPr>
        <w:t>See, Deloitte, “2020 Global Automotive Consumer Study”, available at: chrome-extension://efaidnbmnnnibpcajpcglclefindmkaj/viewer.html?pdfurl=https%3A%2F%2Fwww2.deloitte.com%2Fcontent%2Fdam%2FDeloitte%2Fus%2FDocuments%2Fmanufacturing%2Fus-2020-global-automotive-consumer-study-global-focus-countries.pdf&amp;clen=1096564&amp;chunk=true, p. 9.</w:t>
      </w:r>
    </w:p>
  </w:footnote>
  <w:footnote w:id="22">
    <w:p w14:paraId="09F6A7D5" w14:textId="2DB80BD5"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C041EE" w:rsidRPr="00DF0ED0">
        <w:rPr>
          <w:color w:val="000000" w:themeColor="text1"/>
          <w:lang w:val="en-US"/>
        </w:rPr>
        <w:t>Ibid.</w:t>
      </w:r>
      <w:r w:rsidRPr="00DF0ED0">
        <w:rPr>
          <w:color w:val="000000" w:themeColor="text1"/>
          <w:lang w:val="en-US"/>
        </w:rPr>
        <w:t xml:space="preserve"> The report indicates that indicates that 65 per</w:t>
      </w:r>
      <w:r w:rsidR="003B0A61" w:rsidRPr="00DF0ED0">
        <w:rPr>
          <w:color w:val="000000" w:themeColor="text1"/>
          <w:lang w:val="en-US"/>
        </w:rPr>
        <w:t xml:space="preserve"> </w:t>
      </w:r>
      <w:r w:rsidRPr="00DF0ED0">
        <w:rPr>
          <w:color w:val="000000" w:themeColor="text1"/>
          <w:lang w:val="en-US"/>
        </w:rPr>
        <w:t>cent of the population in China considers such vehicles as safe in 2020 when compared to 75, 74 and 38 per</w:t>
      </w:r>
      <w:r w:rsidR="003B0A61" w:rsidRPr="00DF0ED0">
        <w:rPr>
          <w:color w:val="000000" w:themeColor="text1"/>
          <w:lang w:val="en-US"/>
        </w:rPr>
        <w:t xml:space="preserve"> </w:t>
      </w:r>
      <w:r w:rsidRPr="00DF0ED0">
        <w:rPr>
          <w:color w:val="000000" w:themeColor="text1"/>
          <w:lang w:val="en-US"/>
        </w:rPr>
        <w:t xml:space="preserve">cent in the preceding three years respectively. </w:t>
      </w:r>
    </w:p>
  </w:footnote>
  <w:footnote w:id="23">
    <w:p w14:paraId="7CC22362" w14:textId="6F94AC8E"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Ibid, which indicates that </w:t>
      </w:r>
      <w:r w:rsidRPr="00DF0ED0">
        <w:rPr>
          <w:color w:val="000000" w:themeColor="text1"/>
          <w:lang w:val="en-US"/>
        </w:rPr>
        <w:t>54 per</w:t>
      </w:r>
      <w:r w:rsidR="003B0A61" w:rsidRPr="00DF0ED0">
        <w:rPr>
          <w:color w:val="000000" w:themeColor="text1"/>
          <w:lang w:val="en-US"/>
        </w:rPr>
        <w:t xml:space="preserve"> </w:t>
      </w:r>
      <w:r w:rsidRPr="00DF0ED0">
        <w:rPr>
          <w:color w:val="000000" w:themeColor="text1"/>
          <w:lang w:val="en-US"/>
        </w:rPr>
        <w:t>cent of the population in South Korea have considered such vehicles as safe in 2020 when compared to 51, 46 and 19 per</w:t>
      </w:r>
      <w:r w:rsidR="003B0A61" w:rsidRPr="00DF0ED0">
        <w:rPr>
          <w:color w:val="000000" w:themeColor="text1"/>
          <w:lang w:val="en-US"/>
        </w:rPr>
        <w:t xml:space="preserve"> </w:t>
      </w:r>
      <w:r w:rsidRPr="00DF0ED0">
        <w:rPr>
          <w:color w:val="000000" w:themeColor="text1"/>
          <w:lang w:val="en-US"/>
        </w:rPr>
        <w:t xml:space="preserve">cent in the preceding three years, respectively. </w:t>
      </w:r>
    </w:p>
  </w:footnote>
  <w:footnote w:id="24">
    <w:p w14:paraId="56CC584A" w14:textId="3C92D427"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Ibid, which indicates that </w:t>
      </w:r>
      <w:r w:rsidRPr="00DF0ED0">
        <w:rPr>
          <w:color w:val="000000" w:themeColor="text1"/>
          <w:lang w:val="en-US"/>
        </w:rPr>
        <w:t>53 per</w:t>
      </w:r>
      <w:r w:rsidR="003B0A61" w:rsidRPr="00DF0ED0">
        <w:rPr>
          <w:color w:val="000000" w:themeColor="text1"/>
          <w:lang w:val="en-US"/>
        </w:rPr>
        <w:t xml:space="preserve"> </w:t>
      </w:r>
      <w:r w:rsidRPr="00DF0ED0">
        <w:rPr>
          <w:color w:val="000000" w:themeColor="text1"/>
          <w:lang w:val="en-US"/>
        </w:rPr>
        <w:t>cent of the population in Japan have considered such vehicles as safe in 2020 when compared to 50, 43 and 21 per</w:t>
      </w:r>
      <w:r w:rsidR="003B0A61" w:rsidRPr="00DF0ED0">
        <w:rPr>
          <w:color w:val="000000" w:themeColor="text1"/>
          <w:lang w:val="en-US"/>
        </w:rPr>
        <w:t xml:space="preserve"> </w:t>
      </w:r>
      <w:r w:rsidRPr="00DF0ED0">
        <w:rPr>
          <w:color w:val="000000" w:themeColor="text1"/>
          <w:lang w:val="en-US"/>
        </w:rPr>
        <w:t>cent in the preceding three years, respectively.</w:t>
      </w:r>
    </w:p>
  </w:footnote>
  <w:footnote w:id="25">
    <w:p w14:paraId="4AAF0F61" w14:textId="57A32CD2"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Ibid, which indicates that </w:t>
      </w:r>
      <w:r w:rsidRPr="00DF0ED0">
        <w:rPr>
          <w:color w:val="000000" w:themeColor="text1"/>
          <w:lang w:val="en-US"/>
        </w:rPr>
        <w:t>55 per</w:t>
      </w:r>
      <w:r w:rsidR="003B0A61" w:rsidRPr="00DF0ED0">
        <w:rPr>
          <w:color w:val="000000" w:themeColor="text1"/>
          <w:lang w:val="en-US"/>
        </w:rPr>
        <w:t xml:space="preserve"> </w:t>
      </w:r>
      <w:r w:rsidRPr="00DF0ED0">
        <w:rPr>
          <w:color w:val="000000" w:themeColor="text1"/>
          <w:lang w:val="en-US"/>
        </w:rPr>
        <w:t>cent of the population in Germany have considered such vehicles as safe in 2020 when compared to 53, 55 and 28 per</w:t>
      </w:r>
      <w:r w:rsidR="003B0A61" w:rsidRPr="00DF0ED0">
        <w:rPr>
          <w:color w:val="000000" w:themeColor="text1"/>
          <w:lang w:val="en-US"/>
        </w:rPr>
        <w:t xml:space="preserve"> </w:t>
      </w:r>
      <w:r w:rsidRPr="00DF0ED0">
        <w:rPr>
          <w:color w:val="000000" w:themeColor="text1"/>
          <w:lang w:val="en-US"/>
        </w:rPr>
        <w:t>cent in the preceding three years, respectively</w:t>
      </w:r>
    </w:p>
  </w:footnote>
  <w:footnote w:id="26">
    <w:p w14:paraId="21E1F1B3" w14:textId="232BEB5C"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Ibid, which indicates that </w:t>
      </w:r>
      <w:r w:rsidRPr="00DF0ED0">
        <w:rPr>
          <w:color w:val="000000" w:themeColor="text1"/>
          <w:lang w:val="en-US"/>
        </w:rPr>
        <w:t>52 per</w:t>
      </w:r>
      <w:r w:rsidR="003B0A61" w:rsidRPr="00DF0ED0">
        <w:rPr>
          <w:color w:val="000000" w:themeColor="text1"/>
          <w:lang w:val="en-US"/>
        </w:rPr>
        <w:t xml:space="preserve"> </w:t>
      </w:r>
      <w:r w:rsidRPr="00DF0ED0">
        <w:rPr>
          <w:color w:val="000000" w:themeColor="text1"/>
          <w:lang w:val="en-US"/>
        </w:rPr>
        <w:t>cent of the population in the US have considered such vehicles as safe in 2020 when compared to 50, 53 and 26 per</w:t>
      </w:r>
      <w:r w:rsidR="003B0A61" w:rsidRPr="00DF0ED0">
        <w:rPr>
          <w:color w:val="000000" w:themeColor="text1"/>
          <w:lang w:val="en-US"/>
        </w:rPr>
        <w:t xml:space="preserve"> </w:t>
      </w:r>
      <w:r w:rsidRPr="00DF0ED0">
        <w:rPr>
          <w:color w:val="000000" w:themeColor="text1"/>
          <w:lang w:val="en-US"/>
        </w:rPr>
        <w:t>cent in the preceding three years respectively.</w:t>
      </w:r>
    </w:p>
  </w:footnote>
  <w:footnote w:id="27">
    <w:p w14:paraId="310C4371" w14:textId="4F27E9B4"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Speech by Union Minister </w:t>
      </w:r>
      <w:proofErr w:type="spellStart"/>
      <w:r w:rsidRPr="00DF0ED0">
        <w:rPr>
          <w:color w:val="000000" w:themeColor="text1"/>
          <w:lang w:val="en-US"/>
        </w:rPr>
        <w:t>Gadkari</w:t>
      </w:r>
      <w:proofErr w:type="spellEnd"/>
      <w:r w:rsidRPr="00DF0ED0">
        <w:rPr>
          <w:color w:val="000000" w:themeColor="text1"/>
          <w:lang w:val="en-US"/>
        </w:rPr>
        <w:t xml:space="preserve">, </w:t>
      </w:r>
      <w:r w:rsidR="003B0A61" w:rsidRPr="00DF0ED0">
        <w:rPr>
          <w:color w:val="000000" w:themeColor="text1"/>
          <w:lang w:val="en-US"/>
        </w:rPr>
        <w:t>Nitin</w:t>
      </w:r>
      <w:r w:rsidR="003B0A61" w:rsidRPr="00DF0ED0">
        <w:rPr>
          <w:color w:val="000000" w:themeColor="text1"/>
          <w:lang w:val="en-US"/>
        </w:rPr>
        <w:t>,</w:t>
      </w:r>
      <w:r w:rsidR="003B0A61" w:rsidRPr="00DF0ED0">
        <w:rPr>
          <w:color w:val="000000" w:themeColor="text1"/>
          <w:lang w:val="en-US"/>
        </w:rPr>
        <w:t xml:space="preserve"> </w:t>
      </w:r>
      <w:r w:rsidR="003B0A61" w:rsidRPr="00DF0ED0">
        <w:rPr>
          <w:color w:val="000000" w:themeColor="text1"/>
          <w:lang w:val="en-US"/>
        </w:rPr>
        <w:t>“</w:t>
      </w:r>
      <w:r w:rsidRPr="00DF0ED0">
        <w:rPr>
          <w:color w:val="000000" w:themeColor="text1"/>
          <w:lang w:val="en-US"/>
        </w:rPr>
        <w:t>Driverless Cars must not be allowed in India</w:t>
      </w:r>
      <w:r w:rsidR="003B0A61" w:rsidRPr="00DF0ED0">
        <w:rPr>
          <w:color w:val="000000" w:themeColor="text1"/>
          <w:lang w:val="en-US"/>
        </w:rPr>
        <w:t>”,</w:t>
      </w:r>
      <w:r w:rsidRPr="00DF0ED0">
        <w:rPr>
          <w:color w:val="000000" w:themeColor="text1"/>
          <w:lang w:val="en-US"/>
        </w:rPr>
        <w:t xml:space="preserve"> </w:t>
      </w:r>
      <w:r w:rsidRPr="00DF0ED0">
        <w:rPr>
          <w:i/>
          <w:color w:val="000000" w:themeColor="text1"/>
          <w:lang w:val="en-US"/>
        </w:rPr>
        <w:t>Economic Times</w:t>
      </w:r>
      <w:r w:rsidR="003B0A61" w:rsidRPr="00DF0ED0">
        <w:rPr>
          <w:color w:val="000000" w:themeColor="text1"/>
          <w:lang w:val="en-US"/>
        </w:rPr>
        <w:t>, dated</w:t>
      </w:r>
      <w:r w:rsidRPr="00DF0ED0">
        <w:rPr>
          <w:color w:val="000000" w:themeColor="text1"/>
          <w:lang w:val="en-US"/>
        </w:rPr>
        <w:t xml:space="preserve"> 25 July 2017, available at: </w:t>
      </w:r>
      <w:hyperlink r:id="rId13" w:history="1">
        <w:r w:rsidRPr="00DF0ED0">
          <w:rPr>
            <w:color w:val="000000" w:themeColor="text1"/>
          </w:rPr>
          <w:t>https://economictimes.indiatimes.com/industry/driverless-cars-wont-be-allowed-in-india-nitin-gadkari/articleshow/59744519.cms</w:t>
        </w:r>
      </w:hyperlink>
      <w:r w:rsidRPr="00DF0ED0">
        <w:rPr>
          <w:color w:val="000000" w:themeColor="text1"/>
        </w:rPr>
        <w:t xml:space="preserve"> (accessed on 13 March 2022).</w:t>
      </w:r>
    </w:p>
  </w:footnote>
  <w:footnote w:id="28">
    <w:p w14:paraId="5E9C33FD" w14:textId="1AB416E7"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KPMG, 2020 Autonomous Vehicles Readiness Index [AVRI], p. 40, available at </w:t>
      </w:r>
      <w:hyperlink r:id="rId14" w:history="1">
        <w:r w:rsidR="00DB6053" w:rsidRPr="00DF0ED0">
          <w:rPr>
            <w:rStyle w:val="Hyperlink"/>
            <w:color w:val="000000" w:themeColor="text1"/>
            <w:u w:val="none"/>
            <w:lang w:val="en-US"/>
          </w:rPr>
          <w:t>https://assets.kpmg/content/dam/kpmg/xx/pdf/2020/07/2020-autonomous-vehicles-readiness-index.pdf</w:t>
        </w:r>
      </w:hyperlink>
      <w:r w:rsidR="00DB6053" w:rsidRPr="00DF0ED0">
        <w:rPr>
          <w:color w:val="000000" w:themeColor="text1"/>
          <w:lang w:val="en-US"/>
        </w:rPr>
        <w:t xml:space="preserve"> </w:t>
      </w:r>
      <w:r w:rsidR="00DB6053" w:rsidRPr="00DF0ED0">
        <w:rPr>
          <w:color w:val="000000" w:themeColor="text1"/>
          <w:lang w:val="en-US"/>
        </w:rPr>
        <w:t xml:space="preserve">(accessed 12 </w:t>
      </w:r>
      <w:r w:rsidR="00DB6053" w:rsidRPr="00DF0ED0">
        <w:rPr>
          <w:color w:val="000000" w:themeColor="text1"/>
          <w:lang w:val="en-US"/>
        </w:rPr>
        <w:t>March</w:t>
      </w:r>
      <w:r w:rsidR="00DB6053" w:rsidRPr="00DF0ED0">
        <w:rPr>
          <w:color w:val="000000" w:themeColor="text1"/>
          <w:lang w:val="en-US"/>
        </w:rPr>
        <w:t xml:space="preserve"> 2022)</w:t>
      </w:r>
      <w:r w:rsidR="000D55BE">
        <w:rPr>
          <w:color w:val="000000" w:themeColor="text1"/>
          <w:lang w:val="en-US"/>
        </w:rPr>
        <w:t>.</w:t>
      </w:r>
    </w:p>
  </w:footnote>
  <w:footnote w:id="29">
    <w:p w14:paraId="25F09546" w14:textId="32EB299D"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Deloitte (n</w:t>
      </w:r>
      <w:r w:rsidR="00280919" w:rsidRPr="00DF0ED0">
        <w:rPr>
          <w:color w:val="000000" w:themeColor="text1"/>
          <w:lang w:val="en-US"/>
        </w:rPr>
        <w:t xml:space="preserve"> 21</w:t>
      </w:r>
      <w:r w:rsidRPr="00DF0ED0">
        <w:rPr>
          <w:color w:val="000000" w:themeColor="text1"/>
          <w:lang w:val="en-US"/>
        </w:rPr>
        <w:t>) 9.</w:t>
      </w:r>
    </w:p>
  </w:footnote>
  <w:footnote w:id="30">
    <w:p w14:paraId="39EC10DD" w14:textId="5CEFCD16"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3B0A61" w:rsidRPr="00DF0ED0">
        <w:rPr>
          <w:color w:val="000000" w:themeColor="text1"/>
        </w:rPr>
        <w:t>Ibid</w:t>
      </w:r>
      <w:r w:rsidRPr="00DF0ED0">
        <w:rPr>
          <w:color w:val="000000" w:themeColor="text1"/>
          <w:lang w:val="en-US"/>
        </w:rPr>
        <w:t>, which indicates that 70 per</w:t>
      </w:r>
      <w:r w:rsidR="003B0A61" w:rsidRPr="00DF0ED0">
        <w:rPr>
          <w:color w:val="000000" w:themeColor="text1"/>
          <w:lang w:val="en-US"/>
        </w:rPr>
        <w:t xml:space="preserve"> </w:t>
      </w:r>
      <w:r w:rsidRPr="00DF0ED0">
        <w:rPr>
          <w:color w:val="000000" w:themeColor="text1"/>
          <w:lang w:val="en-US"/>
        </w:rPr>
        <w:t>cent of the consumers have expressed reluctance in the operation of such vehicles due to media reports of accidents involving autonomous cars.</w:t>
      </w:r>
    </w:p>
  </w:footnote>
  <w:footnote w:id="31">
    <w:p w14:paraId="304FD011" w14:textId="52AE3671"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3B0A61" w:rsidRPr="00DF0ED0">
        <w:rPr>
          <w:color w:val="000000" w:themeColor="text1"/>
        </w:rPr>
        <w:t>Ibid,</w:t>
      </w:r>
      <w:r w:rsidRPr="00DF0ED0">
        <w:rPr>
          <w:color w:val="000000" w:themeColor="text1"/>
          <w:lang w:val="en-US"/>
        </w:rPr>
        <w:t xml:space="preserve"> 10. The report indicates that 57 per</w:t>
      </w:r>
      <w:r w:rsidR="003B0A61" w:rsidRPr="00DF0ED0">
        <w:rPr>
          <w:color w:val="000000" w:themeColor="text1"/>
          <w:lang w:val="en-US"/>
        </w:rPr>
        <w:t xml:space="preserve"> </w:t>
      </w:r>
      <w:r w:rsidRPr="00DF0ED0">
        <w:rPr>
          <w:color w:val="000000" w:themeColor="text1"/>
          <w:lang w:val="en-US"/>
        </w:rPr>
        <w:t xml:space="preserve">cent of consumers in India have expressed concerns about autonomous vehicles being tested on public roads upon their introduction. </w:t>
      </w:r>
    </w:p>
  </w:footnote>
  <w:footnote w:id="32">
    <w:p w14:paraId="1CB57457" w14:textId="05CF053A" w:rsidR="00242E8D" w:rsidRPr="00DF0ED0" w:rsidRDefault="00242E8D"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Graziano, </w:t>
      </w:r>
      <w:r w:rsidR="003B0A61" w:rsidRPr="00DF0ED0">
        <w:rPr>
          <w:color w:val="000000" w:themeColor="text1"/>
          <w:lang w:val="en-US"/>
        </w:rPr>
        <w:t xml:space="preserve">Thomas </w:t>
      </w:r>
      <w:proofErr w:type="spellStart"/>
      <w:r w:rsidR="003B0A61" w:rsidRPr="00DF0ED0">
        <w:rPr>
          <w:color w:val="000000" w:themeColor="text1"/>
          <w:lang w:val="en-US"/>
        </w:rPr>
        <w:t>Kadner</w:t>
      </w:r>
      <w:proofErr w:type="spellEnd"/>
      <w:r w:rsidR="003B0A61" w:rsidRPr="00DF0ED0">
        <w:rPr>
          <w:color w:val="000000" w:themeColor="text1"/>
          <w:lang w:val="en-US"/>
        </w:rPr>
        <w:t>,</w:t>
      </w:r>
      <w:r w:rsidR="003B0A61" w:rsidRPr="00DF0ED0">
        <w:rPr>
          <w:color w:val="000000" w:themeColor="text1"/>
          <w:lang w:val="en-US"/>
        </w:rPr>
        <w:t xml:space="preserve"> </w:t>
      </w:r>
      <w:r w:rsidR="003B0A61" w:rsidRPr="00DF0ED0">
        <w:rPr>
          <w:color w:val="000000" w:themeColor="text1"/>
          <w:lang w:val="en-US"/>
        </w:rPr>
        <w:t>“</w:t>
      </w:r>
      <w:r w:rsidRPr="00DF0ED0">
        <w:rPr>
          <w:color w:val="000000" w:themeColor="text1"/>
          <w:lang w:val="en-US"/>
        </w:rPr>
        <w:t>Cross-Border Traffic Accidents in the EU – the Potential Impact of Driverless Cars</w:t>
      </w:r>
      <w:r w:rsidR="003B0A61" w:rsidRPr="00DF0ED0">
        <w:rPr>
          <w:color w:val="000000" w:themeColor="text1"/>
          <w:lang w:val="en-US"/>
        </w:rPr>
        <w:t>”,</w:t>
      </w:r>
      <w:r w:rsidRPr="00DF0ED0">
        <w:rPr>
          <w:color w:val="000000" w:themeColor="text1"/>
          <w:lang w:val="en-US"/>
        </w:rPr>
        <w:t xml:space="preserve"> European Parliament, Directorate-General for Internal Policies, Policy Department C: Citizens’ Rights and Constitutional Affairs, </w:t>
      </w:r>
      <w:r w:rsidR="003B0A61" w:rsidRPr="00DF0ED0">
        <w:rPr>
          <w:color w:val="000000" w:themeColor="text1"/>
          <w:lang w:val="en-US"/>
        </w:rPr>
        <w:t xml:space="preserve">(2016) </w:t>
      </w:r>
      <w:r w:rsidRPr="00DF0ED0">
        <w:rPr>
          <w:color w:val="000000" w:themeColor="text1"/>
          <w:lang w:val="en-US"/>
        </w:rPr>
        <w:t>PE 571.362, 3</w:t>
      </w:r>
      <w:r w:rsidRPr="00DF0ED0">
        <w:rPr>
          <w:color w:val="000000" w:themeColor="text1"/>
          <w:lang w:val="en-US"/>
        </w:rPr>
        <w:t>8</w:t>
      </w:r>
      <w:r w:rsidRPr="00DF0ED0">
        <w:rPr>
          <w:color w:val="000000" w:themeColor="text1"/>
          <w:lang w:val="en-US"/>
        </w:rPr>
        <w:t xml:space="preserve">, available at https://www.europarl.europa.eu/RegData/etudes/STUD/2016/571362/IPOL_STU(2016)571362_EN.pdf. (accessed 1 March </w:t>
      </w:r>
      <w:r w:rsidR="003B0A61" w:rsidRPr="00DF0ED0">
        <w:rPr>
          <w:color w:val="000000" w:themeColor="text1"/>
          <w:lang w:val="en-US"/>
        </w:rPr>
        <w:t>2022</w:t>
      </w:r>
      <w:r w:rsidRPr="00DF0ED0">
        <w:rPr>
          <w:color w:val="000000" w:themeColor="text1"/>
          <w:lang w:val="en-US"/>
        </w:rPr>
        <w:t>)</w:t>
      </w:r>
      <w:r w:rsidR="00DB6053" w:rsidRPr="00DF0ED0">
        <w:rPr>
          <w:color w:val="000000" w:themeColor="text1"/>
          <w:lang w:val="en-US"/>
        </w:rPr>
        <w:t>.</w:t>
      </w:r>
    </w:p>
  </w:footnote>
  <w:footnote w:id="33">
    <w:p w14:paraId="7AF0D61A" w14:textId="7C851B1E" w:rsidR="009F38F0" w:rsidRPr="00DF0ED0" w:rsidRDefault="004124F3" w:rsidP="004019B9">
      <w:pPr>
        <w:jc w:val="both"/>
        <w:rPr>
          <w:color w:val="000000" w:themeColor="text1"/>
          <w:sz w:val="20"/>
          <w:szCs w:val="20"/>
        </w:rPr>
      </w:pPr>
      <w:r w:rsidRPr="00DF0ED0">
        <w:rPr>
          <w:rStyle w:val="FootnoteReference"/>
          <w:color w:val="000000" w:themeColor="text1"/>
          <w:sz w:val="20"/>
          <w:szCs w:val="20"/>
        </w:rPr>
        <w:footnoteRef/>
      </w:r>
      <w:r w:rsidRPr="00DF0ED0">
        <w:rPr>
          <w:color w:val="000000" w:themeColor="text1"/>
          <w:sz w:val="20"/>
          <w:szCs w:val="20"/>
        </w:rPr>
        <w:t xml:space="preserve"> </w:t>
      </w:r>
      <w:r w:rsidRPr="00DF0ED0">
        <w:rPr>
          <w:color w:val="000000" w:themeColor="text1"/>
          <w:sz w:val="20"/>
          <w:szCs w:val="20"/>
        </w:rPr>
        <w:t>See for instance, Rule</w:t>
      </w:r>
      <w:r w:rsidR="009F38F0" w:rsidRPr="00DF0ED0">
        <w:rPr>
          <w:color w:val="000000" w:themeColor="text1"/>
          <w:sz w:val="20"/>
          <w:szCs w:val="20"/>
        </w:rPr>
        <w:t>s 42, 43 and</w:t>
      </w:r>
      <w:r w:rsidRPr="00DF0ED0">
        <w:rPr>
          <w:color w:val="000000" w:themeColor="text1"/>
          <w:sz w:val="20"/>
          <w:szCs w:val="20"/>
        </w:rPr>
        <w:t xml:space="preserve"> 46 of the French Code of Civil Procedure, 1981; Sec</w:t>
      </w:r>
      <w:r w:rsidR="009F38F0" w:rsidRPr="00DF0ED0">
        <w:rPr>
          <w:color w:val="000000" w:themeColor="text1"/>
          <w:sz w:val="20"/>
          <w:szCs w:val="20"/>
        </w:rPr>
        <w:t>s</w:t>
      </w:r>
      <w:r w:rsidRPr="00DF0ED0">
        <w:rPr>
          <w:color w:val="000000" w:themeColor="text1"/>
          <w:sz w:val="20"/>
          <w:szCs w:val="20"/>
        </w:rPr>
        <w:t xml:space="preserve">. </w:t>
      </w:r>
      <w:r w:rsidR="009F38F0" w:rsidRPr="00DF0ED0">
        <w:rPr>
          <w:color w:val="000000" w:themeColor="text1"/>
          <w:sz w:val="20"/>
          <w:szCs w:val="20"/>
        </w:rPr>
        <w:t xml:space="preserve">20, 21 and </w:t>
      </w:r>
      <w:r w:rsidRPr="00DF0ED0">
        <w:rPr>
          <w:color w:val="000000" w:themeColor="text1"/>
          <w:sz w:val="20"/>
          <w:szCs w:val="20"/>
        </w:rPr>
        <w:t>32 of the German Civil Procedure Code, 205; Art</w:t>
      </w:r>
      <w:r w:rsidR="009F38F0" w:rsidRPr="00DF0ED0">
        <w:rPr>
          <w:color w:val="000000" w:themeColor="text1"/>
          <w:sz w:val="20"/>
          <w:szCs w:val="20"/>
        </w:rPr>
        <w:t>s</w:t>
      </w:r>
      <w:r w:rsidRPr="00DF0ED0">
        <w:rPr>
          <w:color w:val="000000" w:themeColor="text1"/>
          <w:sz w:val="20"/>
          <w:szCs w:val="20"/>
        </w:rPr>
        <w:t>.</w:t>
      </w:r>
      <w:r w:rsidR="009F38F0" w:rsidRPr="00DF0ED0">
        <w:rPr>
          <w:color w:val="000000" w:themeColor="text1"/>
          <w:sz w:val="20"/>
          <w:szCs w:val="20"/>
        </w:rPr>
        <w:t xml:space="preserve"> 4,</w:t>
      </w:r>
      <w:r w:rsidRPr="00DF0ED0">
        <w:rPr>
          <w:color w:val="000000" w:themeColor="text1"/>
          <w:sz w:val="20"/>
          <w:szCs w:val="20"/>
        </w:rPr>
        <w:t xml:space="preserve"> 7</w:t>
      </w:r>
      <w:r w:rsidR="009F38F0" w:rsidRPr="00DF0ED0">
        <w:rPr>
          <w:color w:val="000000" w:themeColor="text1"/>
          <w:sz w:val="20"/>
          <w:szCs w:val="20"/>
        </w:rPr>
        <w:t>, 62 and 63</w:t>
      </w:r>
      <w:r w:rsidRPr="00DF0ED0">
        <w:rPr>
          <w:color w:val="000000" w:themeColor="text1"/>
          <w:sz w:val="20"/>
          <w:szCs w:val="20"/>
        </w:rPr>
        <w:t xml:space="preserve"> of the </w:t>
      </w:r>
      <w:r w:rsidRPr="00DF0ED0">
        <w:rPr>
          <w:color w:val="000000" w:themeColor="text1"/>
          <w:sz w:val="20"/>
          <w:szCs w:val="20"/>
          <w:lang w:val="en-ZA"/>
        </w:rPr>
        <w:t xml:space="preserve">Regulation (EU) No 1215/2012 of The European Parliament and of the Council of 12 December 2012 on Jurisdiction and the Recognition and Enforcement of Judgments in Civil and Commercial Matters [the Brussels I </w:t>
      </w:r>
      <w:proofErr w:type="spellStart"/>
      <w:r w:rsidRPr="00DF0ED0">
        <w:rPr>
          <w:i/>
          <w:color w:val="000000" w:themeColor="text1"/>
          <w:sz w:val="20"/>
          <w:szCs w:val="20"/>
          <w:lang w:val="en-ZA"/>
        </w:rPr>
        <w:t>bis</w:t>
      </w:r>
      <w:proofErr w:type="spellEnd"/>
      <w:r w:rsidRPr="00DF0ED0">
        <w:rPr>
          <w:color w:val="000000" w:themeColor="text1"/>
          <w:sz w:val="20"/>
          <w:szCs w:val="20"/>
          <w:lang w:val="en-ZA"/>
        </w:rPr>
        <w:t xml:space="preserve"> Regulation]</w:t>
      </w:r>
      <w:r w:rsidRPr="00DF0ED0">
        <w:rPr>
          <w:color w:val="000000" w:themeColor="text1"/>
          <w:sz w:val="20"/>
          <w:szCs w:val="20"/>
          <w:lang w:val="en-ZA"/>
        </w:rPr>
        <w:t xml:space="preserve"> that stipulates the grounds on which courts in the EU may assume jurisdiction; and </w:t>
      </w:r>
      <w:r w:rsidRPr="00DF0ED0">
        <w:rPr>
          <w:color w:val="000000" w:themeColor="text1"/>
          <w:sz w:val="20"/>
          <w:szCs w:val="20"/>
        </w:rPr>
        <w:t>Art</w:t>
      </w:r>
      <w:r w:rsidR="009F38F0" w:rsidRPr="00DF0ED0">
        <w:rPr>
          <w:color w:val="000000" w:themeColor="text1"/>
          <w:sz w:val="20"/>
          <w:szCs w:val="20"/>
        </w:rPr>
        <w:t xml:space="preserve"> 22 of the </w:t>
      </w:r>
      <w:r w:rsidR="009F38F0" w:rsidRPr="00DF0ED0">
        <w:rPr>
          <w:color w:val="000000" w:themeColor="text1"/>
          <w:sz w:val="20"/>
          <w:szCs w:val="20"/>
        </w:rPr>
        <w:t>Interpretations of the Supreme People’s Court on the Application of the Civil Procedure Law of the People’s Republic of China, (CPL) Fa Shi [2015]. No. 5.</w:t>
      </w:r>
    </w:p>
    <w:p w14:paraId="2ADDFB67" w14:textId="6501DE5E" w:rsidR="004124F3" w:rsidRPr="00DF0ED0" w:rsidRDefault="009F38F0" w:rsidP="004019B9">
      <w:pPr>
        <w:jc w:val="both"/>
        <w:rPr>
          <w:color w:val="000000" w:themeColor="text1"/>
          <w:sz w:val="20"/>
          <w:szCs w:val="20"/>
        </w:rPr>
      </w:pPr>
      <w:r w:rsidRPr="00DF0ED0">
        <w:rPr>
          <w:color w:val="000000" w:themeColor="text1"/>
          <w:sz w:val="20"/>
          <w:szCs w:val="20"/>
        </w:rPr>
        <w:t xml:space="preserve">and </w:t>
      </w:r>
      <w:r w:rsidR="004124F3" w:rsidRPr="00DF0ED0">
        <w:rPr>
          <w:color w:val="000000" w:themeColor="text1"/>
          <w:sz w:val="20"/>
          <w:szCs w:val="20"/>
        </w:rPr>
        <w:t>272 of</w:t>
      </w:r>
      <w:r w:rsidR="004124F3" w:rsidRPr="00DF0ED0">
        <w:rPr>
          <w:color w:val="000000" w:themeColor="text1"/>
          <w:sz w:val="20"/>
          <w:szCs w:val="20"/>
        </w:rPr>
        <w:t xml:space="preserve"> The Civil Procedure Law of the People’s Republic of China (2020 Amendment)</w:t>
      </w:r>
      <w:r w:rsidRPr="00DF0ED0">
        <w:rPr>
          <w:color w:val="000000" w:themeColor="text1"/>
          <w:sz w:val="20"/>
          <w:szCs w:val="20"/>
        </w:rPr>
        <w:t>.</w:t>
      </w:r>
    </w:p>
  </w:footnote>
  <w:footnote w:id="34">
    <w:p w14:paraId="142E1580" w14:textId="761AE9EE"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lang w:val="en-US"/>
        </w:rPr>
        <w:t xml:space="preserve"> </w:t>
      </w:r>
      <w:r w:rsidR="00157BC2" w:rsidRPr="00DF0ED0">
        <w:rPr>
          <w:color w:val="000000" w:themeColor="text1"/>
          <w:lang w:val="en-US"/>
        </w:rPr>
        <w:t xml:space="preserve">Graziano, </w:t>
      </w:r>
      <w:r w:rsidR="002469C2" w:rsidRPr="00DF0ED0">
        <w:rPr>
          <w:color w:val="000000" w:themeColor="text1"/>
          <w:lang w:val="en-US"/>
        </w:rPr>
        <w:t xml:space="preserve">Thomas </w:t>
      </w:r>
      <w:proofErr w:type="spellStart"/>
      <w:r w:rsidR="002469C2" w:rsidRPr="00DF0ED0">
        <w:rPr>
          <w:color w:val="000000" w:themeColor="text1"/>
          <w:lang w:val="en-US"/>
        </w:rPr>
        <w:t>Kadner</w:t>
      </w:r>
      <w:proofErr w:type="spellEnd"/>
      <w:r w:rsidR="002469C2" w:rsidRPr="00DF0ED0">
        <w:rPr>
          <w:color w:val="000000" w:themeColor="text1"/>
          <w:lang w:val="en-US"/>
        </w:rPr>
        <w:t>,</w:t>
      </w:r>
      <w:r w:rsidR="002469C2" w:rsidRPr="00DF0ED0">
        <w:rPr>
          <w:color w:val="000000" w:themeColor="text1"/>
          <w:lang w:val="en-US"/>
        </w:rPr>
        <w:t xml:space="preserve"> </w:t>
      </w:r>
      <w:r w:rsidR="002469C2" w:rsidRPr="00DF0ED0">
        <w:rPr>
          <w:color w:val="000000" w:themeColor="text1"/>
          <w:lang w:val="en-US"/>
        </w:rPr>
        <w:t>“</w:t>
      </w:r>
      <w:r w:rsidR="00157BC2" w:rsidRPr="00DF0ED0">
        <w:rPr>
          <w:color w:val="000000" w:themeColor="text1"/>
          <w:lang w:val="en-US"/>
        </w:rPr>
        <w:t>The Law Applicable to Product Liability: The Present State of the Law in Europe and Current Proposals for Reform</w:t>
      </w:r>
      <w:r w:rsidR="002469C2" w:rsidRPr="00DF0ED0">
        <w:rPr>
          <w:color w:val="000000" w:themeColor="text1"/>
          <w:lang w:val="en-US"/>
        </w:rPr>
        <w:t>”,</w:t>
      </w:r>
      <w:r w:rsidR="00157BC2" w:rsidRPr="00DF0ED0">
        <w:rPr>
          <w:color w:val="000000" w:themeColor="text1"/>
          <w:lang w:val="en-US"/>
        </w:rPr>
        <w:t xml:space="preserve"> 54 International and Comparative Law Quarterly </w:t>
      </w:r>
      <w:r w:rsidR="002469C2" w:rsidRPr="00DF0ED0">
        <w:rPr>
          <w:color w:val="000000" w:themeColor="text1"/>
          <w:lang w:val="en-US"/>
        </w:rPr>
        <w:t>(2005)</w:t>
      </w:r>
      <w:r w:rsidR="002469C2" w:rsidRPr="00DF0ED0">
        <w:rPr>
          <w:color w:val="000000" w:themeColor="text1"/>
          <w:lang w:val="en-US"/>
        </w:rPr>
        <w:t xml:space="preserve">, </w:t>
      </w:r>
      <w:r w:rsidR="00157BC2" w:rsidRPr="00DF0ED0">
        <w:rPr>
          <w:color w:val="000000" w:themeColor="text1"/>
          <w:lang w:val="en-US"/>
        </w:rPr>
        <w:t>475, 476</w:t>
      </w:r>
      <w:r w:rsidR="008305A0" w:rsidRPr="00DF0ED0">
        <w:rPr>
          <w:color w:val="000000" w:themeColor="text1"/>
          <w:lang w:val="en-US"/>
        </w:rPr>
        <w:t>.</w:t>
      </w:r>
    </w:p>
  </w:footnote>
  <w:footnote w:id="35">
    <w:p w14:paraId="00D5C815" w14:textId="057DC735" w:rsidR="00483454" w:rsidRPr="00DF0ED0" w:rsidRDefault="0048345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57BC2" w:rsidRPr="00DF0ED0">
        <w:rPr>
          <w:color w:val="000000" w:themeColor="text1"/>
        </w:rPr>
        <w:t xml:space="preserve">Ibid. </w:t>
      </w:r>
    </w:p>
  </w:footnote>
  <w:footnote w:id="36">
    <w:p w14:paraId="73EC9A98" w14:textId="77777777"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The list of signatories to the Geneva Convention on Road Traffic, 1949 is may be accessed at</w:t>
      </w:r>
      <w:r w:rsidRPr="00DF0ED0">
        <w:rPr>
          <w:color w:val="000000" w:themeColor="text1"/>
        </w:rPr>
        <w:t xml:space="preserve"> </w:t>
      </w:r>
      <w:hyperlink r:id="rId15" w:history="1">
        <w:r w:rsidRPr="00DF0ED0">
          <w:rPr>
            <w:rStyle w:val="Hyperlink"/>
            <w:color w:val="000000" w:themeColor="text1"/>
            <w:u w:val="none"/>
            <w:lang w:val="en-US"/>
          </w:rPr>
          <w:t>https://treaties.un.org/doc/Treaties/1952/03/19520326%2003-36%20PM/Ch_XI_B_1_2_3.pdf</w:t>
        </w:r>
      </w:hyperlink>
      <w:r w:rsidRPr="00DF0ED0">
        <w:rPr>
          <w:color w:val="000000" w:themeColor="text1"/>
          <w:lang w:val="en-US"/>
        </w:rPr>
        <w:t>. India ratified the Geneva Convention on 9 March 1962.</w:t>
      </w:r>
    </w:p>
  </w:footnote>
  <w:footnote w:id="37">
    <w:p w14:paraId="56F3A45D" w14:textId="77777777"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The list of signatories to the Vienna Convention on Road Traffic is available at: </w:t>
      </w:r>
      <w:hyperlink r:id="rId16" w:history="1">
        <w:r w:rsidRPr="00DF0ED0">
          <w:rPr>
            <w:rStyle w:val="Hyperlink"/>
            <w:color w:val="000000" w:themeColor="text1"/>
            <w:u w:val="none"/>
            <w:lang w:val="en-US"/>
          </w:rPr>
          <w:t>https://treaties.un.org/doc/Treaties/1977/05/19770524%2000-13%20AM/Ch_XI_B_19.pdf</w:t>
        </w:r>
      </w:hyperlink>
      <w:r w:rsidRPr="00DF0ED0">
        <w:rPr>
          <w:color w:val="000000" w:themeColor="text1"/>
          <w:lang w:val="en-US"/>
        </w:rPr>
        <w:t>.</w:t>
      </w:r>
    </w:p>
  </w:footnote>
  <w:footnote w:id="38">
    <w:p w14:paraId="5BF57A65" w14:textId="77777777"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Sec. 8.5 of the Geneva and the Vienna Conventions, respectively. </w:t>
      </w:r>
    </w:p>
  </w:footnote>
  <w:footnote w:id="39">
    <w:p w14:paraId="6F7B67C4" w14:textId="162404FE"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The list of signatories to the Vienna Convention on Road Traffic is available at: </w:t>
      </w:r>
      <w:r w:rsidRPr="002B2FBC">
        <w:rPr>
          <w:color w:val="000000" w:themeColor="text1"/>
          <w:lang w:val="en-US"/>
        </w:rPr>
        <w:t>https://treaties.un.org/doc/Treaties/1977</w:t>
      </w:r>
      <w:r w:rsidRPr="002B2FBC">
        <w:rPr>
          <w:color w:val="000000" w:themeColor="text1"/>
          <w:lang w:val="en-US"/>
        </w:rPr>
        <w:t>/</w:t>
      </w:r>
      <w:r w:rsidRPr="002B2FBC">
        <w:rPr>
          <w:color w:val="000000" w:themeColor="text1"/>
          <w:lang w:val="en-US"/>
        </w:rPr>
        <w:t>05/19770524%2000-13%20AM/Ch_XI_B_19.pdf.</w:t>
      </w:r>
    </w:p>
  </w:footnote>
  <w:footnote w:id="40">
    <w:p w14:paraId="335D8D29" w14:textId="213F49AB" w:rsidR="00A06E40" w:rsidRPr="00DF0ED0" w:rsidRDefault="00A06E40"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in this respect, Sec. 34bis </w:t>
      </w:r>
      <w:r w:rsidR="00F0620D" w:rsidRPr="00DF0ED0">
        <w:rPr>
          <w:color w:val="000000" w:themeColor="text1"/>
        </w:rPr>
        <w:t>of the</w:t>
      </w:r>
      <w:r w:rsidRPr="00DF0ED0">
        <w:rPr>
          <w:color w:val="000000" w:themeColor="text1"/>
        </w:rPr>
        <w:t xml:space="preserve"> WP.1 of the United Nations Economic and Social Council, Amendment Proposal to the 1968 Convention on Road Traffic, Submitted by Belgium, Finland, France, Luxembourg, Portugal, Russian Federation, Sweden and Switzerland</w:t>
      </w:r>
      <w:r w:rsidR="00F0620D" w:rsidRPr="00DF0ED0">
        <w:rPr>
          <w:color w:val="000000" w:themeColor="text1"/>
        </w:rPr>
        <w:t xml:space="preserve">, dated </w:t>
      </w:r>
      <w:r w:rsidRPr="00DF0ED0">
        <w:rPr>
          <w:color w:val="000000" w:themeColor="text1"/>
        </w:rPr>
        <w:t>19 Dec. 2019.</w:t>
      </w:r>
    </w:p>
  </w:footnote>
  <w:footnote w:id="41">
    <w:p w14:paraId="2B14D44B" w14:textId="1D1CC2F4"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A06E40" w:rsidRPr="00DF0ED0">
        <w:rPr>
          <w:color w:val="000000" w:themeColor="text1"/>
        </w:rPr>
        <w:t>Ibid.</w:t>
      </w:r>
    </w:p>
  </w:footnote>
  <w:footnote w:id="42">
    <w:p w14:paraId="04CEDB75" w14:textId="3B0FB8D2" w:rsidR="00AB17BD" w:rsidRPr="00DF0ED0" w:rsidRDefault="00AB17BD"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3BC1" w:rsidRPr="00DF0ED0">
        <w:rPr>
          <w:color w:val="000000" w:themeColor="text1"/>
        </w:rPr>
        <w:t>Art. 8.1 of the Geneva Convention.</w:t>
      </w:r>
    </w:p>
  </w:footnote>
  <w:footnote w:id="43">
    <w:p w14:paraId="0EC5BDA5" w14:textId="798B60A5" w:rsidR="00AB17BD" w:rsidRPr="00DF0ED0" w:rsidRDefault="00AB17BD"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57BC2" w:rsidRPr="00DF0ED0">
        <w:rPr>
          <w:color w:val="000000" w:themeColor="text1"/>
        </w:rPr>
        <w:t xml:space="preserve">See, United Nations Economic Commission for Europe Inland Transport Committee [UNECE ITC], </w:t>
      </w:r>
      <w:r w:rsidR="00157BC2" w:rsidRPr="00DF0ED0">
        <w:rPr>
          <w:color w:val="000000" w:themeColor="text1"/>
          <w:lang w:val="en-US"/>
        </w:rPr>
        <w:t xml:space="preserve">WP1, Informal document No.2, 14 March 2017, </w:t>
      </w:r>
      <w:r w:rsidR="00E2195E" w:rsidRPr="002B2FBC">
        <w:rPr>
          <w:color w:val="000000" w:themeColor="text1"/>
          <w:lang w:val="en-US"/>
        </w:rPr>
        <w:t>https://www.unece.org/fileadm</w:t>
      </w:r>
      <w:r w:rsidR="00E2195E" w:rsidRPr="002B2FBC">
        <w:rPr>
          <w:color w:val="000000" w:themeColor="text1"/>
          <w:lang w:val="en-US"/>
        </w:rPr>
        <w:t>i</w:t>
      </w:r>
      <w:r w:rsidR="00E2195E" w:rsidRPr="002B2FBC">
        <w:rPr>
          <w:color w:val="000000" w:themeColor="text1"/>
          <w:lang w:val="en-US"/>
        </w:rPr>
        <w:t>n/DAM/trans/doc/2017/wp1/ECETRANS-WP1-2017-Informal-2e.pdf</w:t>
      </w:r>
      <w:r w:rsidR="00157BC2" w:rsidRPr="00DF0ED0">
        <w:rPr>
          <w:color w:val="000000" w:themeColor="text1"/>
          <w:lang w:val="en-US"/>
        </w:rPr>
        <w:t>,</w:t>
      </w:r>
      <w:r w:rsidR="00E2195E" w:rsidRPr="00DF0ED0">
        <w:rPr>
          <w:color w:val="000000" w:themeColor="text1"/>
          <w:lang w:val="en-US"/>
        </w:rPr>
        <w:t xml:space="preserve"> [</w:t>
      </w:r>
      <w:r w:rsidR="00157BC2" w:rsidRPr="00DF0ED0">
        <w:rPr>
          <w:color w:val="000000" w:themeColor="text1"/>
          <w:lang w:val="en-US"/>
        </w:rPr>
        <w:t>21</w:t>
      </w:r>
      <w:r w:rsidR="00E2195E" w:rsidRPr="00DF0ED0">
        <w:rPr>
          <w:color w:val="000000" w:themeColor="text1"/>
          <w:lang w:val="en-US"/>
        </w:rPr>
        <w:t>]</w:t>
      </w:r>
      <w:r w:rsidR="00157BC2" w:rsidRPr="00DF0ED0">
        <w:rPr>
          <w:color w:val="000000" w:themeColor="text1"/>
          <w:lang w:val="en-US"/>
        </w:rPr>
        <w:t xml:space="preserve">; and UNECE ITC WP1, ECE/TRANS/WP.1/157, 2017, </w:t>
      </w:r>
      <w:hyperlink r:id="rId17" w:history="1">
        <w:r w:rsidR="00E2195E" w:rsidRPr="00DF0ED0">
          <w:rPr>
            <w:rStyle w:val="Hyperlink"/>
            <w:color w:val="000000" w:themeColor="text1"/>
            <w:u w:val="none"/>
            <w:lang w:val="en-US"/>
          </w:rPr>
          <w:t>https://www.unece.org/fileadmin/DAM/trans/doc/2017/wp1/ECE-TRANS-WP1-157e.pdf</w:t>
        </w:r>
      </w:hyperlink>
      <w:r w:rsidR="00157BC2" w:rsidRPr="00DF0ED0">
        <w:rPr>
          <w:color w:val="000000" w:themeColor="text1"/>
          <w:lang w:val="en-US"/>
        </w:rPr>
        <w:t>,</w:t>
      </w:r>
      <w:r w:rsidR="00E2195E" w:rsidRPr="00DF0ED0">
        <w:rPr>
          <w:color w:val="000000" w:themeColor="text1"/>
          <w:lang w:val="en-US"/>
        </w:rPr>
        <w:t xml:space="preserve"> [</w:t>
      </w:r>
      <w:r w:rsidR="00157BC2" w:rsidRPr="00DF0ED0">
        <w:rPr>
          <w:color w:val="000000" w:themeColor="text1"/>
          <w:lang w:val="en-US"/>
        </w:rPr>
        <w:t>18</w:t>
      </w:r>
      <w:r w:rsidR="00E2195E" w:rsidRPr="00DF0ED0">
        <w:rPr>
          <w:color w:val="000000" w:themeColor="text1"/>
          <w:lang w:val="en-US"/>
        </w:rPr>
        <w:t>]</w:t>
      </w:r>
      <w:r w:rsidR="00157BC2" w:rsidRPr="00DF0ED0">
        <w:rPr>
          <w:color w:val="000000" w:themeColor="text1"/>
          <w:lang w:val="en-US"/>
        </w:rPr>
        <w:t xml:space="preserve">. </w:t>
      </w:r>
    </w:p>
  </w:footnote>
  <w:footnote w:id="44">
    <w:p w14:paraId="04380F1A" w14:textId="15F1AB17" w:rsidR="00C82BE3" w:rsidRPr="00DF0ED0" w:rsidRDefault="00C82BE3"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 text accompanying notes</w:t>
      </w:r>
      <w:r w:rsidR="001C4AC4" w:rsidRPr="00DF0ED0">
        <w:rPr>
          <w:color w:val="000000" w:themeColor="text1"/>
          <w:lang w:val="en-US"/>
        </w:rPr>
        <w:t xml:space="preserve"> 3-8.</w:t>
      </w:r>
    </w:p>
  </w:footnote>
  <w:footnote w:id="45">
    <w:p w14:paraId="398F584E" w14:textId="799322A4" w:rsidR="00C82BE3" w:rsidRPr="00DF0ED0" w:rsidRDefault="00C82BE3" w:rsidP="004019B9">
      <w:pPr>
        <w:pStyle w:val="FootnoteText"/>
        <w:jc w:val="both"/>
        <w:rPr>
          <w:color w:val="000000" w:themeColor="text1"/>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in this respect, </w:t>
      </w:r>
      <w:r w:rsidR="00810AF3" w:rsidRPr="00DF0ED0">
        <w:rPr>
          <w:color w:val="000000" w:themeColor="text1"/>
        </w:rPr>
        <w:t xml:space="preserve">recent amendments to Germany’s </w:t>
      </w:r>
      <w:proofErr w:type="spellStart"/>
      <w:r w:rsidR="00810AF3" w:rsidRPr="00DF0ED0">
        <w:rPr>
          <w:color w:val="000000" w:themeColor="text1"/>
        </w:rPr>
        <w:t>StVG</w:t>
      </w:r>
      <w:proofErr w:type="spellEnd"/>
      <w:r w:rsidRPr="00DF0ED0">
        <w:rPr>
          <w:color w:val="000000" w:themeColor="text1"/>
        </w:rPr>
        <w:t xml:space="preserve">; </w:t>
      </w:r>
      <w:r w:rsidRPr="00DF0ED0">
        <w:rPr>
          <w:color w:val="000000" w:themeColor="text1"/>
          <w:lang w:val="en-US"/>
        </w:rPr>
        <w:t>the French Highway Code</w:t>
      </w:r>
      <w:r w:rsidR="00810AF3" w:rsidRPr="00DF0ED0">
        <w:rPr>
          <w:color w:val="000000" w:themeColor="text1"/>
          <w:lang w:val="en-US"/>
        </w:rPr>
        <w:t xml:space="preserve">; and Shanghai Regulations. </w:t>
      </w:r>
    </w:p>
  </w:footnote>
  <w:footnote w:id="46">
    <w:p w14:paraId="6AF8040F" w14:textId="7316E350" w:rsidR="00AB17BD" w:rsidRPr="00DF0ED0" w:rsidRDefault="00AB17BD" w:rsidP="004019B9">
      <w:pPr>
        <w:pStyle w:val="FootnoteText"/>
        <w:jc w:val="both"/>
        <w:rPr>
          <w:color w:val="000000" w:themeColor="text1"/>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Although the US permits the commercial operation of driverless cars in some states, it lacks a coherent legislative framework to ascertain the liability for injuries that may arise from their use. </w:t>
      </w:r>
    </w:p>
  </w:footnote>
  <w:footnote w:id="47">
    <w:p w14:paraId="4EFCB803" w14:textId="35C7331A" w:rsidR="00C82BE3" w:rsidRPr="00DF0ED0" w:rsidRDefault="00C82BE3" w:rsidP="004019B9">
      <w:pPr>
        <w:pStyle w:val="FootnoteText"/>
        <w:jc w:val="both"/>
        <w:rPr>
          <w:color w:val="000000" w:themeColor="text1"/>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w:t>
      </w:r>
      <w:r w:rsidR="000604BD" w:rsidRPr="00DF0ED0">
        <w:rPr>
          <w:color w:val="000000" w:themeColor="text1"/>
        </w:rPr>
        <w:t>Sec. 1(4) of Part 1</w:t>
      </w:r>
      <w:r w:rsidRPr="00DF0ED0">
        <w:rPr>
          <w:color w:val="000000" w:themeColor="text1"/>
        </w:rPr>
        <w:t xml:space="preserve"> of the AEVA</w:t>
      </w:r>
      <w:r w:rsidR="000604BD" w:rsidRPr="00DF0ED0">
        <w:rPr>
          <w:color w:val="000000" w:themeColor="text1"/>
        </w:rPr>
        <w:t xml:space="preserve">, which obligates the Secretary of State to maintain a list of automated vehicles that are ‘capable, in at least some situations or circumstances, of safely driving themselves and may lawfully be used…on public spaces in Great Britain’. However, no automated vehicle has been listed for such use, to date. For a detailed discussion, see, Marson, </w:t>
      </w:r>
      <w:r w:rsidR="00E2195E" w:rsidRPr="00DF0ED0">
        <w:rPr>
          <w:color w:val="000000" w:themeColor="text1"/>
        </w:rPr>
        <w:t>James</w:t>
      </w:r>
      <w:r w:rsidR="00E2195E" w:rsidRPr="00DF0ED0">
        <w:rPr>
          <w:color w:val="000000" w:themeColor="text1"/>
        </w:rPr>
        <w:t>,</w:t>
      </w:r>
      <w:r w:rsidR="00E2195E" w:rsidRPr="00DF0ED0">
        <w:rPr>
          <w:color w:val="000000" w:themeColor="text1"/>
        </w:rPr>
        <w:t xml:space="preserve"> </w:t>
      </w:r>
      <w:r w:rsidR="000604BD" w:rsidRPr="00DF0ED0">
        <w:rPr>
          <w:color w:val="000000" w:themeColor="text1"/>
        </w:rPr>
        <w:t>Ferris,</w:t>
      </w:r>
      <w:r w:rsidR="00E2195E" w:rsidRPr="00DF0ED0">
        <w:rPr>
          <w:color w:val="000000" w:themeColor="text1"/>
        </w:rPr>
        <w:t xml:space="preserve"> </w:t>
      </w:r>
      <w:r w:rsidR="00E2195E" w:rsidRPr="00DF0ED0">
        <w:rPr>
          <w:color w:val="000000" w:themeColor="text1"/>
        </w:rPr>
        <w:t>Katy</w:t>
      </w:r>
      <w:r w:rsidR="00E2195E" w:rsidRPr="00DF0ED0">
        <w:rPr>
          <w:color w:val="000000" w:themeColor="text1"/>
        </w:rPr>
        <w:t>,</w:t>
      </w:r>
      <w:r w:rsidR="000604BD" w:rsidRPr="00DF0ED0">
        <w:rPr>
          <w:color w:val="000000" w:themeColor="text1"/>
        </w:rPr>
        <w:t xml:space="preserve"> Dickinson, </w:t>
      </w:r>
      <w:r w:rsidR="00E2195E" w:rsidRPr="00DF0ED0">
        <w:rPr>
          <w:color w:val="000000" w:themeColor="text1"/>
        </w:rPr>
        <w:t>Jill</w:t>
      </w:r>
      <w:r w:rsidR="00E2195E" w:rsidRPr="00DF0ED0">
        <w:rPr>
          <w:color w:val="000000" w:themeColor="text1"/>
        </w:rPr>
        <w:t>,</w:t>
      </w:r>
      <w:r w:rsidR="00E2195E" w:rsidRPr="00DF0ED0">
        <w:rPr>
          <w:color w:val="000000" w:themeColor="text1"/>
        </w:rPr>
        <w:t xml:space="preserve"> </w:t>
      </w:r>
      <w:r w:rsidR="00E2195E" w:rsidRPr="00DF0ED0">
        <w:rPr>
          <w:color w:val="000000" w:themeColor="text1"/>
        </w:rPr>
        <w:t>“</w:t>
      </w:r>
      <w:r w:rsidR="000604BD" w:rsidRPr="00DF0ED0">
        <w:rPr>
          <w:color w:val="000000" w:themeColor="text1"/>
        </w:rPr>
        <w:t>The Automated and Electric Vehicles Act 2018 Part 1 and Beyond: A Critical Review</w:t>
      </w:r>
      <w:r w:rsidR="00E2195E" w:rsidRPr="00DF0ED0">
        <w:rPr>
          <w:color w:val="000000" w:themeColor="text1"/>
        </w:rPr>
        <w:t>” 41(3)</w:t>
      </w:r>
      <w:r w:rsidR="000604BD" w:rsidRPr="00DF0ED0">
        <w:rPr>
          <w:color w:val="000000" w:themeColor="text1"/>
        </w:rPr>
        <w:t> </w:t>
      </w:r>
      <w:r w:rsidR="000604BD" w:rsidRPr="00DF0ED0">
        <w:rPr>
          <w:i/>
          <w:iCs/>
          <w:color w:val="000000" w:themeColor="text1"/>
        </w:rPr>
        <w:t>Statute Law Review</w:t>
      </w:r>
      <w:r w:rsidR="000604BD" w:rsidRPr="00DF0ED0">
        <w:rPr>
          <w:color w:val="000000" w:themeColor="text1"/>
        </w:rPr>
        <w:t>, October 2020, 395–416</w:t>
      </w:r>
      <w:r w:rsidR="00E2195E" w:rsidRPr="00DF0ED0">
        <w:rPr>
          <w:color w:val="000000" w:themeColor="text1"/>
        </w:rPr>
        <w:t xml:space="preserve">. </w:t>
      </w:r>
    </w:p>
  </w:footnote>
  <w:footnote w:id="48">
    <w:p w14:paraId="666819C7" w14:textId="68227C1A" w:rsidR="00E757DD" w:rsidRPr="00DF0ED0" w:rsidRDefault="00E757DD"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Note that the AEVA in the UK holds the insurers of such vehicles directly liable for road accidents caused by their use.</w:t>
      </w:r>
    </w:p>
  </w:footnote>
  <w:footnote w:id="49">
    <w:p w14:paraId="41BCAD06" w14:textId="753B99A2" w:rsidR="00C12976" w:rsidRPr="00DF0ED0" w:rsidRDefault="00C12976"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423580" w:rsidRPr="00DF0ED0">
        <w:rPr>
          <w:color w:val="000000" w:themeColor="text1"/>
        </w:rPr>
        <w:t>See text accompanying notes</w:t>
      </w:r>
      <w:r w:rsidR="00FF0BF7" w:rsidRPr="00DF0ED0">
        <w:rPr>
          <w:color w:val="000000" w:themeColor="text1"/>
        </w:rPr>
        <w:t xml:space="preserve"> 52-69.</w:t>
      </w:r>
    </w:p>
  </w:footnote>
  <w:footnote w:id="50">
    <w:p w14:paraId="1B6BD7FD" w14:textId="14BCB474" w:rsidR="001A522A" w:rsidRPr="00DF0ED0" w:rsidRDefault="001A522A"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But see, text accompanying notes </w:t>
      </w:r>
      <w:r w:rsidR="00B2323E" w:rsidRPr="00DF0ED0">
        <w:rPr>
          <w:color w:val="000000" w:themeColor="text1"/>
          <w:lang w:val="en-US"/>
        </w:rPr>
        <w:t>62-63</w:t>
      </w:r>
      <w:r w:rsidRPr="00DF0ED0">
        <w:rPr>
          <w:color w:val="000000" w:themeColor="text1"/>
          <w:lang w:val="en-US"/>
        </w:rPr>
        <w:t xml:space="preserve"> referring to the local regulations in </w:t>
      </w:r>
      <w:r w:rsidRPr="00DF0ED0">
        <w:rPr>
          <w:color w:val="000000" w:themeColor="text1"/>
        </w:rPr>
        <w:t xml:space="preserve">the </w:t>
      </w:r>
      <w:r w:rsidR="00AA24CD" w:rsidRPr="00DF0ED0">
        <w:rPr>
          <w:color w:val="000000" w:themeColor="text1"/>
        </w:rPr>
        <w:t>Shanghai</w:t>
      </w:r>
      <w:r w:rsidRPr="00DF0ED0">
        <w:rPr>
          <w:color w:val="000000" w:themeColor="text1"/>
        </w:rPr>
        <w:t xml:space="preserve"> that hold manufacturers directly liable </w:t>
      </w:r>
      <w:r w:rsidR="00AA24CD" w:rsidRPr="00DF0ED0">
        <w:rPr>
          <w:color w:val="000000" w:themeColor="text1"/>
        </w:rPr>
        <w:t>for product liability</w:t>
      </w:r>
      <w:r w:rsidRPr="00DF0ED0">
        <w:rPr>
          <w:color w:val="000000" w:themeColor="text1"/>
        </w:rPr>
        <w:t>.</w:t>
      </w:r>
    </w:p>
  </w:footnote>
  <w:footnote w:id="51">
    <w:p w14:paraId="26830F87" w14:textId="2A44B331" w:rsidR="00423580" w:rsidRPr="00DF0ED0" w:rsidRDefault="00423580"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w:t>
      </w:r>
      <w:r w:rsidR="00B2323E" w:rsidRPr="00DF0ED0">
        <w:rPr>
          <w:color w:val="000000" w:themeColor="text1"/>
          <w:lang w:val="en-US"/>
        </w:rPr>
        <w:t>Section 2.1.3.1.b below.</w:t>
      </w:r>
    </w:p>
  </w:footnote>
  <w:footnote w:id="52">
    <w:p w14:paraId="43FD7A42" w14:textId="7FD04C8F" w:rsidR="00AA24CD" w:rsidRPr="00DF0ED0" w:rsidRDefault="00AA24CD"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Secs. 1(f) and (g) of the </w:t>
      </w:r>
      <w:proofErr w:type="spellStart"/>
      <w:r w:rsidRPr="00DF0ED0">
        <w:rPr>
          <w:color w:val="000000" w:themeColor="text1"/>
        </w:rPr>
        <w:t>StVG</w:t>
      </w:r>
      <w:proofErr w:type="spellEnd"/>
      <w:r w:rsidRPr="00DF0ED0">
        <w:rPr>
          <w:color w:val="000000" w:themeColor="text1"/>
        </w:rPr>
        <w:t>.</w:t>
      </w:r>
    </w:p>
  </w:footnote>
  <w:footnote w:id="53">
    <w:p w14:paraId="6AC6E6A7" w14:textId="761B0291" w:rsidR="00AA24CD" w:rsidRPr="00DF0ED0" w:rsidRDefault="00AA24CD" w:rsidP="004019B9">
      <w:pPr>
        <w:jc w:val="both"/>
        <w:rPr>
          <w:color w:val="000000" w:themeColor="text1"/>
          <w:sz w:val="20"/>
          <w:szCs w:val="20"/>
        </w:rPr>
      </w:pPr>
      <w:r w:rsidRPr="00DF0ED0">
        <w:rPr>
          <w:rStyle w:val="FootnoteReference"/>
          <w:color w:val="000000" w:themeColor="text1"/>
          <w:sz w:val="20"/>
          <w:szCs w:val="20"/>
        </w:rPr>
        <w:footnoteRef/>
      </w:r>
      <w:r w:rsidRPr="00DF0ED0">
        <w:rPr>
          <w:color w:val="000000" w:themeColor="text1"/>
          <w:sz w:val="20"/>
          <w:szCs w:val="20"/>
        </w:rPr>
        <w:t xml:space="preserve"> </w:t>
      </w:r>
      <w:r w:rsidRPr="00DF0ED0">
        <w:rPr>
          <w:color w:val="000000" w:themeColor="text1"/>
          <w:sz w:val="20"/>
          <w:szCs w:val="20"/>
        </w:rPr>
        <w:t xml:space="preserve">See for instance, </w:t>
      </w:r>
      <w:r w:rsidRPr="00DF0ED0">
        <w:rPr>
          <w:color w:val="000000" w:themeColor="text1"/>
          <w:sz w:val="20"/>
          <w:szCs w:val="20"/>
          <w:shd w:val="clear" w:color="auto" w:fill="FFFFFF"/>
        </w:rPr>
        <w:t>Measures of Shanghai Municipality on the administration of testing and application of intelligent networked vehicles</w:t>
      </w:r>
      <w:r w:rsidRPr="00DF0ED0">
        <w:rPr>
          <w:color w:val="000000" w:themeColor="text1"/>
          <w:sz w:val="20"/>
          <w:szCs w:val="20"/>
          <w:shd w:val="clear" w:color="auto" w:fill="FFFFFF"/>
        </w:rPr>
        <w:t xml:space="preserve">; and </w:t>
      </w:r>
      <w:r w:rsidRPr="00DF0ED0">
        <w:rPr>
          <w:color w:val="000000" w:themeColor="text1"/>
          <w:sz w:val="20"/>
          <w:szCs w:val="20"/>
          <w:shd w:val="clear" w:color="auto" w:fill="FFFFFF"/>
        </w:rPr>
        <w:t>Management specification for road test and demonstration application of intelligent networked vehicles of the Ministry of industry and information technology (for Trial Implementation)</w:t>
      </w:r>
      <w:r w:rsidRPr="00DF0ED0">
        <w:rPr>
          <w:color w:val="000000" w:themeColor="text1"/>
          <w:sz w:val="20"/>
          <w:szCs w:val="20"/>
        </w:rPr>
        <w:t>. I</w:t>
      </w:r>
      <w:r w:rsidRPr="00DF0ED0">
        <w:rPr>
          <w:color w:val="000000" w:themeColor="text1"/>
          <w:sz w:val="20"/>
          <w:szCs w:val="20"/>
        </w:rPr>
        <w:t>n the absence of a coherent national regulation on the subject</w:t>
      </w:r>
      <w:r w:rsidRPr="00DF0ED0">
        <w:rPr>
          <w:color w:val="000000" w:themeColor="text1"/>
          <w:sz w:val="20"/>
          <w:szCs w:val="20"/>
          <w:shd w:val="clear" w:color="auto" w:fill="FFFFFF"/>
        </w:rPr>
        <w:t xml:space="preserve"> in China, the Regulation that came into effect on 15 Feb 2021 prescribe the local standards for the operation of autonomous vehicles in </w:t>
      </w:r>
      <w:r w:rsidRPr="00DF0ED0">
        <w:rPr>
          <w:color w:val="000000" w:themeColor="text1"/>
          <w:sz w:val="20"/>
          <w:szCs w:val="20"/>
        </w:rPr>
        <w:t xml:space="preserve">Shanghai. </w:t>
      </w:r>
    </w:p>
  </w:footnote>
  <w:footnote w:id="54">
    <w:p w14:paraId="0449DC13" w14:textId="16BEBC71" w:rsidR="00C12976" w:rsidRPr="00DF0ED0" w:rsidRDefault="00C12976"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Sec. 1(f)(3)</w:t>
      </w:r>
      <w:r w:rsidR="002562AA" w:rsidRPr="00DF0ED0">
        <w:rPr>
          <w:color w:val="000000" w:themeColor="text1"/>
          <w:lang w:val="en-US"/>
        </w:rPr>
        <w:t xml:space="preserve"> of the </w:t>
      </w:r>
      <w:proofErr w:type="spellStart"/>
      <w:r w:rsidR="002562AA" w:rsidRPr="00DF0ED0">
        <w:rPr>
          <w:color w:val="000000" w:themeColor="text1"/>
          <w:lang w:val="en-US"/>
        </w:rPr>
        <w:t>StVG</w:t>
      </w:r>
      <w:proofErr w:type="spellEnd"/>
      <w:r w:rsidR="002562AA" w:rsidRPr="00DF0ED0">
        <w:rPr>
          <w:color w:val="000000" w:themeColor="text1"/>
          <w:lang w:val="en-US"/>
        </w:rPr>
        <w:t>.</w:t>
      </w:r>
    </w:p>
  </w:footnote>
  <w:footnote w:id="55">
    <w:p w14:paraId="12C943A5" w14:textId="77777777" w:rsidR="00C12976" w:rsidRPr="00DF0ED0" w:rsidRDefault="00C12976"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Sec. 1(f)(3)(1) and (2) of the </w:t>
      </w:r>
      <w:proofErr w:type="spellStart"/>
      <w:r w:rsidRPr="00DF0ED0">
        <w:rPr>
          <w:color w:val="000000" w:themeColor="text1"/>
          <w:lang w:val="en-US"/>
        </w:rPr>
        <w:t>StVG</w:t>
      </w:r>
      <w:proofErr w:type="spellEnd"/>
      <w:r w:rsidRPr="00DF0ED0">
        <w:rPr>
          <w:color w:val="000000" w:themeColor="text1"/>
          <w:lang w:val="en-US"/>
        </w:rPr>
        <w:t>.</w:t>
      </w:r>
    </w:p>
  </w:footnote>
  <w:footnote w:id="56">
    <w:p w14:paraId="587BADB7" w14:textId="1BB8269F" w:rsidR="001A522A" w:rsidRPr="00DF0ED0" w:rsidRDefault="001A522A"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w:t>
      </w:r>
      <w:r w:rsidRPr="00DF0ED0">
        <w:rPr>
          <w:color w:val="000000" w:themeColor="text1"/>
          <w:lang w:val="en-US"/>
        </w:rPr>
        <w:t>Arts</w:t>
      </w:r>
      <w:r w:rsidR="009942C4" w:rsidRPr="00DF0ED0">
        <w:rPr>
          <w:color w:val="000000" w:themeColor="text1"/>
          <w:lang w:val="en-US"/>
        </w:rPr>
        <w:t>.</w:t>
      </w:r>
      <w:r w:rsidRPr="00DF0ED0">
        <w:rPr>
          <w:color w:val="000000" w:themeColor="text1"/>
          <w:lang w:val="en-US"/>
        </w:rPr>
        <w:t xml:space="preserve"> 4 and 7 of the Council Directive of 25 July 1985 on the Approximation of the Laws, Regulations and Administrative Provisions of the Member States Concerning Liability for Defective Products (85/374/EEC) [hereinafter </w:t>
      </w:r>
      <w:r w:rsidR="0089757F" w:rsidRPr="00DF0ED0">
        <w:rPr>
          <w:color w:val="000000" w:themeColor="text1"/>
          <w:lang w:val="en-US"/>
        </w:rPr>
        <w:t>PLD</w:t>
      </w:r>
      <w:r w:rsidRPr="00DF0ED0">
        <w:rPr>
          <w:color w:val="000000" w:themeColor="text1"/>
          <w:lang w:val="en-US"/>
        </w:rPr>
        <w:t>] that is applicable in the EU Members States including Germany</w:t>
      </w:r>
      <w:r w:rsidRPr="00DF0ED0">
        <w:rPr>
          <w:color w:val="000000" w:themeColor="text1"/>
          <w:lang w:val="en-US"/>
        </w:rPr>
        <w:t>.</w:t>
      </w:r>
    </w:p>
  </w:footnote>
  <w:footnote w:id="57">
    <w:p w14:paraId="19750FE0" w14:textId="7DEF54A4" w:rsidR="00C12976" w:rsidRPr="00DF0ED0" w:rsidRDefault="00C12976"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Sec. (1)(f)(1)</w:t>
      </w:r>
      <w:r w:rsidR="00254799" w:rsidRPr="00DF0ED0">
        <w:rPr>
          <w:color w:val="000000" w:themeColor="text1"/>
          <w:lang w:val="en-US"/>
        </w:rPr>
        <w:t xml:space="preserve"> of the </w:t>
      </w:r>
      <w:proofErr w:type="spellStart"/>
      <w:r w:rsidR="00254799" w:rsidRPr="00DF0ED0">
        <w:rPr>
          <w:color w:val="000000" w:themeColor="text1"/>
          <w:lang w:val="en-US"/>
        </w:rPr>
        <w:t>StVG</w:t>
      </w:r>
      <w:proofErr w:type="spellEnd"/>
      <w:r w:rsidR="00254799" w:rsidRPr="00DF0ED0">
        <w:rPr>
          <w:color w:val="000000" w:themeColor="text1"/>
          <w:lang w:val="en-US"/>
        </w:rPr>
        <w:t>.</w:t>
      </w:r>
    </w:p>
  </w:footnote>
  <w:footnote w:id="58">
    <w:p w14:paraId="48CAB460" w14:textId="1C9C2405" w:rsidR="00C12976" w:rsidRPr="00DF0ED0" w:rsidRDefault="00C12976"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254799" w:rsidRPr="00DF0ED0">
        <w:rPr>
          <w:color w:val="000000" w:themeColor="text1"/>
        </w:rPr>
        <w:t xml:space="preserve">Ibid, </w:t>
      </w:r>
      <w:r w:rsidRPr="00DF0ED0">
        <w:rPr>
          <w:color w:val="000000" w:themeColor="text1"/>
        </w:rPr>
        <w:t>Sec. 1(g).</w:t>
      </w:r>
    </w:p>
  </w:footnote>
  <w:footnote w:id="59">
    <w:p w14:paraId="6CC8773D" w14:textId="4705CBB4" w:rsidR="00C12976" w:rsidRPr="00DF0ED0" w:rsidRDefault="00C12976"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254799" w:rsidRPr="00DF0ED0">
        <w:rPr>
          <w:color w:val="000000" w:themeColor="text1"/>
        </w:rPr>
        <w:t xml:space="preserve">Ibid, </w:t>
      </w:r>
      <w:r w:rsidRPr="00DF0ED0">
        <w:rPr>
          <w:color w:val="000000" w:themeColor="text1"/>
        </w:rPr>
        <w:t>Sec. 1(f)(1) and (2).</w:t>
      </w:r>
    </w:p>
  </w:footnote>
  <w:footnote w:id="60">
    <w:p w14:paraId="2303DD5D" w14:textId="77777777" w:rsidR="00AA24CD" w:rsidRPr="00DF0ED0" w:rsidRDefault="00AA24CD"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2B2FBC">
        <w:rPr>
          <w:color w:val="000000" w:themeColor="text1"/>
        </w:rPr>
        <w:t>The Draft Proposed Amendments of the Road Traffic Safety Law issued by the Ministry of Public Security of China [MPS] stipulates general rules concerning the operation of autonomous vehicles, but leaves the determination of liability for injuries to the respective State Councils.</w:t>
      </w:r>
    </w:p>
  </w:footnote>
  <w:footnote w:id="61">
    <w:p w14:paraId="690CDFA9" w14:textId="77777777" w:rsidR="00AA24CD" w:rsidRPr="00DF0ED0" w:rsidRDefault="00AA24CD"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Arts. 42-50 of the Shanghai Regulations. </w:t>
      </w:r>
    </w:p>
  </w:footnote>
  <w:footnote w:id="62">
    <w:p w14:paraId="1310FB17" w14:textId="3A714FD5" w:rsidR="00AA24CD" w:rsidRPr="00DF0ED0" w:rsidRDefault="00AA24CD"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3855D1" w:rsidRPr="00DF0ED0">
        <w:rPr>
          <w:color w:val="000000" w:themeColor="text1"/>
        </w:rPr>
        <w:t>Ibid, Art. 49.</w:t>
      </w:r>
    </w:p>
  </w:footnote>
  <w:footnote w:id="63">
    <w:p w14:paraId="77C9381F" w14:textId="019A5448" w:rsidR="001A522A" w:rsidRPr="00DF0ED0" w:rsidRDefault="001A522A"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30259A" w:rsidRPr="00DF0ED0">
        <w:rPr>
          <w:color w:val="000000" w:themeColor="text1"/>
          <w:lang w:val="en-US"/>
        </w:rPr>
        <w:t xml:space="preserve">Secs 1-27 of the </w:t>
      </w:r>
      <w:r w:rsidR="0030259A" w:rsidRPr="00DF0ED0">
        <w:rPr>
          <w:color w:val="000000" w:themeColor="text1"/>
        </w:rPr>
        <w:t xml:space="preserve">Law No. 85-677 of July 5, 1985 Aimed at Improving the Situation of Victims of Traffic Accidents and Accelerating Compensation Procedures (popularly referred to as </w:t>
      </w:r>
      <w:proofErr w:type="spellStart"/>
      <w:r w:rsidR="0030259A" w:rsidRPr="00DF0ED0">
        <w:rPr>
          <w:color w:val="000000" w:themeColor="text1"/>
        </w:rPr>
        <w:t>Badinter</w:t>
      </w:r>
      <w:proofErr w:type="spellEnd"/>
      <w:r w:rsidR="0030259A" w:rsidRPr="00DF0ED0">
        <w:rPr>
          <w:color w:val="000000" w:themeColor="text1"/>
        </w:rPr>
        <w:t xml:space="preserve"> Law)</w:t>
      </w:r>
      <w:r w:rsidR="0030259A" w:rsidRPr="00DF0ED0">
        <w:rPr>
          <w:color w:val="000000" w:themeColor="text1"/>
          <w:lang w:val="en-US"/>
        </w:rPr>
        <w:t>.</w:t>
      </w:r>
    </w:p>
  </w:footnote>
  <w:footnote w:id="64">
    <w:p w14:paraId="6E9EAC5D" w14:textId="178B3E3D" w:rsidR="001A522A" w:rsidRPr="00DF0ED0" w:rsidRDefault="001A522A" w:rsidP="004019B9">
      <w:pPr>
        <w:pStyle w:val="FootnoteText"/>
        <w:jc w:val="both"/>
        <w:rPr>
          <w:color w:val="000000" w:themeColor="text1"/>
        </w:rPr>
      </w:pPr>
      <w:r w:rsidRPr="00DF0ED0">
        <w:rPr>
          <w:rStyle w:val="FootnoteReference"/>
          <w:color w:val="000000" w:themeColor="text1"/>
        </w:rPr>
        <w:footnoteRef/>
      </w:r>
      <w:r w:rsidRPr="00DF0ED0">
        <w:rPr>
          <w:color w:val="000000" w:themeColor="text1"/>
        </w:rPr>
        <w:t xml:space="preserve"> </w:t>
      </w:r>
      <w:r w:rsidR="00254799" w:rsidRPr="00DF0ED0">
        <w:rPr>
          <w:color w:val="000000" w:themeColor="text1"/>
          <w:lang w:val="en-US"/>
        </w:rPr>
        <w:t xml:space="preserve">Ibid. </w:t>
      </w:r>
    </w:p>
  </w:footnote>
  <w:footnote w:id="65">
    <w:p w14:paraId="2D76F40F" w14:textId="36C2477F" w:rsidR="00C8630C" w:rsidRPr="00DF0ED0" w:rsidRDefault="00C8630C"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5B2C56" w:rsidRPr="00DF0ED0">
        <w:rPr>
          <w:color w:val="000000" w:themeColor="text1"/>
        </w:rPr>
        <w:t>Ibid, Secs. 4 and 5.</w:t>
      </w:r>
    </w:p>
  </w:footnote>
  <w:footnote w:id="66">
    <w:p w14:paraId="5B78C629" w14:textId="1291B8FB" w:rsidR="00D161D7" w:rsidRPr="00DF0ED0" w:rsidRDefault="00D161D7"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 Arts</w:t>
      </w:r>
      <w:r w:rsidR="00515964" w:rsidRPr="00DF0ED0">
        <w:rPr>
          <w:color w:val="000000" w:themeColor="text1"/>
          <w:lang w:val="en-US"/>
        </w:rPr>
        <w:t>.</w:t>
      </w:r>
      <w:r w:rsidRPr="00DF0ED0">
        <w:rPr>
          <w:color w:val="000000" w:themeColor="text1"/>
          <w:lang w:val="en-US"/>
        </w:rPr>
        <w:t xml:space="preserve"> 24-43 of the Global Data Protection Regulation [GDPR], available at https://gdpr-info.eu/art-32-gdpr/</w:t>
      </w:r>
    </w:p>
  </w:footnote>
  <w:footnote w:id="67">
    <w:p w14:paraId="668B7006" w14:textId="5F171EE5" w:rsidR="009515E4" w:rsidRPr="00DF0ED0" w:rsidRDefault="009515E4" w:rsidP="004019B9">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D161D7" w:rsidRPr="00DF0ED0">
        <w:rPr>
          <w:color w:val="000000" w:themeColor="text1"/>
          <w:lang w:val="en-US"/>
        </w:rPr>
        <w:t>Ibid.</w:t>
      </w:r>
    </w:p>
  </w:footnote>
  <w:footnote w:id="68">
    <w:p w14:paraId="39D864C2" w14:textId="5332B884" w:rsidR="000B24F6" w:rsidRPr="00DF0ED0" w:rsidRDefault="000B24F6" w:rsidP="004019B9">
      <w:pPr>
        <w:pStyle w:val="FootnoteText"/>
        <w:jc w:val="both"/>
        <w:rPr>
          <w:color w:val="000000" w:themeColor="text1"/>
        </w:rPr>
      </w:pPr>
      <w:r w:rsidRPr="00DF0ED0">
        <w:rPr>
          <w:rStyle w:val="FootnoteReference"/>
          <w:color w:val="000000" w:themeColor="text1"/>
        </w:rPr>
        <w:footnoteRef/>
      </w:r>
      <w:r w:rsidRPr="00DF0ED0">
        <w:rPr>
          <w:color w:val="000000" w:themeColor="text1"/>
        </w:rPr>
        <w:t xml:space="preserve"> </w:t>
      </w:r>
      <w:r w:rsidR="00515964" w:rsidRPr="00DF0ED0">
        <w:rPr>
          <w:color w:val="000000" w:themeColor="text1"/>
          <w:lang w:val="en-US"/>
        </w:rPr>
        <w:t>(n</w:t>
      </w:r>
      <w:r w:rsidR="00B2323E" w:rsidRPr="00DF0ED0">
        <w:rPr>
          <w:color w:val="000000" w:themeColor="text1"/>
          <w:lang w:val="en-US"/>
        </w:rPr>
        <w:t xml:space="preserve"> 17</w:t>
      </w:r>
      <w:r w:rsidR="00515964" w:rsidRPr="00DF0ED0">
        <w:rPr>
          <w:color w:val="000000" w:themeColor="text1"/>
          <w:lang w:val="en-US"/>
        </w:rPr>
        <w:t>)</w:t>
      </w:r>
      <w:r w:rsidR="00723332" w:rsidRPr="00DF0ED0">
        <w:rPr>
          <w:color w:val="000000" w:themeColor="text1"/>
          <w:lang w:val="en-US"/>
        </w:rPr>
        <w:t>.</w:t>
      </w:r>
    </w:p>
  </w:footnote>
  <w:footnote w:id="69">
    <w:p w14:paraId="3D9E3095" w14:textId="713CD6D5" w:rsidR="000B24F6" w:rsidRPr="00DF0ED0" w:rsidRDefault="000B24F6" w:rsidP="004019B9">
      <w:pPr>
        <w:pStyle w:val="FootnoteText"/>
        <w:jc w:val="both"/>
        <w:rPr>
          <w:color w:val="000000" w:themeColor="text1"/>
        </w:rPr>
      </w:pPr>
      <w:r w:rsidRPr="00DF0ED0">
        <w:rPr>
          <w:rStyle w:val="FootnoteReference"/>
          <w:color w:val="000000" w:themeColor="text1"/>
        </w:rPr>
        <w:footnoteRef/>
      </w:r>
      <w:r w:rsidRPr="00DF0ED0">
        <w:rPr>
          <w:color w:val="000000" w:themeColor="text1"/>
        </w:rPr>
        <w:t xml:space="preserve"> </w:t>
      </w:r>
      <w:r w:rsidR="00515964" w:rsidRPr="00DF0ED0">
        <w:rPr>
          <w:color w:val="000000" w:themeColor="text1"/>
          <w:lang w:val="en-US"/>
        </w:rPr>
        <w:t>Ibid,</w:t>
      </w:r>
      <w:r w:rsidRPr="00DF0ED0">
        <w:rPr>
          <w:color w:val="000000" w:themeColor="text1"/>
          <w:lang w:val="en-US"/>
        </w:rPr>
        <w:t xml:space="preserve"> Art 3151.1.13 which defines the expression ‘operator’ as </w:t>
      </w:r>
      <w:r w:rsidRPr="00DF0ED0">
        <w:rPr>
          <w:color w:val="000000" w:themeColor="text1"/>
        </w:rPr>
        <w:t>a</w:t>
      </w:r>
    </w:p>
    <w:p w14:paraId="78BA9041" w14:textId="77777777" w:rsidR="000B24F6" w:rsidRPr="00DF0ED0" w:rsidRDefault="000B24F6" w:rsidP="000B24F6">
      <w:pPr>
        <w:pStyle w:val="FootnoteText"/>
        <w:ind w:left="720"/>
        <w:rPr>
          <w:color w:val="000000" w:themeColor="text1"/>
        </w:rPr>
      </w:pPr>
      <w:r w:rsidRPr="00DF0ED0">
        <w:rPr>
          <w:color w:val="000000" w:themeColor="text1"/>
        </w:rPr>
        <w:t>natural or legal person ensuring directly or at the request of the organizer of the service the operation of the transport system as well as its management and maintenance. The operator can be the same entity as the service organizer or the designer of the technical system. In the event of multiple operators, the term operator designates the leader.</w:t>
      </w:r>
    </w:p>
  </w:footnote>
  <w:footnote w:id="70">
    <w:p w14:paraId="283CFC6F" w14:textId="1A5FB44C" w:rsidR="000B24F6" w:rsidRPr="00DF0ED0" w:rsidRDefault="000B24F6" w:rsidP="00723332">
      <w:pPr>
        <w:jc w:val="both"/>
        <w:rPr>
          <w:color w:val="000000" w:themeColor="text1"/>
          <w:sz w:val="20"/>
          <w:szCs w:val="20"/>
        </w:rPr>
      </w:pPr>
      <w:r w:rsidRPr="00DF0ED0">
        <w:rPr>
          <w:rStyle w:val="FootnoteReference"/>
          <w:color w:val="000000" w:themeColor="text1"/>
          <w:sz w:val="20"/>
          <w:szCs w:val="20"/>
        </w:rPr>
        <w:footnoteRef/>
      </w:r>
      <w:r w:rsidRPr="00DF0ED0">
        <w:rPr>
          <w:color w:val="000000" w:themeColor="text1"/>
          <w:sz w:val="20"/>
          <w:szCs w:val="20"/>
        </w:rPr>
        <w:t xml:space="preserve"> </w:t>
      </w:r>
      <w:r w:rsidR="00515964" w:rsidRPr="00DF0ED0">
        <w:rPr>
          <w:color w:val="000000" w:themeColor="text1"/>
          <w:sz w:val="20"/>
          <w:szCs w:val="20"/>
        </w:rPr>
        <w:t xml:space="preserve">Ibid, </w:t>
      </w:r>
      <w:r w:rsidRPr="00DF0ED0">
        <w:rPr>
          <w:color w:val="000000" w:themeColor="text1"/>
          <w:sz w:val="20"/>
          <w:szCs w:val="20"/>
          <w:shd w:val="clear" w:color="auto" w:fill="FFFFFF"/>
        </w:rPr>
        <w:t xml:space="preserve">Art. R. 3152-2.I. </w:t>
      </w:r>
    </w:p>
  </w:footnote>
  <w:footnote w:id="71">
    <w:p w14:paraId="46ACFAAD" w14:textId="03C4E638" w:rsidR="000B24F6" w:rsidRPr="00DF0ED0" w:rsidRDefault="000B24F6" w:rsidP="00723332">
      <w:pPr>
        <w:pStyle w:val="FootnoteText"/>
        <w:jc w:val="both"/>
        <w:rPr>
          <w:color w:val="000000" w:themeColor="text1"/>
        </w:rPr>
      </w:pPr>
      <w:r w:rsidRPr="00DF0ED0">
        <w:rPr>
          <w:rStyle w:val="FootnoteReference"/>
          <w:color w:val="000000" w:themeColor="text1"/>
        </w:rPr>
        <w:footnoteRef/>
      </w:r>
      <w:r w:rsidRPr="00DF0ED0">
        <w:rPr>
          <w:color w:val="000000" w:themeColor="text1"/>
        </w:rPr>
        <w:t xml:space="preserve"> </w:t>
      </w:r>
      <w:r w:rsidR="00515964" w:rsidRPr="00DF0ED0">
        <w:rPr>
          <w:color w:val="000000" w:themeColor="text1"/>
          <w:lang w:val="en-US"/>
        </w:rPr>
        <w:t>Ibid,</w:t>
      </w:r>
      <w:r w:rsidRPr="00DF0ED0">
        <w:rPr>
          <w:color w:val="000000" w:themeColor="text1"/>
          <w:lang w:val="en-US"/>
        </w:rPr>
        <w:t xml:space="preserve"> Art 3151.1.13 which </w:t>
      </w:r>
      <w:r w:rsidR="00515964" w:rsidRPr="00DF0ED0">
        <w:rPr>
          <w:color w:val="000000" w:themeColor="text1"/>
          <w:lang w:val="en-US"/>
        </w:rPr>
        <w:t>interprets a ‘</w:t>
      </w:r>
      <w:r w:rsidR="00515964" w:rsidRPr="00DF0ED0">
        <w:rPr>
          <w:color w:val="000000" w:themeColor="text1"/>
        </w:rPr>
        <w:t>designer of the technical system</w:t>
      </w:r>
      <w:r w:rsidR="00515964" w:rsidRPr="00DF0ED0">
        <w:rPr>
          <w:color w:val="000000" w:themeColor="text1"/>
        </w:rPr>
        <w:t>’ as</w:t>
      </w:r>
    </w:p>
    <w:p w14:paraId="75199C35" w14:textId="77777777" w:rsidR="000B24F6" w:rsidRPr="00DF0ED0" w:rsidRDefault="000B24F6" w:rsidP="00723332">
      <w:pPr>
        <w:ind w:left="720"/>
        <w:jc w:val="both"/>
        <w:rPr>
          <w:color w:val="000000" w:themeColor="text1"/>
          <w:sz w:val="20"/>
          <w:szCs w:val="20"/>
        </w:rPr>
      </w:pPr>
      <w:r w:rsidRPr="00DF0ED0">
        <w:rPr>
          <w:color w:val="000000" w:themeColor="text1"/>
          <w:sz w:val="20"/>
          <w:szCs w:val="20"/>
          <w:shd w:val="clear" w:color="auto" w:fill="FFFFFF"/>
        </w:rPr>
        <w:t>natural or legal person responsible for the overall design of the technical system and defining in particular its functionalities and their conditions of use</w:t>
      </w:r>
    </w:p>
  </w:footnote>
  <w:footnote w:id="72">
    <w:p w14:paraId="728A8387" w14:textId="1E600055" w:rsidR="000B24F6" w:rsidRPr="00DF0ED0" w:rsidRDefault="000B24F6"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691558" w:rsidRPr="00DF0ED0">
        <w:rPr>
          <w:color w:val="000000" w:themeColor="text1"/>
        </w:rPr>
        <w:t xml:space="preserve">Ibid, </w:t>
      </w:r>
      <w:r w:rsidRPr="00DF0ED0">
        <w:rPr>
          <w:color w:val="000000" w:themeColor="text1"/>
          <w:shd w:val="clear" w:color="auto" w:fill="FFFFFF"/>
        </w:rPr>
        <w:t>Arts. R. 3152-2.III and IV and Arts. R. 3152-6. I.</w:t>
      </w:r>
    </w:p>
  </w:footnote>
  <w:footnote w:id="73">
    <w:p w14:paraId="46E4CFFF" w14:textId="2709CAE9" w:rsidR="000B24F6" w:rsidRPr="00DF0ED0" w:rsidRDefault="000B24F6" w:rsidP="00723332">
      <w:pPr>
        <w:pStyle w:val="FootnoteText"/>
        <w:jc w:val="both"/>
        <w:rPr>
          <w:color w:val="000000" w:themeColor="text1"/>
        </w:rPr>
      </w:pPr>
      <w:r w:rsidRPr="00DF0ED0">
        <w:rPr>
          <w:rStyle w:val="FootnoteReference"/>
          <w:color w:val="000000" w:themeColor="text1"/>
        </w:rPr>
        <w:footnoteRef/>
      </w:r>
      <w:r w:rsidRPr="00DF0ED0">
        <w:rPr>
          <w:color w:val="000000" w:themeColor="text1"/>
        </w:rPr>
        <w:t xml:space="preserve"> </w:t>
      </w:r>
      <w:r w:rsidR="00691558" w:rsidRPr="00DF0ED0">
        <w:rPr>
          <w:color w:val="000000" w:themeColor="text1"/>
        </w:rPr>
        <w:t>Ibid</w:t>
      </w:r>
      <w:r w:rsidRPr="00DF0ED0">
        <w:rPr>
          <w:color w:val="000000" w:themeColor="text1"/>
        </w:rPr>
        <w:t>, Art 3152-2.II.3.</w:t>
      </w:r>
    </w:p>
  </w:footnote>
  <w:footnote w:id="74">
    <w:p w14:paraId="604BDA4A" w14:textId="77777777" w:rsidR="00833087" w:rsidRPr="00DF0ED0" w:rsidRDefault="00833087"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Sec. 2(1) and (2) read along with Sec. 4 of the AEVA.</w:t>
      </w:r>
    </w:p>
  </w:footnote>
  <w:footnote w:id="75">
    <w:p w14:paraId="4C1CFF62" w14:textId="60CA8547" w:rsidR="00833087" w:rsidRPr="00DF0ED0" w:rsidRDefault="00833087"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Ibid. Sec. 2(3)(a).</w:t>
      </w:r>
    </w:p>
  </w:footnote>
  <w:footnote w:id="76">
    <w:p w14:paraId="19BE1959" w14:textId="50FF9576"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691558" w:rsidRPr="00DF0ED0">
        <w:rPr>
          <w:color w:val="000000" w:themeColor="text1"/>
          <w:lang w:val="en-US"/>
        </w:rPr>
        <w:t>Ibid</w:t>
      </w:r>
      <w:r w:rsidRPr="00DF0ED0">
        <w:rPr>
          <w:color w:val="000000" w:themeColor="text1"/>
          <w:lang w:val="en-US"/>
        </w:rPr>
        <w:t>, Sec. 4.</w:t>
      </w:r>
    </w:p>
  </w:footnote>
  <w:footnote w:id="77">
    <w:p w14:paraId="623AEC2F" w14:textId="2D74169B" w:rsidR="001C53EF" w:rsidRPr="00DF0ED0" w:rsidRDefault="001C53EF"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Ibid. Sec. 2(2).</w:t>
      </w:r>
    </w:p>
  </w:footnote>
  <w:footnote w:id="78">
    <w:p w14:paraId="4CD45416" w14:textId="154FB36F" w:rsidR="000604BD" w:rsidRPr="00DF0ED0" w:rsidRDefault="000604BD"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Ibid. Sec. 3(1).</w:t>
      </w:r>
    </w:p>
  </w:footnote>
  <w:footnote w:id="79">
    <w:p w14:paraId="6F1D96CA" w14:textId="1F11A270" w:rsidR="000604BD" w:rsidRPr="00DF0ED0" w:rsidRDefault="000604BD"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sec. 3(2). </w:t>
      </w:r>
    </w:p>
  </w:footnote>
  <w:footnote w:id="80">
    <w:p w14:paraId="2A3A1F00" w14:textId="77777777"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Secs. 32, 34, 35(1), 36(1), 38(1) and 40 of the Data Protection Act, 2018 [DPA].</w:t>
      </w:r>
    </w:p>
  </w:footnote>
  <w:footnote w:id="81">
    <w:p w14:paraId="12C40C22" w14:textId="61D10AEC"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691558" w:rsidRPr="00DF0ED0">
        <w:rPr>
          <w:color w:val="000000" w:themeColor="text1"/>
        </w:rPr>
        <w:t xml:space="preserve">Ibid, </w:t>
      </w:r>
      <w:r w:rsidRPr="00DF0ED0">
        <w:rPr>
          <w:color w:val="000000" w:themeColor="text1"/>
          <w:lang w:val="en-US"/>
        </w:rPr>
        <w:t>Sec. 40.</w:t>
      </w:r>
    </w:p>
  </w:footnote>
  <w:footnote w:id="82">
    <w:p w14:paraId="7613B562" w14:textId="0E961B9B" w:rsidR="005410A5" w:rsidRPr="00DF0ED0" w:rsidRDefault="005410A5"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D504F0" w:rsidRPr="00DF0ED0">
        <w:rPr>
          <w:color w:val="000000" w:themeColor="text1"/>
        </w:rPr>
        <w:t>See, Arts</w:t>
      </w:r>
      <w:r w:rsidR="00B714E3" w:rsidRPr="00DF0ED0">
        <w:rPr>
          <w:color w:val="000000" w:themeColor="text1"/>
        </w:rPr>
        <w:t>.</w:t>
      </w:r>
      <w:r w:rsidR="00D504F0" w:rsidRPr="00DF0ED0">
        <w:rPr>
          <w:color w:val="000000" w:themeColor="text1"/>
        </w:rPr>
        <w:t xml:space="preserve"> 4 and 7 of the </w:t>
      </w:r>
      <w:r w:rsidR="0089757F" w:rsidRPr="00DF0ED0">
        <w:rPr>
          <w:color w:val="000000" w:themeColor="text1"/>
        </w:rPr>
        <w:t>PLD</w:t>
      </w:r>
      <w:r w:rsidR="00D504F0" w:rsidRPr="00DF0ED0">
        <w:rPr>
          <w:color w:val="000000" w:themeColor="text1"/>
        </w:rPr>
        <w:t xml:space="preserve"> as applicable in the EU Members States of Germany and France; </w:t>
      </w:r>
      <w:r w:rsidR="00D504F0" w:rsidRPr="00DF0ED0">
        <w:rPr>
          <w:color w:val="000000" w:themeColor="text1"/>
          <w:lang w:val="en-US"/>
        </w:rPr>
        <w:t xml:space="preserve">Sec. 4(d) and (e) of the Consumer Protection Act, 1987 </w:t>
      </w:r>
      <w:r w:rsidR="00B714E3" w:rsidRPr="00DF0ED0">
        <w:rPr>
          <w:color w:val="000000" w:themeColor="text1"/>
          <w:lang w:val="en-US"/>
        </w:rPr>
        <w:t xml:space="preserve">[CPA], </w:t>
      </w:r>
      <w:r w:rsidR="00D504F0" w:rsidRPr="00DF0ED0">
        <w:rPr>
          <w:color w:val="000000" w:themeColor="text1"/>
          <w:lang w:val="en-US"/>
        </w:rPr>
        <w:t xml:space="preserve">which is based on the </w:t>
      </w:r>
      <w:r w:rsidR="00B714E3" w:rsidRPr="00DF0ED0">
        <w:rPr>
          <w:color w:val="000000" w:themeColor="text1"/>
          <w:lang w:val="en-US"/>
        </w:rPr>
        <w:t>PLD</w:t>
      </w:r>
      <w:r w:rsidR="00D504F0" w:rsidRPr="00DF0ED0">
        <w:rPr>
          <w:color w:val="000000" w:themeColor="text1"/>
          <w:lang w:val="en-US"/>
        </w:rPr>
        <w:t xml:space="preserve"> as a result of the UK’s pa</w:t>
      </w:r>
      <w:r w:rsidR="00B714E3" w:rsidRPr="00DF0ED0">
        <w:rPr>
          <w:color w:val="000000" w:themeColor="text1"/>
          <w:lang w:val="en-US"/>
        </w:rPr>
        <w:t>s</w:t>
      </w:r>
      <w:r w:rsidR="00D504F0" w:rsidRPr="00DF0ED0">
        <w:rPr>
          <w:color w:val="000000" w:themeColor="text1"/>
          <w:lang w:val="en-US"/>
        </w:rPr>
        <w:t>t membership to the EU; and Sec</w:t>
      </w:r>
      <w:r w:rsidR="00E94AA5" w:rsidRPr="00DF0ED0">
        <w:rPr>
          <w:color w:val="000000" w:themeColor="text1"/>
          <w:lang w:val="en-US"/>
        </w:rPr>
        <w:t>s</w:t>
      </w:r>
      <w:r w:rsidR="00D504F0" w:rsidRPr="00DF0ED0">
        <w:rPr>
          <w:color w:val="000000" w:themeColor="text1"/>
          <w:lang w:val="en-US"/>
        </w:rPr>
        <w:t xml:space="preserve">. </w:t>
      </w:r>
      <w:r w:rsidR="00E94AA5" w:rsidRPr="00DF0ED0">
        <w:rPr>
          <w:color w:val="000000" w:themeColor="text1"/>
          <w:lang w:val="en-US"/>
        </w:rPr>
        <w:t>41- 44</w:t>
      </w:r>
      <w:r w:rsidR="00D504F0" w:rsidRPr="00DF0ED0">
        <w:rPr>
          <w:color w:val="000000" w:themeColor="text1"/>
          <w:lang w:val="en-US"/>
        </w:rPr>
        <w:t xml:space="preserve"> </w:t>
      </w:r>
      <w:r w:rsidR="00E94AA5" w:rsidRPr="00DF0ED0">
        <w:rPr>
          <w:color w:val="000000" w:themeColor="text1"/>
          <w:lang w:val="en-US"/>
        </w:rPr>
        <w:t xml:space="preserve">and 46 </w:t>
      </w:r>
      <w:r w:rsidR="00D504F0" w:rsidRPr="00DF0ED0">
        <w:rPr>
          <w:color w:val="000000" w:themeColor="text1"/>
          <w:lang w:val="en-US"/>
        </w:rPr>
        <w:t xml:space="preserve">of the Product Quality Law of the People’s Republic of China, </w:t>
      </w:r>
      <w:r w:rsidR="00E94AA5" w:rsidRPr="00DF0ED0">
        <w:rPr>
          <w:color w:val="000000" w:themeColor="text1"/>
        </w:rPr>
        <w:t>adopted</w:t>
      </w:r>
      <w:r w:rsidR="00D504F0" w:rsidRPr="00DF0ED0">
        <w:rPr>
          <w:color w:val="000000" w:themeColor="text1"/>
        </w:rPr>
        <w:t xml:space="preserve"> at the 30th Meeting of the Standing Committee of the Seventh National People's Congress on February 22, 1993, promulgated by Order No. 71 of the President of the People's Republic of China on February 22, 1993, and effective as of September 1, 1993</w:t>
      </w:r>
      <w:r w:rsidR="00E94AA5" w:rsidRPr="00DF0ED0">
        <w:rPr>
          <w:color w:val="000000" w:themeColor="text1"/>
        </w:rPr>
        <w:t xml:space="preserve"> [PQL]</w:t>
      </w:r>
      <w:r w:rsidR="00D504F0" w:rsidRPr="00DF0ED0">
        <w:rPr>
          <w:color w:val="000000" w:themeColor="text1"/>
          <w:lang w:val="en-US"/>
        </w:rPr>
        <w:t xml:space="preserve">. </w:t>
      </w:r>
      <w:r w:rsidR="00D504F0" w:rsidRPr="00DF0ED0">
        <w:rPr>
          <w:iCs/>
          <w:color w:val="000000" w:themeColor="text1"/>
          <w:lang w:val="en-US"/>
        </w:rPr>
        <w:t>But see</w:t>
      </w:r>
      <w:r w:rsidR="00D504F0" w:rsidRPr="00DF0ED0">
        <w:rPr>
          <w:iCs/>
          <w:color w:val="000000" w:themeColor="text1"/>
          <w:lang w:val="en-US"/>
        </w:rPr>
        <w:t xml:space="preserve">, the </w:t>
      </w:r>
      <w:r w:rsidR="00D504F0" w:rsidRPr="00DF0ED0">
        <w:rPr>
          <w:iCs/>
          <w:color w:val="000000" w:themeColor="text1"/>
          <w:lang w:val="nl-BE"/>
        </w:rPr>
        <w:t>Regulations on the Administration of Recall of Defective Automotive Products by the State Council of 22 October 2012, which exists in the form of a special legislation in China does not make a similar provision.</w:t>
      </w:r>
    </w:p>
  </w:footnote>
  <w:footnote w:id="83">
    <w:p w14:paraId="63FE73CC" w14:textId="24B6D0C7" w:rsidR="005410A5" w:rsidRPr="00DF0ED0" w:rsidRDefault="005410A5"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D504F0" w:rsidRPr="00DF0ED0">
        <w:rPr>
          <w:color w:val="000000" w:themeColor="text1"/>
        </w:rPr>
        <w:t xml:space="preserve">Ibid. </w:t>
      </w:r>
    </w:p>
  </w:footnote>
  <w:footnote w:id="84">
    <w:p w14:paraId="66D39F5C" w14:textId="7C763F21" w:rsidR="005410A5" w:rsidRPr="00DF0ED0" w:rsidRDefault="005410A5"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89757F" w:rsidRPr="00DF0ED0">
        <w:rPr>
          <w:color w:val="000000" w:themeColor="text1"/>
        </w:rPr>
        <w:t xml:space="preserve">Ibid. </w:t>
      </w:r>
    </w:p>
  </w:footnote>
  <w:footnote w:id="85">
    <w:p w14:paraId="02E34D45" w14:textId="550D54CC" w:rsidR="0089757F" w:rsidRPr="00DF0ED0" w:rsidRDefault="0089757F"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Art. 3(1) of the PLD</w:t>
      </w:r>
      <w:r w:rsidR="00E94AA5" w:rsidRPr="00DF0ED0">
        <w:rPr>
          <w:color w:val="000000" w:themeColor="text1"/>
          <w:lang w:val="en-US"/>
        </w:rPr>
        <w:t xml:space="preserve">; and Sec. 2 of the PQL. </w:t>
      </w:r>
      <w:r w:rsidRPr="00DF0ED0">
        <w:rPr>
          <w:color w:val="000000" w:themeColor="text1"/>
          <w:lang w:val="en-US"/>
        </w:rPr>
        <w:t xml:space="preserve">But see, </w:t>
      </w:r>
      <w:proofErr w:type="spellStart"/>
      <w:r w:rsidRPr="00DF0ED0">
        <w:rPr>
          <w:color w:val="000000" w:themeColor="text1"/>
          <w:lang w:val="en-US"/>
        </w:rPr>
        <w:t>Chatzipanagiotis</w:t>
      </w:r>
      <w:proofErr w:type="spellEnd"/>
      <w:r w:rsidRPr="00DF0ED0">
        <w:rPr>
          <w:color w:val="000000" w:themeColor="text1"/>
          <w:lang w:val="en-US"/>
        </w:rPr>
        <w:t xml:space="preserve">, </w:t>
      </w:r>
      <w:r w:rsidR="00B714E3" w:rsidRPr="00DF0ED0">
        <w:rPr>
          <w:color w:val="000000" w:themeColor="text1"/>
          <w:lang w:val="en-US"/>
        </w:rPr>
        <w:t>Michael</w:t>
      </w:r>
      <w:r w:rsidR="00B714E3" w:rsidRPr="00DF0ED0">
        <w:rPr>
          <w:color w:val="000000" w:themeColor="text1"/>
          <w:lang w:val="en-US"/>
        </w:rPr>
        <w:t>,</w:t>
      </w:r>
      <w:r w:rsidR="00B714E3" w:rsidRPr="00DF0ED0">
        <w:rPr>
          <w:color w:val="000000" w:themeColor="text1"/>
          <w:lang w:val="en-US"/>
        </w:rPr>
        <w:t xml:space="preserve"> </w:t>
      </w:r>
      <w:r w:rsidR="00B714E3" w:rsidRPr="00DF0ED0">
        <w:rPr>
          <w:color w:val="000000" w:themeColor="text1"/>
          <w:lang w:val="en-US"/>
        </w:rPr>
        <w:t>“</w:t>
      </w:r>
      <w:r w:rsidRPr="00DF0ED0">
        <w:rPr>
          <w:color w:val="000000" w:themeColor="text1"/>
          <w:lang w:val="en-US"/>
        </w:rPr>
        <w:t>Product Liability Directive and Software Updates of Automated Vehicles</w:t>
      </w:r>
      <w:r w:rsidR="00B714E3" w:rsidRPr="00DF0ED0">
        <w:rPr>
          <w:color w:val="000000" w:themeColor="text1"/>
          <w:lang w:val="en-US"/>
        </w:rPr>
        <w:t>”,</w:t>
      </w:r>
      <w:r w:rsidRPr="00DF0ED0">
        <w:rPr>
          <w:color w:val="000000" w:themeColor="text1"/>
          <w:lang w:val="en-US"/>
        </w:rPr>
        <w:t xml:space="preserve"> Proceedings of SETN 2020, 11</w:t>
      </w:r>
      <w:r w:rsidRPr="00DF0ED0">
        <w:rPr>
          <w:color w:val="000000" w:themeColor="text1"/>
          <w:vertAlign w:val="superscript"/>
          <w:lang w:val="en-US"/>
        </w:rPr>
        <w:t>th</w:t>
      </w:r>
      <w:r w:rsidRPr="00DF0ED0">
        <w:rPr>
          <w:color w:val="000000" w:themeColor="text1"/>
          <w:lang w:val="en-US"/>
        </w:rPr>
        <w:t xml:space="preserve"> Hellenic Conference on Artificial Intelligence,</w:t>
      </w:r>
      <w:r w:rsidR="00B714E3" w:rsidRPr="00DF0ED0">
        <w:rPr>
          <w:color w:val="000000" w:themeColor="text1"/>
          <w:lang w:val="en-US"/>
        </w:rPr>
        <w:t xml:space="preserve"> </w:t>
      </w:r>
      <w:r w:rsidR="00B714E3" w:rsidRPr="00DF0ED0">
        <w:rPr>
          <w:color w:val="000000" w:themeColor="text1"/>
          <w:lang w:val="en-US"/>
        </w:rPr>
        <w:t>(2020)</w:t>
      </w:r>
      <w:r w:rsidR="00B714E3" w:rsidRPr="00DF0ED0">
        <w:rPr>
          <w:color w:val="000000" w:themeColor="text1"/>
          <w:lang w:val="en-US"/>
        </w:rPr>
        <w:t>. The article</w:t>
      </w:r>
      <w:r w:rsidR="00B714E3" w:rsidRPr="00DF0ED0">
        <w:rPr>
          <w:color w:val="000000" w:themeColor="text1"/>
          <w:lang w:val="en-US"/>
        </w:rPr>
        <w:t xml:space="preserve"> </w:t>
      </w:r>
      <w:r w:rsidRPr="00DF0ED0">
        <w:rPr>
          <w:color w:val="000000" w:themeColor="text1"/>
          <w:lang w:val="en-US"/>
        </w:rPr>
        <w:t xml:space="preserve">examines the extent to which manufacturers may be liable for product liability in case of harm caused by defects in the software updates to the technical systems of such vehicles. </w:t>
      </w:r>
    </w:p>
  </w:footnote>
  <w:footnote w:id="86">
    <w:p w14:paraId="6F654737" w14:textId="09D8EE20" w:rsidR="009515E4" w:rsidRPr="00DF0ED0" w:rsidRDefault="009515E4" w:rsidP="00723332">
      <w:pPr>
        <w:pStyle w:val="FootnoteText"/>
        <w:jc w:val="both"/>
        <w:rPr>
          <w:color w:val="000000" w:themeColor="text1"/>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w:t>
      </w:r>
      <w:r w:rsidRPr="00DF0ED0">
        <w:rPr>
          <w:color w:val="000000" w:themeColor="text1"/>
          <w:lang w:val="en-US"/>
        </w:rPr>
        <w:t>Arts</w:t>
      </w:r>
      <w:r w:rsidR="00B714E3" w:rsidRPr="00DF0ED0">
        <w:rPr>
          <w:color w:val="000000" w:themeColor="text1"/>
          <w:lang w:val="en-US"/>
        </w:rPr>
        <w:t>.</w:t>
      </w:r>
      <w:r w:rsidRPr="00DF0ED0">
        <w:rPr>
          <w:color w:val="000000" w:themeColor="text1"/>
          <w:lang w:val="en-US"/>
        </w:rPr>
        <w:t xml:space="preserve"> 4 and 7 </w:t>
      </w:r>
      <w:r w:rsidR="00C8630C" w:rsidRPr="00DF0ED0">
        <w:rPr>
          <w:color w:val="000000" w:themeColor="text1"/>
          <w:lang w:val="en-US"/>
        </w:rPr>
        <w:t xml:space="preserve">of the </w:t>
      </w:r>
      <w:r w:rsidR="00B714E3" w:rsidRPr="00DF0ED0">
        <w:rPr>
          <w:color w:val="000000" w:themeColor="text1"/>
          <w:lang w:val="en-US"/>
        </w:rPr>
        <w:t>PLD</w:t>
      </w:r>
      <w:r w:rsidRPr="00DF0ED0">
        <w:rPr>
          <w:color w:val="000000" w:themeColor="text1"/>
          <w:lang w:val="en-US"/>
        </w:rPr>
        <w:t xml:space="preserve">; Sec. 4(d) and (e) of </w:t>
      </w:r>
      <w:r w:rsidR="00B714E3" w:rsidRPr="00DF0ED0">
        <w:rPr>
          <w:color w:val="000000" w:themeColor="text1"/>
          <w:lang w:val="en-US"/>
        </w:rPr>
        <w:t>UK’s</w:t>
      </w:r>
      <w:r w:rsidRPr="00DF0ED0">
        <w:rPr>
          <w:color w:val="000000" w:themeColor="text1"/>
          <w:lang w:val="en-US"/>
        </w:rPr>
        <w:t xml:space="preserve"> </w:t>
      </w:r>
      <w:r w:rsidR="00B714E3" w:rsidRPr="00DF0ED0">
        <w:rPr>
          <w:color w:val="000000" w:themeColor="text1"/>
          <w:lang w:val="en-US"/>
        </w:rPr>
        <w:t>CPA</w:t>
      </w:r>
      <w:r w:rsidRPr="00DF0ED0">
        <w:rPr>
          <w:color w:val="000000" w:themeColor="text1"/>
          <w:lang w:val="en-US"/>
        </w:rPr>
        <w:t xml:space="preserve">; and Sec. 29A of the </w:t>
      </w:r>
      <w:r w:rsidR="00B714E3" w:rsidRPr="00DF0ED0">
        <w:rPr>
          <w:color w:val="000000" w:themeColor="text1"/>
          <w:lang w:val="en-US"/>
        </w:rPr>
        <w:t>PQL</w:t>
      </w:r>
      <w:r w:rsidRPr="00DF0ED0">
        <w:rPr>
          <w:iCs/>
          <w:color w:val="000000" w:themeColor="text1"/>
          <w:lang w:val="nl-BE"/>
        </w:rPr>
        <w:t xml:space="preserve">. </w:t>
      </w:r>
    </w:p>
  </w:footnote>
  <w:footnote w:id="87">
    <w:p w14:paraId="7DC9AB83" w14:textId="5A9A4035"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Recital 40</w:t>
      </w:r>
      <w:r w:rsidR="00B714E3" w:rsidRPr="00DF0ED0">
        <w:rPr>
          <w:color w:val="000000" w:themeColor="text1"/>
          <w:lang w:val="en-US"/>
        </w:rPr>
        <w:t xml:space="preserve"> of the </w:t>
      </w:r>
      <w:r w:rsidR="00B714E3" w:rsidRPr="00DF0ED0">
        <w:rPr>
          <w:color w:val="000000" w:themeColor="text1"/>
          <w:lang w:val="en-US"/>
        </w:rPr>
        <w:t>Regulation (EC) No. 864/2007 of the European Parliament and of the Council of 11 July 2007 on the Law Applicable to Non-Contractual Obligations, [2007] OJ L/199/40 [Rome II Regulation]</w:t>
      </w:r>
      <w:r w:rsidRPr="00DF0ED0">
        <w:rPr>
          <w:color w:val="000000" w:themeColor="text1"/>
          <w:lang w:val="en-US"/>
        </w:rPr>
        <w:t>.</w:t>
      </w:r>
    </w:p>
  </w:footnote>
  <w:footnote w:id="88">
    <w:p w14:paraId="147F2010" w14:textId="3778B373"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B714E3" w:rsidRPr="00DF0ED0">
        <w:rPr>
          <w:color w:val="000000" w:themeColor="text1"/>
        </w:rPr>
        <w:t xml:space="preserve">Ibid, </w:t>
      </w:r>
      <w:r w:rsidRPr="00DF0ED0">
        <w:rPr>
          <w:color w:val="000000" w:themeColor="text1"/>
          <w:lang w:val="en-US"/>
        </w:rPr>
        <w:t>Art. 14</w:t>
      </w:r>
      <w:r w:rsidR="00B714E3" w:rsidRPr="00DF0ED0">
        <w:rPr>
          <w:color w:val="000000" w:themeColor="text1"/>
          <w:lang w:val="en-US"/>
        </w:rPr>
        <w:t>. Also see,</w:t>
      </w:r>
      <w:r w:rsidRPr="00DF0ED0">
        <w:rPr>
          <w:color w:val="000000" w:themeColor="text1"/>
          <w:lang w:val="en-US"/>
        </w:rPr>
        <w:t xml:space="preserve"> </w:t>
      </w:r>
      <w:r w:rsidRPr="00DF0ED0">
        <w:rPr>
          <w:color w:val="000000" w:themeColor="text1"/>
        </w:rPr>
        <w:t xml:space="preserve">Graziano, </w:t>
      </w:r>
      <w:r w:rsidR="00B714E3" w:rsidRPr="00DF0ED0">
        <w:rPr>
          <w:color w:val="000000" w:themeColor="text1"/>
        </w:rPr>
        <w:t xml:space="preserve">Thomas </w:t>
      </w:r>
      <w:proofErr w:type="spellStart"/>
      <w:r w:rsidR="00B714E3" w:rsidRPr="00DF0ED0">
        <w:rPr>
          <w:color w:val="000000" w:themeColor="text1"/>
        </w:rPr>
        <w:t>K</w:t>
      </w:r>
      <w:r w:rsidR="00B714E3" w:rsidRPr="00DF0ED0">
        <w:rPr>
          <w:color w:val="000000" w:themeColor="text1"/>
        </w:rPr>
        <w:t>adner</w:t>
      </w:r>
      <w:proofErr w:type="spellEnd"/>
      <w:r w:rsidR="00B714E3" w:rsidRPr="00DF0ED0">
        <w:rPr>
          <w:color w:val="000000" w:themeColor="text1"/>
        </w:rPr>
        <w:t>,</w:t>
      </w:r>
      <w:r w:rsidR="00B714E3" w:rsidRPr="00DF0ED0">
        <w:rPr>
          <w:color w:val="000000" w:themeColor="text1"/>
        </w:rPr>
        <w:t xml:space="preserve"> </w:t>
      </w:r>
      <w:r w:rsidRPr="00DF0ED0">
        <w:rPr>
          <w:color w:val="000000" w:themeColor="text1"/>
        </w:rPr>
        <w:t xml:space="preserve">Freedom to Choose the Applicable Law in Tort – Articles 14 and 4(3) of the Rome II Regulation </w:t>
      </w:r>
      <w:r w:rsidRPr="00DF0ED0">
        <w:rPr>
          <w:color w:val="000000" w:themeColor="text1"/>
          <w:lang w:val="en-US"/>
        </w:rPr>
        <w:t xml:space="preserve">in John Ahern &amp; William </w:t>
      </w:r>
      <w:proofErr w:type="spellStart"/>
      <w:r w:rsidRPr="00DF0ED0">
        <w:rPr>
          <w:color w:val="000000" w:themeColor="text1"/>
          <w:lang w:val="en-US"/>
        </w:rPr>
        <w:t>Binchy</w:t>
      </w:r>
      <w:proofErr w:type="spellEnd"/>
      <w:r w:rsidRPr="00DF0ED0">
        <w:rPr>
          <w:color w:val="000000" w:themeColor="text1"/>
          <w:lang w:val="en-US"/>
        </w:rPr>
        <w:t xml:space="preserve"> (</w:t>
      </w:r>
      <w:proofErr w:type="spellStart"/>
      <w:r w:rsidRPr="00DF0ED0">
        <w:rPr>
          <w:color w:val="000000" w:themeColor="text1"/>
          <w:lang w:val="en-US"/>
        </w:rPr>
        <w:t>eds</w:t>
      </w:r>
      <w:proofErr w:type="spellEnd"/>
      <w:r w:rsidRPr="00DF0ED0">
        <w:rPr>
          <w:color w:val="000000" w:themeColor="text1"/>
          <w:lang w:val="en-US"/>
        </w:rPr>
        <w:t xml:space="preserve">), </w:t>
      </w:r>
      <w:r w:rsidRPr="00DF0ED0">
        <w:rPr>
          <w:i/>
          <w:color w:val="000000" w:themeColor="text1"/>
          <w:lang w:val="en-US"/>
        </w:rPr>
        <w:t>The Rome II Regulation on the Law Applicable to Non-Contractual Obligations: A New Litigation Regime</w:t>
      </w:r>
      <w:r w:rsidRPr="00DF0ED0">
        <w:rPr>
          <w:color w:val="000000" w:themeColor="text1"/>
          <w:lang w:val="en-US"/>
        </w:rPr>
        <w:t xml:space="preserve"> (</w:t>
      </w:r>
      <w:proofErr w:type="spellStart"/>
      <w:r w:rsidRPr="00DF0ED0">
        <w:rPr>
          <w:color w:val="000000" w:themeColor="text1"/>
          <w:lang w:val="en-US"/>
        </w:rPr>
        <w:t>Martinus</w:t>
      </w:r>
      <w:proofErr w:type="spellEnd"/>
      <w:r w:rsidRPr="00DF0ED0">
        <w:rPr>
          <w:color w:val="000000" w:themeColor="text1"/>
          <w:lang w:val="en-US"/>
        </w:rPr>
        <w:t xml:space="preserve"> </w:t>
      </w:r>
      <w:proofErr w:type="spellStart"/>
      <w:r w:rsidRPr="00DF0ED0">
        <w:rPr>
          <w:color w:val="000000" w:themeColor="text1"/>
          <w:lang w:val="en-US"/>
        </w:rPr>
        <w:t>Nijhoff</w:t>
      </w:r>
      <w:proofErr w:type="spellEnd"/>
      <w:r w:rsidRPr="00DF0ED0">
        <w:rPr>
          <w:color w:val="000000" w:themeColor="text1"/>
          <w:lang w:val="en-US"/>
        </w:rPr>
        <w:t xml:space="preserve"> Publishers 2009) 118-120.</w:t>
      </w:r>
    </w:p>
  </w:footnote>
  <w:footnote w:id="89">
    <w:p w14:paraId="6BFDC2BA" w14:textId="0E564280"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B714E3" w:rsidRPr="00DF0ED0">
        <w:rPr>
          <w:color w:val="000000" w:themeColor="text1"/>
        </w:rPr>
        <w:t xml:space="preserve">Ibid, </w:t>
      </w:r>
      <w:r w:rsidRPr="00DF0ED0">
        <w:rPr>
          <w:color w:val="000000" w:themeColor="text1"/>
        </w:rPr>
        <w:t>Art. 4(2).</w:t>
      </w:r>
    </w:p>
  </w:footnote>
  <w:footnote w:id="90">
    <w:p w14:paraId="579A1D0D" w14:textId="52A2260D" w:rsidR="009B7E1E" w:rsidRPr="00DF0ED0" w:rsidRDefault="009B7E1E"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w:t>
      </w:r>
      <w:r w:rsidR="00EB2748" w:rsidRPr="00DF0ED0">
        <w:rPr>
          <w:color w:val="000000" w:themeColor="text1"/>
          <w:lang w:val="en-US"/>
        </w:rPr>
        <w:t>, Section 2.1.1 above.</w:t>
      </w:r>
    </w:p>
  </w:footnote>
  <w:footnote w:id="91">
    <w:p w14:paraId="01244D44" w14:textId="27E2C0FF"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Art. 5(1) of the Rome II Regulation.</w:t>
      </w:r>
    </w:p>
  </w:footnote>
  <w:footnote w:id="92">
    <w:p w14:paraId="68B4C832" w14:textId="50558D59"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B714E3" w:rsidRPr="00DF0ED0">
        <w:rPr>
          <w:color w:val="000000" w:themeColor="text1"/>
        </w:rPr>
        <w:t xml:space="preserve">Ibid, </w:t>
      </w:r>
      <w:r w:rsidRPr="00DF0ED0">
        <w:rPr>
          <w:color w:val="000000" w:themeColor="text1"/>
          <w:lang w:val="en-US"/>
        </w:rPr>
        <w:t>Art. 5(2).</w:t>
      </w:r>
    </w:p>
  </w:footnote>
  <w:footnote w:id="93">
    <w:p w14:paraId="7A712398" w14:textId="0808BEB0"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A01630" w:rsidRPr="00DF0ED0">
        <w:rPr>
          <w:color w:val="000000" w:themeColor="text1"/>
        </w:rPr>
        <w:t>Ibid</w:t>
      </w:r>
      <w:r w:rsidRPr="00DF0ED0">
        <w:rPr>
          <w:color w:val="000000" w:themeColor="text1"/>
          <w:lang w:val="en-US"/>
        </w:rPr>
        <w:t xml:space="preserve">. </w:t>
      </w:r>
    </w:p>
  </w:footnote>
  <w:footnote w:id="94">
    <w:p w14:paraId="616F6611" w14:textId="3A9738C2"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in this respect, Regulation (EU) 2018/858 of the European Parliament </w:t>
      </w:r>
      <w:r w:rsidR="003607DC" w:rsidRPr="00DF0ED0">
        <w:rPr>
          <w:color w:val="000000" w:themeColor="text1"/>
          <w:lang w:val="en-US"/>
        </w:rPr>
        <w:t>and of the Council</w:t>
      </w:r>
      <w:r w:rsidRPr="00DF0ED0">
        <w:rPr>
          <w:color w:val="000000" w:themeColor="text1"/>
          <w:lang w:val="en-US"/>
        </w:rPr>
        <w:t xml:space="preserve"> </w:t>
      </w:r>
      <w:r w:rsidR="003607DC" w:rsidRPr="00DF0ED0">
        <w:rPr>
          <w:color w:val="000000" w:themeColor="text1"/>
          <w:lang w:val="en-US"/>
        </w:rPr>
        <w:t>of 30 May</w:t>
      </w:r>
      <w:r w:rsidRPr="00DF0ED0">
        <w:rPr>
          <w:color w:val="000000" w:themeColor="text1"/>
          <w:lang w:val="en-US"/>
        </w:rPr>
        <w:t xml:space="preserve"> 2018</w:t>
      </w:r>
      <w:r w:rsidR="003607DC" w:rsidRPr="00DF0ED0">
        <w:rPr>
          <w:color w:val="000000" w:themeColor="text1"/>
          <w:lang w:val="en-US"/>
        </w:rPr>
        <w:t xml:space="preserve"> </w:t>
      </w:r>
      <w:r w:rsidRPr="00DF0ED0">
        <w:rPr>
          <w:color w:val="000000" w:themeColor="text1"/>
          <w:lang w:val="en-US"/>
        </w:rPr>
        <w:t>on the Approval and Market Surveillance of Motor Vehicles and their Trailers, and of Systems, Components and Separate Technical Units Intended for such Vehicles, Amending Regulations (EC) No 715/2007 and (EC) No 595/2009 and Repealing Directive 2007/46/EC.</w:t>
      </w:r>
    </w:p>
  </w:footnote>
  <w:footnote w:id="95">
    <w:p w14:paraId="4E2B7436" w14:textId="0F2052F2"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Secs. 4 and 5 of the </w:t>
      </w:r>
      <w:r w:rsidRPr="00DF0ED0">
        <w:rPr>
          <w:iCs/>
          <w:color w:val="000000" w:themeColor="text1"/>
          <w:lang w:val="en-US"/>
        </w:rPr>
        <w:t>Law Applicable to Contractual Obligations and Non- Contractual Obligations (Amendment etc.) (E.U. Exit) Regulations 2019</w:t>
      </w:r>
      <w:r w:rsidRPr="00DF0ED0">
        <w:rPr>
          <w:color w:val="000000" w:themeColor="text1"/>
          <w:lang w:val="en-US"/>
        </w:rPr>
        <w:t xml:space="preserve">. Also see, </w:t>
      </w:r>
      <w:r w:rsidRPr="00DF0ED0">
        <w:rPr>
          <w:color w:val="000000" w:themeColor="text1"/>
        </w:rPr>
        <w:t xml:space="preserve">Briggs, </w:t>
      </w:r>
      <w:r w:rsidR="00956BC3" w:rsidRPr="00DF0ED0">
        <w:rPr>
          <w:color w:val="000000" w:themeColor="text1"/>
        </w:rPr>
        <w:t>Adrian</w:t>
      </w:r>
      <w:r w:rsidR="00956BC3" w:rsidRPr="00DF0ED0">
        <w:rPr>
          <w:color w:val="000000" w:themeColor="text1"/>
        </w:rPr>
        <w:t>,</w:t>
      </w:r>
      <w:r w:rsidR="00956BC3" w:rsidRPr="00DF0ED0">
        <w:rPr>
          <w:color w:val="000000" w:themeColor="text1"/>
        </w:rPr>
        <w:t xml:space="preserve"> </w:t>
      </w:r>
      <w:r w:rsidRPr="00DF0ED0">
        <w:rPr>
          <w:i/>
          <w:iCs/>
          <w:color w:val="000000" w:themeColor="text1"/>
          <w:lang w:val="en-US"/>
        </w:rPr>
        <w:t>The Conflict of Laws</w:t>
      </w:r>
      <w:r w:rsidRPr="00DF0ED0">
        <w:rPr>
          <w:color w:val="000000" w:themeColor="text1"/>
          <w:lang w:val="en-US"/>
        </w:rPr>
        <w:t>. (4</w:t>
      </w:r>
      <w:r w:rsidRPr="00DF0ED0">
        <w:rPr>
          <w:color w:val="000000" w:themeColor="text1"/>
          <w:vertAlign w:val="superscript"/>
          <w:lang w:val="en-US"/>
        </w:rPr>
        <w:t>th</w:t>
      </w:r>
      <w:r w:rsidRPr="00DF0ED0">
        <w:rPr>
          <w:color w:val="000000" w:themeColor="text1"/>
          <w:lang w:val="en-US"/>
        </w:rPr>
        <w:t xml:space="preserve"> </w:t>
      </w:r>
      <w:proofErr w:type="spellStart"/>
      <w:r w:rsidRPr="00DF0ED0">
        <w:rPr>
          <w:color w:val="000000" w:themeColor="text1"/>
          <w:lang w:val="en-US"/>
        </w:rPr>
        <w:t>edn</w:t>
      </w:r>
      <w:proofErr w:type="spellEnd"/>
      <w:r w:rsidRPr="00DF0ED0">
        <w:rPr>
          <w:color w:val="000000" w:themeColor="text1"/>
          <w:lang w:val="en-US"/>
        </w:rPr>
        <w:t xml:space="preserve">, OUP, 2019) </w:t>
      </w:r>
      <w:r w:rsidRPr="00DF0ED0">
        <w:rPr>
          <w:color w:val="000000" w:themeColor="text1"/>
        </w:rPr>
        <w:t>244</w:t>
      </w:r>
      <w:r w:rsidR="00956BC3" w:rsidRPr="00DF0ED0">
        <w:rPr>
          <w:color w:val="000000" w:themeColor="text1"/>
        </w:rPr>
        <w:t>.</w:t>
      </w:r>
    </w:p>
  </w:footnote>
  <w:footnote w:id="96">
    <w:p w14:paraId="6EABEDF6" w14:textId="76EE9496"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Art. 44(3) of the </w:t>
      </w:r>
      <w:r w:rsidRPr="00DF0ED0">
        <w:rPr>
          <w:color w:val="000000" w:themeColor="text1"/>
        </w:rPr>
        <w:t>Law of the People’s Republic of China on the Laws Applicable to Foreign-Related Civil Relations, 2010 [Law on the Laws].</w:t>
      </w:r>
    </w:p>
  </w:footnote>
  <w:footnote w:id="97">
    <w:p w14:paraId="2D32B39A" w14:textId="58C25D31"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w:t>
      </w:r>
    </w:p>
  </w:footnote>
  <w:footnote w:id="98">
    <w:p w14:paraId="4DFD42F1" w14:textId="32D6CDEB" w:rsidR="00483454" w:rsidRPr="00DF0ED0" w:rsidRDefault="0048345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956BC3" w:rsidRPr="00DF0ED0">
        <w:rPr>
          <w:color w:val="000000" w:themeColor="text1"/>
        </w:rPr>
        <w:t xml:space="preserve">Ibid, </w:t>
      </w:r>
      <w:r w:rsidR="00190BA3" w:rsidRPr="00DF0ED0">
        <w:rPr>
          <w:color w:val="000000" w:themeColor="text1"/>
          <w:lang w:val="en-US"/>
        </w:rPr>
        <w:t>Art 45</w:t>
      </w:r>
      <w:r w:rsidR="00190BA3" w:rsidRPr="00DF0ED0">
        <w:rPr>
          <w:color w:val="000000" w:themeColor="text1"/>
          <w:lang w:val="en-US"/>
        </w:rPr>
        <w:t>.</w:t>
      </w:r>
    </w:p>
  </w:footnote>
  <w:footnote w:id="99">
    <w:p w14:paraId="3B77F47C" w14:textId="22281548"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90BA3" w:rsidRPr="00DF0ED0">
        <w:rPr>
          <w:color w:val="000000" w:themeColor="text1"/>
          <w:lang w:val="en-US"/>
        </w:rPr>
        <w:t xml:space="preserve">Ibid. </w:t>
      </w:r>
    </w:p>
  </w:footnote>
  <w:footnote w:id="100">
    <w:p w14:paraId="688350E1" w14:textId="7D346E6D"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lang w:val="en-US"/>
        </w:rPr>
        <w:t xml:space="preserve">See, Speech by Union Minister Nitin </w:t>
      </w:r>
      <w:proofErr w:type="spellStart"/>
      <w:r w:rsidRPr="00DF0ED0">
        <w:rPr>
          <w:color w:val="000000" w:themeColor="text1"/>
          <w:szCs w:val="16"/>
          <w:lang w:val="en-US"/>
        </w:rPr>
        <w:t>Gadkari</w:t>
      </w:r>
      <w:proofErr w:type="spellEnd"/>
      <w:r w:rsidRPr="00DF0ED0">
        <w:rPr>
          <w:color w:val="000000" w:themeColor="text1"/>
          <w:szCs w:val="16"/>
          <w:lang w:val="en-US"/>
        </w:rPr>
        <w:t xml:space="preserve">, </w:t>
      </w:r>
      <w:r w:rsidR="00956BC3" w:rsidRPr="00DF0ED0">
        <w:rPr>
          <w:color w:val="000000" w:themeColor="text1"/>
          <w:szCs w:val="16"/>
          <w:lang w:val="en-US"/>
        </w:rPr>
        <w:t>(n</w:t>
      </w:r>
      <w:r w:rsidR="008C6BAE" w:rsidRPr="00DF0ED0">
        <w:rPr>
          <w:color w:val="000000" w:themeColor="text1"/>
          <w:szCs w:val="16"/>
          <w:lang w:val="en-US"/>
        </w:rPr>
        <w:t xml:space="preserve"> 27</w:t>
      </w:r>
      <w:r w:rsidR="00956BC3" w:rsidRPr="00DF0ED0">
        <w:rPr>
          <w:color w:val="000000" w:themeColor="text1"/>
          <w:szCs w:val="16"/>
          <w:lang w:val="en-US"/>
        </w:rPr>
        <w:t>)</w:t>
      </w:r>
      <w:r w:rsidRPr="00DF0ED0">
        <w:rPr>
          <w:color w:val="000000" w:themeColor="text1"/>
          <w:szCs w:val="16"/>
        </w:rPr>
        <w:t xml:space="preserve">; and </w:t>
      </w:r>
      <w:r w:rsidRPr="00DF0ED0">
        <w:rPr>
          <w:color w:val="000000" w:themeColor="text1"/>
          <w:szCs w:val="16"/>
          <w:lang w:val="en-US"/>
        </w:rPr>
        <w:t>AVRI,</w:t>
      </w:r>
      <w:r w:rsidR="00956BC3" w:rsidRPr="00DF0ED0">
        <w:rPr>
          <w:color w:val="000000" w:themeColor="text1"/>
          <w:szCs w:val="16"/>
          <w:lang w:val="en-US"/>
        </w:rPr>
        <w:t xml:space="preserve"> (n</w:t>
      </w:r>
      <w:r w:rsidR="008C6BAE" w:rsidRPr="00DF0ED0">
        <w:rPr>
          <w:color w:val="000000" w:themeColor="text1"/>
          <w:szCs w:val="16"/>
          <w:lang w:val="en-US"/>
        </w:rPr>
        <w:t xml:space="preserve"> 27</w:t>
      </w:r>
      <w:r w:rsidR="00956BC3" w:rsidRPr="00DF0ED0">
        <w:rPr>
          <w:color w:val="000000" w:themeColor="text1"/>
          <w:szCs w:val="16"/>
          <w:lang w:val="en-US"/>
        </w:rPr>
        <w:t>)</w:t>
      </w:r>
      <w:r w:rsidRPr="00DF0ED0">
        <w:rPr>
          <w:color w:val="000000" w:themeColor="text1"/>
          <w:szCs w:val="16"/>
          <w:lang w:val="en-US"/>
        </w:rPr>
        <w:t xml:space="preserve"> 40.</w:t>
      </w:r>
    </w:p>
  </w:footnote>
  <w:footnote w:id="101">
    <w:p w14:paraId="233910CF" w14:textId="701BABEB" w:rsidR="00EA0DF7" w:rsidRPr="00DF0ED0" w:rsidRDefault="00EA0DF7"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in this respect, </w:t>
      </w:r>
      <w:proofErr w:type="spellStart"/>
      <w:r w:rsidRPr="00DF0ED0">
        <w:rPr>
          <w:color w:val="000000" w:themeColor="text1"/>
        </w:rPr>
        <w:t>Barooah</w:t>
      </w:r>
      <w:proofErr w:type="spellEnd"/>
      <w:r w:rsidRPr="00DF0ED0">
        <w:rPr>
          <w:color w:val="000000" w:themeColor="text1"/>
        </w:rPr>
        <w:t xml:space="preserve">, </w:t>
      </w:r>
      <w:proofErr w:type="spellStart"/>
      <w:r w:rsidR="00956BC3" w:rsidRPr="00DF0ED0">
        <w:rPr>
          <w:color w:val="000000" w:themeColor="text1"/>
        </w:rPr>
        <w:t>Sumantra</w:t>
      </w:r>
      <w:proofErr w:type="spellEnd"/>
      <w:r w:rsidR="00956BC3" w:rsidRPr="00DF0ED0">
        <w:rPr>
          <w:color w:val="000000" w:themeColor="text1"/>
        </w:rPr>
        <w:t xml:space="preserve"> </w:t>
      </w:r>
      <w:proofErr w:type="spellStart"/>
      <w:r w:rsidR="00956BC3" w:rsidRPr="00DF0ED0">
        <w:rPr>
          <w:color w:val="000000" w:themeColor="text1"/>
        </w:rPr>
        <w:t>Bibhuti</w:t>
      </w:r>
      <w:proofErr w:type="spellEnd"/>
      <w:r w:rsidR="00956BC3" w:rsidRPr="00DF0ED0">
        <w:rPr>
          <w:color w:val="000000" w:themeColor="text1"/>
        </w:rPr>
        <w:t>,</w:t>
      </w:r>
      <w:r w:rsidR="00956BC3" w:rsidRPr="00DF0ED0">
        <w:rPr>
          <w:color w:val="000000" w:themeColor="text1"/>
        </w:rPr>
        <w:t xml:space="preserve"> </w:t>
      </w:r>
      <w:r w:rsidR="00956BC3" w:rsidRPr="00DF0ED0">
        <w:rPr>
          <w:color w:val="000000" w:themeColor="text1"/>
        </w:rPr>
        <w:t>“</w:t>
      </w:r>
      <w:r w:rsidRPr="00DF0ED0">
        <w:rPr>
          <w:color w:val="000000" w:themeColor="text1"/>
        </w:rPr>
        <w:t>In India, Level 2 Autonomy will be Widespread in the Next Two to Four Years</w:t>
      </w:r>
      <w:r w:rsidR="00956BC3" w:rsidRPr="00DF0ED0">
        <w:rPr>
          <w:color w:val="000000" w:themeColor="text1"/>
        </w:rPr>
        <w:t>”</w:t>
      </w:r>
      <w:r w:rsidRPr="00DF0ED0">
        <w:rPr>
          <w:color w:val="000000" w:themeColor="text1"/>
        </w:rPr>
        <w:t xml:space="preserve">, </w:t>
      </w:r>
      <w:r w:rsidRPr="00DF0ED0">
        <w:rPr>
          <w:i/>
          <w:color w:val="000000" w:themeColor="text1"/>
        </w:rPr>
        <w:t>Economic Times</w:t>
      </w:r>
      <w:r w:rsidRPr="00DF0ED0">
        <w:rPr>
          <w:color w:val="000000" w:themeColor="text1"/>
        </w:rPr>
        <w:t xml:space="preserve">, </w:t>
      </w:r>
      <w:r w:rsidR="00956BC3" w:rsidRPr="00DF0ED0">
        <w:rPr>
          <w:color w:val="000000" w:themeColor="text1"/>
        </w:rPr>
        <w:t xml:space="preserve">dated </w:t>
      </w:r>
      <w:r w:rsidR="00956BC3" w:rsidRPr="00DF0ED0">
        <w:rPr>
          <w:color w:val="000000" w:themeColor="text1"/>
        </w:rPr>
        <w:t>6 December 2021</w:t>
      </w:r>
      <w:r w:rsidR="00956BC3" w:rsidRPr="00DF0ED0">
        <w:rPr>
          <w:color w:val="000000" w:themeColor="text1"/>
        </w:rPr>
        <w:t xml:space="preserve">, </w:t>
      </w:r>
      <w:r w:rsidRPr="00DF0ED0">
        <w:rPr>
          <w:color w:val="000000" w:themeColor="text1"/>
        </w:rPr>
        <w:t>available at: https://auto.economictimes.indiatimes.com/news/auto-technology/in-india-level-2-autonomy-will-be-widespread-in-the-next-two-to-four-years/88116266</w:t>
      </w:r>
      <w:r w:rsidRPr="00DF0ED0">
        <w:rPr>
          <w:color w:val="000000" w:themeColor="text1"/>
        </w:rPr>
        <w:t>.</w:t>
      </w:r>
    </w:p>
  </w:footnote>
  <w:footnote w:id="102">
    <w:p w14:paraId="4877EBD2" w14:textId="243719BD"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EA0DF7" w:rsidRPr="00DF0ED0">
        <w:rPr>
          <w:color w:val="000000" w:themeColor="text1"/>
        </w:rPr>
        <w:t xml:space="preserve">Ibid. </w:t>
      </w:r>
    </w:p>
  </w:footnote>
  <w:footnote w:id="103">
    <w:p w14:paraId="6DF802AE" w14:textId="77777777" w:rsidR="009515E4" w:rsidRPr="00DF0ED0" w:rsidRDefault="009515E4" w:rsidP="00723332">
      <w:pPr>
        <w:pStyle w:val="FootnoteText"/>
        <w:jc w:val="both"/>
        <w:rPr>
          <w:color w:val="000000" w:themeColor="text1"/>
          <w:szCs w:val="16"/>
        </w:rPr>
      </w:pPr>
      <w:r w:rsidRPr="00DF0ED0">
        <w:rPr>
          <w:rStyle w:val="FootnoteReference"/>
          <w:color w:val="000000" w:themeColor="text1"/>
          <w:szCs w:val="16"/>
        </w:rPr>
        <w:footnoteRef/>
      </w:r>
      <w:r w:rsidRPr="00DF0ED0">
        <w:rPr>
          <w:color w:val="000000" w:themeColor="text1"/>
          <w:szCs w:val="16"/>
        </w:rPr>
        <w:t xml:space="preserve"> </w:t>
      </w:r>
      <w:r w:rsidRPr="00DF0ED0">
        <w:rPr>
          <w:color w:val="000000" w:themeColor="text1"/>
          <w:szCs w:val="16"/>
        </w:rPr>
        <w:t>Act No. 59 of 1988.</w:t>
      </w:r>
    </w:p>
  </w:footnote>
  <w:footnote w:id="104">
    <w:p w14:paraId="4D24E65F" w14:textId="0624CC2B" w:rsidR="006C4FA2" w:rsidRPr="00DF0ED0" w:rsidRDefault="006C4FA2"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956BC3" w:rsidRPr="00DF0ED0">
        <w:rPr>
          <w:color w:val="000000" w:themeColor="text1"/>
        </w:rPr>
        <w:t>Sec.</w:t>
      </w:r>
      <w:r w:rsidRPr="00DF0ED0">
        <w:rPr>
          <w:color w:val="000000" w:themeColor="text1"/>
          <w:szCs w:val="16"/>
          <w:lang w:val="en-US"/>
        </w:rPr>
        <w:t xml:space="preserve"> 2(28) of the MVA.</w:t>
      </w:r>
    </w:p>
  </w:footnote>
  <w:footnote w:id="105">
    <w:p w14:paraId="5E8BC71E" w14:textId="29316862" w:rsidR="009515E4" w:rsidRPr="00DF0ED0" w:rsidRDefault="009515E4" w:rsidP="00723332">
      <w:pPr>
        <w:pStyle w:val="FootnoteText"/>
        <w:jc w:val="both"/>
        <w:rPr>
          <w:color w:val="000000" w:themeColor="text1"/>
          <w:szCs w:val="16"/>
          <w:lang w:val="en-US"/>
        </w:rPr>
      </w:pPr>
      <w:r w:rsidRPr="00DF0ED0">
        <w:rPr>
          <w:rStyle w:val="FootnoteReference"/>
          <w:color w:val="000000" w:themeColor="text1"/>
          <w:szCs w:val="16"/>
        </w:rPr>
        <w:footnoteRef/>
      </w:r>
      <w:r w:rsidRPr="00DF0ED0">
        <w:rPr>
          <w:color w:val="000000" w:themeColor="text1"/>
          <w:szCs w:val="16"/>
        </w:rPr>
        <w:t xml:space="preserve"> </w:t>
      </w:r>
      <w:r w:rsidR="006C4FA2" w:rsidRPr="00DF0ED0">
        <w:rPr>
          <w:color w:val="000000" w:themeColor="text1"/>
          <w:szCs w:val="16"/>
          <w:lang w:val="en-US"/>
        </w:rPr>
        <w:t>Ibid</w:t>
      </w:r>
      <w:r w:rsidRPr="00DF0ED0">
        <w:rPr>
          <w:color w:val="000000" w:themeColor="text1"/>
          <w:szCs w:val="16"/>
          <w:lang w:val="en-US"/>
        </w:rPr>
        <w:t>.</w:t>
      </w:r>
    </w:p>
  </w:footnote>
  <w:footnote w:id="106">
    <w:p w14:paraId="4CF374D9" w14:textId="58FE1CF0" w:rsidR="0064693B" w:rsidRPr="00DF0ED0" w:rsidRDefault="0064693B"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w:t>
      </w:r>
      <w:r w:rsidR="00A37536" w:rsidRPr="00DF0ED0">
        <w:rPr>
          <w:color w:val="000000" w:themeColor="text1"/>
          <w:lang w:val="en-US"/>
        </w:rPr>
        <w:t>, Section 2.1.1 above.</w:t>
      </w:r>
    </w:p>
  </w:footnote>
  <w:footnote w:id="107">
    <w:p w14:paraId="77DFC157" w14:textId="77777777"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See, Sec. 20(a) and (b) of the CPC.</w:t>
      </w:r>
    </w:p>
  </w:footnote>
  <w:footnote w:id="108">
    <w:p w14:paraId="7C49F98E" w14:textId="5BA834FE"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956BC3" w:rsidRPr="00DF0ED0">
        <w:rPr>
          <w:color w:val="000000" w:themeColor="text1"/>
          <w:lang w:val="en-US"/>
        </w:rPr>
        <w:t>Ibid,</w:t>
      </w:r>
      <w:r w:rsidRPr="00DF0ED0">
        <w:rPr>
          <w:color w:val="000000" w:themeColor="text1"/>
          <w:lang w:val="en-US"/>
        </w:rPr>
        <w:t xml:space="preserve"> Secs. 19 and 20(c). </w:t>
      </w:r>
    </w:p>
  </w:footnote>
  <w:footnote w:id="109">
    <w:p w14:paraId="2A38AFBE" w14:textId="48640A5B" w:rsidR="009515E4" w:rsidRPr="00DF0ED0" w:rsidRDefault="009515E4" w:rsidP="00723332">
      <w:pPr>
        <w:pStyle w:val="FootnoteText"/>
        <w:jc w:val="both"/>
        <w:rPr>
          <w:color w:val="000000" w:themeColor="text1"/>
          <w:szCs w:val="16"/>
          <w:lang w:val="en-US"/>
        </w:rPr>
      </w:pPr>
      <w:r w:rsidRPr="00DF0ED0">
        <w:rPr>
          <w:rStyle w:val="FootnoteReference"/>
          <w:color w:val="000000" w:themeColor="text1"/>
        </w:rPr>
        <w:footnoteRef/>
      </w:r>
      <w:r w:rsidRPr="00DF0ED0">
        <w:rPr>
          <w:color w:val="000000" w:themeColor="text1"/>
        </w:rPr>
        <w:t xml:space="preserve"> </w:t>
      </w:r>
      <w:proofErr w:type="spellStart"/>
      <w:r w:rsidRPr="00DF0ED0">
        <w:rPr>
          <w:color w:val="000000" w:themeColor="text1"/>
          <w:szCs w:val="16"/>
          <w:lang w:val="en-US"/>
        </w:rPr>
        <w:t>Takwani</w:t>
      </w:r>
      <w:proofErr w:type="spellEnd"/>
      <w:r w:rsidRPr="00DF0ED0">
        <w:rPr>
          <w:color w:val="000000" w:themeColor="text1"/>
          <w:szCs w:val="16"/>
          <w:lang w:val="en-US"/>
        </w:rPr>
        <w:t>,</w:t>
      </w:r>
      <w:r w:rsidR="00956BC3" w:rsidRPr="00DF0ED0">
        <w:rPr>
          <w:color w:val="000000" w:themeColor="text1"/>
          <w:szCs w:val="16"/>
          <w:lang w:val="en-US"/>
        </w:rPr>
        <w:t xml:space="preserve"> </w:t>
      </w:r>
      <w:r w:rsidR="00956BC3" w:rsidRPr="00DF0ED0">
        <w:rPr>
          <w:color w:val="000000" w:themeColor="text1"/>
          <w:szCs w:val="16"/>
          <w:lang w:val="en-US"/>
        </w:rPr>
        <w:t>CK</w:t>
      </w:r>
      <w:r w:rsidR="00956BC3" w:rsidRPr="00DF0ED0">
        <w:rPr>
          <w:color w:val="000000" w:themeColor="text1"/>
          <w:szCs w:val="16"/>
          <w:lang w:val="en-US"/>
        </w:rPr>
        <w:t>,</w:t>
      </w:r>
      <w:r w:rsidRPr="00DF0ED0">
        <w:rPr>
          <w:color w:val="000000" w:themeColor="text1"/>
          <w:szCs w:val="16"/>
          <w:lang w:val="en-US"/>
        </w:rPr>
        <w:t xml:space="preserve"> </w:t>
      </w:r>
      <w:r w:rsidRPr="00DF0ED0">
        <w:rPr>
          <w:i/>
          <w:color w:val="000000" w:themeColor="text1"/>
          <w:szCs w:val="16"/>
          <w:lang w:val="en-US"/>
        </w:rPr>
        <w:t>Civil Procedure with Limitation Act 1963,</w:t>
      </w:r>
      <w:r w:rsidRPr="00DF0ED0">
        <w:rPr>
          <w:color w:val="000000" w:themeColor="text1"/>
          <w:szCs w:val="16"/>
          <w:lang w:val="en-US"/>
        </w:rPr>
        <w:t xml:space="preserve"> 8th </w:t>
      </w:r>
      <w:proofErr w:type="spellStart"/>
      <w:r w:rsidRPr="00DF0ED0">
        <w:rPr>
          <w:color w:val="000000" w:themeColor="text1"/>
          <w:szCs w:val="16"/>
          <w:lang w:val="en-US"/>
        </w:rPr>
        <w:t>edn</w:t>
      </w:r>
      <w:proofErr w:type="spellEnd"/>
      <w:r w:rsidRPr="00DF0ED0">
        <w:rPr>
          <w:color w:val="000000" w:themeColor="text1"/>
          <w:szCs w:val="16"/>
          <w:lang w:val="en-US"/>
        </w:rPr>
        <w:t>, Eastern Book Company, 2017, 143.</w:t>
      </w:r>
    </w:p>
  </w:footnote>
  <w:footnote w:id="110">
    <w:p w14:paraId="3CE72867" w14:textId="70473D99"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w:t>
      </w:r>
      <w:r w:rsidRPr="00DF0ED0">
        <w:rPr>
          <w:i/>
          <w:color w:val="000000" w:themeColor="text1"/>
          <w:lang w:val="en-US"/>
        </w:rPr>
        <w:t xml:space="preserve">Globe Transport </w:t>
      </w:r>
      <w:proofErr w:type="spellStart"/>
      <w:r w:rsidRPr="00DF0ED0">
        <w:rPr>
          <w:i/>
          <w:color w:val="000000" w:themeColor="text1"/>
          <w:lang w:val="en-US"/>
        </w:rPr>
        <w:t>Corpn</w:t>
      </w:r>
      <w:proofErr w:type="spellEnd"/>
      <w:r w:rsidRPr="00DF0ED0">
        <w:rPr>
          <w:i/>
          <w:color w:val="000000" w:themeColor="text1"/>
          <w:lang w:val="en-US"/>
        </w:rPr>
        <w:t xml:space="preserve"> v Triveni Engineering Works</w:t>
      </w:r>
      <w:r w:rsidRPr="00DF0ED0">
        <w:rPr>
          <w:color w:val="000000" w:themeColor="text1"/>
          <w:lang w:val="en-US"/>
        </w:rPr>
        <w:t>, [1983] 4 SCC 707 [3].</w:t>
      </w:r>
    </w:p>
  </w:footnote>
  <w:footnote w:id="111">
    <w:p w14:paraId="1376D9F7" w14:textId="38D91B5B" w:rsidR="009515E4" w:rsidRPr="00DF0ED0" w:rsidRDefault="009515E4" w:rsidP="0072333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DF0ED0">
        <w:rPr>
          <w:color w:val="000000" w:themeColor="text1"/>
          <w:szCs w:val="16"/>
          <w:lang w:val="en-US"/>
        </w:rPr>
        <w:t>Takwani</w:t>
      </w:r>
      <w:proofErr w:type="spellEnd"/>
      <w:r w:rsidRPr="00DF0ED0">
        <w:rPr>
          <w:color w:val="000000" w:themeColor="text1"/>
          <w:szCs w:val="16"/>
          <w:lang w:val="en-US"/>
        </w:rPr>
        <w:t xml:space="preserve">, </w:t>
      </w:r>
      <w:r w:rsidR="00956BC3" w:rsidRPr="00DF0ED0">
        <w:rPr>
          <w:color w:val="000000" w:themeColor="text1"/>
          <w:szCs w:val="16"/>
          <w:lang w:val="en-US"/>
        </w:rPr>
        <w:t>(n</w:t>
      </w:r>
      <w:r w:rsidR="00FB08D4" w:rsidRPr="00DF0ED0">
        <w:rPr>
          <w:color w:val="000000" w:themeColor="text1"/>
          <w:szCs w:val="16"/>
          <w:lang w:val="en-US"/>
        </w:rPr>
        <w:t xml:space="preserve"> 109</w:t>
      </w:r>
      <w:r w:rsidR="00956BC3" w:rsidRPr="00DF0ED0">
        <w:rPr>
          <w:color w:val="000000" w:themeColor="text1"/>
          <w:szCs w:val="16"/>
          <w:lang w:val="en-US"/>
        </w:rPr>
        <w:t xml:space="preserve">) </w:t>
      </w:r>
      <w:r w:rsidRPr="00DF0ED0">
        <w:rPr>
          <w:color w:val="000000" w:themeColor="text1"/>
          <w:szCs w:val="16"/>
          <w:lang w:val="en-US"/>
        </w:rPr>
        <w:t>143.</w:t>
      </w:r>
    </w:p>
  </w:footnote>
  <w:footnote w:id="112">
    <w:p w14:paraId="260D9A91" w14:textId="77777777" w:rsidR="00C16556" w:rsidRPr="00DF0ED0" w:rsidRDefault="00C16556" w:rsidP="00C16556">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Section 2.1.3.1.b above. </w:t>
      </w:r>
    </w:p>
  </w:footnote>
  <w:footnote w:id="113">
    <w:p w14:paraId="1EC11AE4" w14:textId="7641A755" w:rsidR="00C16556" w:rsidRPr="00DF0ED0" w:rsidRDefault="00C16556">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w:t>
      </w:r>
      <w:r w:rsidRPr="00DF0ED0">
        <w:rPr>
          <w:color w:val="000000" w:themeColor="text1"/>
          <w:lang w:val="en-US"/>
        </w:rPr>
        <w:t xml:space="preserve">Khanderia, </w:t>
      </w:r>
      <w:r w:rsidRPr="00DF0ED0">
        <w:rPr>
          <w:color w:val="000000" w:themeColor="text1"/>
          <w:lang w:val="en-US"/>
        </w:rPr>
        <w:t xml:space="preserve">Saloni, </w:t>
      </w:r>
      <w:r w:rsidRPr="00DF0ED0">
        <w:rPr>
          <w:color w:val="000000" w:themeColor="text1"/>
          <w:lang w:val="en-US"/>
        </w:rPr>
        <w:t>“The Question of the Applicable Law in Cross-Border Claims on Product Liability: Reflections from India”</w:t>
      </w:r>
      <w:r w:rsidRPr="00DF0ED0">
        <w:rPr>
          <w:color w:val="000000" w:themeColor="text1"/>
          <w:lang w:val="en-US"/>
        </w:rPr>
        <w:t>,</w:t>
      </w:r>
      <w:r w:rsidRPr="00DF0ED0">
        <w:rPr>
          <w:color w:val="000000" w:themeColor="text1"/>
        </w:rPr>
        <w:t xml:space="preserve"> Global Jurist, (2021) </w:t>
      </w:r>
      <w:hyperlink r:id="rId18" w:history="1">
        <w:r w:rsidRPr="00DF0ED0">
          <w:rPr>
            <w:rStyle w:val="Hyperlink"/>
            <w:color w:val="000000" w:themeColor="text1"/>
            <w:u w:val="none"/>
            <w:lang w:val="en-US"/>
          </w:rPr>
          <w:t>https://doi.org/10.1515/gj-2021-0025</w:t>
        </w:r>
      </w:hyperlink>
      <w:r w:rsidRPr="00DF0ED0">
        <w:rPr>
          <w:color w:val="000000" w:themeColor="text1"/>
          <w:lang w:val="en-US"/>
        </w:rPr>
        <w:t xml:space="preserve">; and Jolly, </w:t>
      </w:r>
      <w:proofErr w:type="spellStart"/>
      <w:r w:rsidRPr="00DF0ED0">
        <w:rPr>
          <w:color w:val="000000" w:themeColor="text1"/>
          <w:lang w:val="en-US"/>
        </w:rPr>
        <w:t>Stellina</w:t>
      </w:r>
      <w:proofErr w:type="spellEnd"/>
      <w:r w:rsidRPr="00DF0ED0">
        <w:rPr>
          <w:color w:val="000000" w:themeColor="text1"/>
          <w:lang w:val="en-US"/>
        </w:rPr>
        <w:t xml:space="preserve"> and Khanderia, Saloni, Indian Private International Law, Bloomsbury </w:t>
      </w:r>
      <w:proofErr w:type="spellStart"/>
      <w:r w:rsidRPr="00DF0ED0">
        <w:rPr>
          <w:color w:val="000000" w:themeColor="text1"/>
          <w:lang w:val="en-US"/>
        </w:rPr>
        <w:t>Publications</w:t>
      </w:r>
      <w:proofErr w:type="spellEnd"/>
      <w:r w:rsidRPr="00DF0ED0">
        <w:rPr>
          <w:color w:val="000000" w:themeColor="text1"/>
          <w:lang w:val="en-US"/>
        </w:rPr>
        <w:t>: Asia Private International Law Series (2021), 231-236.</w:t>
      </w:r>
    </w:p>
  </w:footnote>
  <w:footnote w:id="114">
    <w:p w14:paraId="48B53FCC" w14:textId="4163CCE8" w:rsidR="001B63F7" w:rsidRPr="00DF0ED0" w:rsidRDefault="001B63F7"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the decisions of the High Courts of Rajasthan in </w:t>
      </w:r>
      <w:proofErr w:type="spellStart"/>
      <w:r w:rsidRPr="00DF0ED0">
        <w:rPr>
          <w:i/>
          <w:color w:val="000000" w:themeColor="text1"/>
          <w:lang w:val="en-US"/>
        </w:rPr>
        <w:t>Kotah</w:t>
      </w:r>
      <w:proofErr w:type="spellEnd"/>
      <w:r w:rsidRPr="00DF0ED0">
        <w:rPr>
          <w:i/>
          <w:color w:val="000000" w:themeColor="text1"/>
          <w:lang w:val="en-US"/>
        </w:rPr>
        <w:t xml:space="preserve"> Transport Ltd v Jhalawar Transport Services Ltd</w:t>
      </w:r>
      <w:r w:rsidRPr="00DF0ED0">
        <w:rPr>
          <w:color w:val="000000" w:themeColor="text1"/>
        </w:rPr>
        <w:t xml:space="preserve">, </w:t>
      </w:r>
      <w:r w:rsidRPr="00DF0ED0">
        <w:rPr>
          <w:color w:val="000000" w:themeColor="text1"/>
          <w:szCs w:val="16"/>
          <w:lang w:val="en-US"/>
        </w:rPr>
        <w:t>AIR 1960 Raj 224</w:t>
      </w:r>
      <w:r w:rsidRPr="00DF0ED0">
        <w:rPr>
          <w:color w:val="000000" w:themeColor="text1"/>
          <w:szCs w:val="16"/>
        </w:rPr>
        <w:t>;</w:t>
      </w:r>
      <w:r w:rsidRPr="00DF0ED0">
        <w:rPr>
          <w:i/>
          <w:color w:val="000000" w:themeColor="text1"/>
          <w:lang w:val="en-US"/>
        </w:rPr>
        <w:t xml:space="preserve"> </w:t>
      </w:r>
      <w:r w:rsidRPr="00DF0ED0">
        <w:rPr>
          <w:color w:val="000000" w:themeColor="text1"/>
        </w:rPr>
        <w:t xml:space="preserve">and Punjab and Haryana in </w:t>
      </w:r>
      <w:proofErr w:type="spellStart"/>
      <w:r w:rsidRPr="00DF0ED0">
        <w:rPr>
          <w:i/>
          <w:color w:val="000000" w:themeColor="text1"/>
          <w:lang w:val="en-US"/>
        </w:rPr>
        <w:t>Sona</w:t>
      </w:r>
      <w:proofErr w:type="spellEnd"/>
      <w:r w:rsidRPr="00DF0ED0">
        <w:rPr>
          <w:i/>
          <w:color w:val="000000" w:themeColor="text1"/>
          <w:lang w:val="en-US"/>
        </w:rPr>
        <w:t xml:space="preserve"> Devi v Anil Kumar, </w:t>
      </w:r>
      <w:r w:rsidRPr="00DF0ED0">
        <w:rPr>
          <w:color w:val="000000" w:themeColor="text1"/>
          <w:szCs w:val="16"/>
          <w:lang w:val="en-US"/>
        </w:rPr>
        <w:t>[2011] 3 TAC 552.</w:t>
      </w:r>
    </w:p>
  </w:footnote>
  <w:footnote w:id="115">
    <w:p w14:paraId="309D2993" w14:textId="6449F62C"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w:t>
      </w:r>
    </w:p>
  </w:footnote>
  <w:footnote w:id="116">
    <w:p w14:paraId="09BFD1BB" w14:textId="11DB0806"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w:t>
      </w:r>
      <w:proofErr w:type="spellStart"/>
      <w:r w:rsidRPr="00DF0ED0">
        <w:rPr>
          <w:i/>
          <w:color w:val="000000" w:themeColor="text1"/>
          <w:lang w:val="en-US"/>
        </w:rPr>
        <w:t>Kotah</w:t>
      </w:r>
      <w:proofErr w:type="spellEnd"/>
      <w:r w:rsidRPr="00DF0ED0">
        <w:rPr>
          <w:i/>
          <w:color w:val="000000" w:themeColor="text1"/>
          <w:lang w:val="en-US"/>
        </w:rPr>
        <w:t xml:space="preserve"> </w:t>
      </w:r>
      <w:r w:rsidR="00956BC3" w:rsidRPr="00DF0ED0">
        <w:rPr>
          <w:color w:val="000000" w:themeColor="text1"/>
          <w:lang w:val="en-US"/>
        </w:rPr>
        <w:t>(n</w:t>
      </w:r>
      <w:r w:rsidR="00822E73" w:rsidRPr="00DF0ED0">
        <w:rPr>
          <w:color w:val="000000" w:themeColor="text1"/>
          <w:lang w:val="en-US"/>
        </w:rPr>
        <w:t xml:space="preserve"> 11</w:t>
      </w:r>
      <w:r w:rsidR="00DF0ED0">
        <w:rPr>
          <w:color w:val="000000" w:themeColor="text1"/>
          <w:lang w:val="en-US"/>
        </w:rPr>
        <w:t>4</w:t>
      </w:r>
      <w:r w:rsidR="00956BC3" w:rsidRPr="00DF0ED0">
        <w:rPr>
          <w:color w:val="000000" w:themeColor="text1"/>
          <w:lang w:val="en-US"/>
        </w:rPr>
        <w:t>)</w:t>
      </w:r>
      <w:r w:rsidRPr="00DF0ED0">
        <w:rPr>
          <w:color w:val="000000" w:themeColor="text1"/>
          <w:szCs w:val="16"/>
        </w:rPr>
        <w:t>;</w:t>
      </w:r>
      <w:r w:rsidRPr="00DF0ED0">
        <w:rPr>
          <w:i/>
          <w:color w:val="000000" w:themeColor="text1"/>
          <w:lang w:val="en-US"/>
        </w:rPr>
        <w:t xml:space="preserve"> </w:t>
      </w:r>
      <w:r w:rsidRPr="00DF0ED0">
        <w:rPr>
          <w:color w:val="000000" w:themeColor="text1"/>
        </w:rPr>
        <w:t xml:space="preserve">and </w:t>
      </w:r>
      <w:proofErr w:type="spellStart"/>
      <w:r w:rsidRPr="00DF0ED0">
        <w:rPr>
          <w:i/>
          <w:color w:val="000000" w:themeColor="text1"/>
          <w:lang w:val="en-US"/>
        </w:rPr>
        <w:t>Sona</w:t>
      </w:r>
      <w:proofErr w:type="spellEnd"/>
      <w:r w:rsidRPr="00DF0ED0">
        <w:rPr>
          <w:i/>
          <w:color w:val="000000" w:themeColor="text1"/>
          <w:lang w:val="en-US"/>
        </w:rPr>
        <w:t xml:space="preserve"> </w:t>
      </w:r>
      <w:r w:rsidR="00956BC3" w:rsidRPr="00DF0ED0">
        <w:rPr>
          <w:color w:val="000000" w:themeColor="text1"/>
          <w:lang w:val="en-US"/>
        </w:rPr>
        <w:t>(n</w:t>
      </w:r>
      <w:r w:rsidR="00822E73" w:rsidRPr="00DF0ED0">
        <w:rPr>
          <w:color w:val="000000" w:themeColor="text1"/>
          <w:lang w:val="en-US"/>
        </w:rPr>
        <w:t xml:space="preserve"> 11</w:t>
      </w:r>
      <w:r w:rsidR="00DF0ED0">
        <w:rPr>
          <w:color w:val="000000" w:themeColor="text1"/>
          <w:lang w:val="en-US"/>
        </w:rPr>
        <w:t>4</w:t>
      </w:r>
      <w:r w:rsidR="00956BC3" w:rsidRPr="00DF0ED0">
        <w:rPr>
          <w:color w:val="000000" w:themeColor="text1"/>
          <w:lang w:val="en-US"/>
        </w:rPr>
        <w:t>)</w:t>
      </w:r>
      <w:r w:rsidRPr="00DF0ED0">
        <w:rPr>
          <w:color w:val="000000" w:themeColor="text1"/>
          <w:szCs w:val="16"/>
          <w:lang w:val="en-US"/>
        </w:rPr>
        <w:t>.</w:t>
      </w:r>
    </w:p>
  </w:footnote>
  <w:footnote w:id="117">
    <w:p w14:paraId="57FBA5F4" w14:textId="2349107C"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lang w:val="en-US"/>
        </w:rPr>
        <w:t xml:space="preserve"> </w:t>
      </w:r>
      <w:proofErr w:type="spellStart"/>
      <w:r w:rsidRPr="00DF0ED0">
        <w:rPr>
          <w:i/>
          <w:color w:val="000000" w:themeColor="text1"/>
          <w:szCs w:val="16"/>
          <w:lang w:val="en-US"/>
        </w:rPr>
        <w:t>Sona</w:t>
      </w:r>
      <w:proofErr w:type="spellEnd"/>
      <w:r w:rsidRPr="00DF0ED0">
        <w:rPr>
          <w:i/>
          <w:color w:val="000000" w:themeColor="text1"/>
          <w:szCs w:val="16"/>
          <w:lang w:val="en-US"/>
        </w:rPr>
        <w:t xml:space="preserve"> Devi</w:t>
      </w:r>
      <w:r w:rsidR="00956BC3" w:rsidRPr="00DF0ED0">
        <w:rPr>
          <w:i/>
          <w:color w:val="000000" w:themeColor="text1"/>
          <w:szCs w:val="16"/>
          <w:lang w:val="en-US"/>
        </w:rPr>
        <w:t xml:space="preserve">, </w:t>
      </w:r>
      <w:r w:rsidR="00956BC3" w:rsidRPr="00DF0ED0">
        <w:rPr>
          <w:color w:val="000000" w:themeColor="text1"/>
          <w:szCs w:val="16"/>
          <w:lang w:val="en-US"/>
        </w:rPr>
        <w:t>ibid</w:t>
      </w:r>
      <w:r w:rsidR="00956BC3" w:rsidRPr="00DF0ED0">
        <w:rPr>
          <w:i/>
          <w:color w:val="000000" w:themeColor="text1"/>
          <w:szCs w:val="16"/>
          <w:lang w:val="en-US"/>
        </w:rPr>
        <w:t>,</w:t>
      </w:r>
      <w:r w:rsidR="00956BC3" w:rsidRPr="00DF0ED0">
        <w:rPr>
          <w:color w:val="000000" w:themeColor="text1"/>
          <w:szCs w:val="16"/>
          <w:lang w:val="en-US"/>
        </w:rPr>
        <w:t xml:space="preserve"> [</w:t>
      </w:r>
      <w:r w:rsidRPr="00DF0ED0">
        <w:rPr>
          <w:color w:val="000000" w:themeColor="text1"/>
          <w:szCs w:val="16"/>
          <w:lang w:val="en-US"/>
        </w:rPr>
        <w:t>6</w:t>
      </w:r>
      <w:r w:rsidR="00956BC3" w:rsidRPr="00DF0ED0">
        <w:rPr>
          <w:color w:val="000000" w:themeColor="text1"/>
          <w:szCs w:val="16"/>
          <w:lang w:val="en-US"/>
        </w:rPr>
        <w:t>]</w:t>
      </w:r>
      <w:r w:rsidRPr="00DF0ED0">
        <w:rPr>
          <w:color w:val="000000" w:themeColor="text1"/>
          <w:szCs w:val="16"/>
          <w:lang w:val="en-US"/>
        </w:rPr>
        <w:t>.</w:t>
      </w:r>
    </w:p>
  </w:footnote>
  <w:footnote w:id="118">
    <w:p w14:paraId="5E6646A0" w14:textId="49A22F61" w:rsidR="0064693B" w:rsidRPr="00DF0ED0" w:rsidRDefault="0064693B"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the decision of the Queen’s Bench in </w:t>
      </w:r>
      <w:r w:rsidRPr="00DF0ED0">
        <w:rPr>
          <w:i/>
          <w:color w:val="000000" w:themeColor="text1"/>
          <w:lang w:val="en-US"/>
        </w:rPr>
        <w:t xml:space="preserve">Phillips v Eyre, </w:t>
      </w:r>
      <w:r w:rsidRPr="00DF0ED0">
        <w:rPr>
          <w:color w:val="000000" w:themeColor="text1"/>
          <w:szCs w:val="16"/>
          <w:lang w:val="en-US"/>
        </w:rPr>
        <w:t>[1870] LR 6 QB 1.</w:t>
      </w:r>
    </w:p>
  </w:footnote>
  <w:footnote w:id="119">
    <w:p w14:paraId="41B629E7" w14:textId="256D91F4"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rPr>
        <w:t xml:space="preserve">See in this respect, Mills, </w:t>
      </w:r>
      <w:r w:rsidR="009E443C" w:rsidRPr="00DF0ED0">
        <w:rPr>
          <w:color w:val="000000" w:themeColor="text1"/>
          <w:szCs w:val="16"/>
        </w:rPr>
        <w:t xml:space="preserve">Alex </w:t>
      </w:r>
      <w:r w:rsidRPr="00DF0ED0">
        <w:rPr>
          <w:color w:val="000000" w:themeColor="text1"/>
          <w:szCs w:val="16"/>
        </w:rPr>
        <w:t xml:space="preserve">‘The Application of Multiple Laws under the Rome II Regulation’ </w:t>
      </w:r>
      <w:r w:rsidRPr="00DF0ED0">
        <w:rPr>
          <w:color w:val="000000" w:themeColor="text1"/>
          <w:szCs w:val="16"/>
          <w:lang w:val="en-US"/>
        </w:rPr>
        <w:t xml:space="preserve">in John Ahern &amp; William </w:t>
      </w:r>
      <w:proofErr w:type="spellStart"/>
      <w:r w:rsidRPr="00DF0ED0">
        <w:rPr>
          <w:color w:val="000000" w:themeColor="text1"/>
          <w:szCs w:val="16"/>
          <w:lang w:val="en-US"/>
        </w:rPr>
        <w:t>Binchy</w:t>
      </w:r>
      <w:proofErr w:type="spellEnd"/>
      <w:r w:rsidRPr="00DF0ED0">
        <w:rPr>
          <w:color w:val="000000" w:themeColor="text1"/>
          <w:szCs w:val="16"/>
          <w:lang w:val="en-US"/>
        </w:rPr>
        <w:t xml:space="preserve"> (</w:t>
      </w:r>
      <w:proofErr w:type="spellStart"/>
      <w:r w:rsidRPr="00DF0ED0">
        <w:rPr>
          <w:color w:val="000000" w:themeColor="text1"/>
          <w:szCs w:val="16"/>
          <w:lang w:val="en-US"/>
        </w:rPr>
        <w:t>eds</w:t>
      </w:r>
      <w:proofErr w:type="spellEnd"/>
      <w:r w:rsidRPr="00DF0ED0">
        <w:rPr>
          <w:color w:val="000000" w:themeColor="text1"/>
          <w:szCs w:val="16"/>
          <w:lang w:val="en-US"/>
        </w:rPr>
        <w:t xml:space="preserve">), </w:t>
      </w:r>
      <w:r w:rsidRPr="00DF0ED0">
        <w:rPr>
          <w:i/>
          <w:color w:val="000000" w:themeColor="text1"/>
          <w:szCs w:val="16"/>
          <w:lang w:val="en-US"/>
        </w:rPr>
        <w:t>The Rome II Regulation on the Law Applicable to Non-Contractual Obligations: A New Litigation Regime</w:t>
      </w:r>
      <w:r w:rsidRPr="00DF0ED0">
        <w:rPr>
          <w:color w:val="000000" w:themeColor="text1"/>
          <w:szCs w:val="16"/>
          <w:lang w:val="en-US"/>
        </w:rPr>
        <w:t xml:space="preserve">, </w:t>
      </w:r>
      <w:proofErr w:type="spellStart"/>
      <w:r w:rsidRPr="00DF0ED0">
        <w:rPr>
          <w:color w:val="000000" w:themeColor="text1"/>
          <w:szCs w:val="16"/>
          <w:lang w:val="en-US"/>
        </w:rPr>
        <w:t>Martinus</w:t>
      </w:r>
      <w:proofErr w:type="spellEnd"/>
      <w:r w:rsidRPr="00DF0ED0">
        <w:rPr>
          <w:color w:val="000000" w:themeColor="text1"/>
          <w:szCs w:val="16"/>
          <w:lang w:val="en-US"/>
        </w:rPr>
        <w:t xml:space="preserve"> </w:t>
      </w:r>
      <w:proofErr w:type="spellStart"/>
      <w:r w:rsidRPr="00DF0ED0">
        <w:rPr>
          <w:color w:val="000000" w:themeColor="text1"/>
          <w:szCs w:val="16"/>
          <w:lang w:val="en-US"/>
        </w:rPr>
        <w:t>Nijhoff</w:t>
      </w:r>
      <w:proofErr w:type="spellEnd"/>
      <w:r w:rsidRPr="00DF0ED0">
        <w:rPr>
          <w:color w:val="000000" w:themeColor="text1"/>
          <w:szCs w:val="16"/>
          <w:lang w:val="en-US"/>
        </w:rPr>
        <w:t xml:space="preserve"> Publishers, 2009, p. 140, referring to the decision of the Queen’s Bench in </w:t>
      </w:r>
      <w:r w:rsidRPr="00DF0ED0">
        <w:rPr>
          <w:i/>
          <w:color w:val="000000" w:themeColor="text1"/>
          <w:szCs w:val="16"/>
          <w:lang w:val="en-US"/>
        </w:rPr>
        <w:t xml:space="preserve">Phillips v Eyre, </w:t>
      </w:r>
      <w:r w:rsidRPr="00DF0ED0">
        <w:rPr>
          <w:color w:val="000000" w:themeColor="text1"/>
          <w:szCs w:val="16"/>
          <w:lang w:val="en-US"/>
        </w:rPr>
        <w:t>[1870] LR 6 QB 1.</w:t>
      </w:r>
    </w:p>
  </w:footnote>
  <w:footnote w:id="120">
    <w:p w14:paraId="1F772F8A" w14:textId="282BFEFF" w:rsidR="009515E4" w:rsidRPr="00DF0ED0" w:rsidRDefault="009515E4" w:rsidP="00E14D8C">
      <w:pPr>
        <w:pStyle w:val="FootnoteText"/>
        <w:jc w:val="both"/>
        <w:rPr>
          <w:color w:val="000000" w:themeColor="text1"/>
          <w:szCs w:val="16"/>
          <w:lang w:val="en-US"/>
        </w:rPr>
      </w:pPr>
      <w:r w:rsidRPr="00DF0ED0">
        <w:rPr>
          <w:rStyle w:val="FootnoteReference"/>
          <w:color w:val="000000" w:themeColor="text1"/>
          <w:szCs w:val="16"/>
        </w:rPr>
        <w:footnoteRef/>
      </w:r>
      <w:r w:rsidRPr="00DF0ED0">
        <w:rPr>
          <w:color w:val="000000" w:themeColor="text1"/>
          <w:szCs w:val="16"/>
        </w:rPr>
        <w:t xml:space="preserve"> </w:t>
      </w:r>
      <w:proofErr w:type="spellStart"/>
      <w:r w:rsidRPr="00DF0ED0">
        <w:rPr>
          <w:color w:val="000000" w:themeColor="text1"/>
          <w:szCs w:val="16"/>
          <w:lang w:val="en-US"/>
        </w:rPr>
        <w:t>Sona</w:t>
      </w:r>
      <w:proofErr w:type="spellEnd"/>
      <w:r w:rsidRPr="00DF0ED0">
        <w:rPr>
          <w:color w:val="000000" w:themeColor="text1"/>
          <w:szCs w:val="16"/>
          <w:lang w:val="en-US"/>
        </w:rPr>
        <w:t xml:space="preserve"> Devi,</w:t>
      </w:r>
      <w:r w:rsidR="009E443C" w:rsidRPr="00DF0ED0">
        <w:rPr>
          <w:color w:val="000000" w:themeColor="text1"/>
          <w:szCs w:val="16"/>
          <w:lang w:val="en-US"/>
        </w:rPr>
        <w:t xml:space="preserve"> (n</w:t>
      </w:r>
      <w:r w:rsidR="00822E73" w:rsidRPr="00DF0ED0">
        <w:rPr>
          <w:color w:val="000000" w:themeColor="text1"/>
          <w:szCs w:val="16"/>
          <w:lang w:val="en-US"/>
        </w:rPr>
        <w:t xml:space="preserve"> 11</w:t>
      </w:r>
      <w:r w:rsidR="00DF0ED0">
        <w:rPr>
          <w:color w:val="000000" w:themeColor="text1"/>
          <w:szCs w:val="16"/>
          <w:lang w:val="en-US"/>
        </w:rPr>
        <w:t>4</w:t>
      </w:r>
      <w:r w:rsidR="009E443C" w:rsidRPr="00DF0ED0">
        <w:rPr>
          <w:color w:val="000000" w:themeColor="text1"/>
          <w:szCs w:val="16"/>
          <w:lang w:val="en-US"/>
        </w:rPr>
        <w:t>) [</w:t>
      </w:r>
      <w:r w:rsidRPr="00DF0ED0">
        <w:rPr>
          <w:color w:val="000000" w:themeColor="text1"/>
          <w:szCs w:val="16"/>
          <w:lang w:val="en-US"/>
        </w:rPr>
        <w:t>8</w:t>
      </w:r>
      <w:r w:rsidR="009E443C" w:rsidRPr="00DF0ED0">
        <w:rPr>
          <w:color w:val="000000" w:themeColor="text1"/>
          <w:szCs w:val="16"/>
          <w:lang w:val="en-US"/>
        </w:rPr>
        <w:t>]</w:t>
      </w:r>
      <w:r w:rsidRPr="00DF0ED0">
        <w:rPr>
          <w:color w:val="000000" w:themeColor="text1"/>
          <w:szCs w:val="16"/>
          <w:lang w:val="en-US"/>
        </w:rPr>
        <w:t>.</w:t>
      </w:r>
    </w:p>
  </w:footnote>
  <w:footnote w:id="121">
    <w:p w14:paraId="43FC15E1" w14:textId="132B90E6" w:rsidR="001B63F7" w:rsidRPr="00DF0ED0" w:rsidRDefault="001B63F7"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lang w:val="en-US"/>
        </w:rPr>
        <w:t>(n</w:t>
      </w:r>
      <w:r w:rsidR="00822E73" w:rsidRPr="00DF0ED0">
        <w:rPr>
          <w:color w:val="000000" w:themeColor="text1"/>
          <w:szCs w:val="16"/>
          <w:lang w:val="en-US"/>
        </w:rPr>
        <w:t xml:space="preserve"> 11</w:t>
      </w:r>
      <w:r w:rsidR="00DF0ED0">
        <w:rPr>
          <w:color w:val="000000" w:themeColor="text1"/>
          <w:szCs w:val="16"/>
          <w:lang w:val="en-US"/>
        </w:rPr>
        <w:t>4</w:t>
      </w:r>
      <w:r w:rsidRPr="00DF0ED0">
        <w:rPr>
          <w:color w:val="000000" w:themeColor="text1"/>
          <w:szCs w:val="16"/>
          <w:lang w:val="en-US"/>
        </w:rPr>
        <w:t>)</w:t>
      </w:r>
      <w:r w:rsidR="00B412C3" w:rsidRPr="00DF0ED0">
        <w:rPr>
          <w:color w:val="000000" w:themeColor="text1"/>
          <w:szCs w:val="16"/>
          <w:lang w:val="en-US"/>
        </w:rPr>
        <w:t>.</w:t>
      </w:r>
    </w:p>
  </w:footnote>
  <w:footnote w:id="122">
    <w:p w14:paraId="63D8B3F9" w14:textId="238C62C5" w:rsidR="001B63F7" w:rsidRPr="00DF0ED0" w:rsidRDefault="001B63F7"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The other decision being </w:t>
      </w:r>
      <w:proofErr w:type="spellStart"/>
      <w:r w:rsidRPr="00DF0ED0">
        <w:rPr>
          <w:i/>
          <w:color w:val="000000" w:themeColor="text1"/>
        </w:rPr>
        <w:t>Kotah</w:t>
      </w:r>
      <w:proofErr w:type="spellEnd"/>
      <w:r w:rsidRPr="00DF0ED0">
        <w:rPr>
          <w:color w:val="000000" w:themeColor="text1"/>
        </w:rPr>
        <w:t xml:space="preserve"> (n</w:t>
      </w:r>
      <w:r w:rsidR="00822E73" w:rsidRPr="00DF0ED0">
        <w:rPr>
          <w:color w:val="000000" w:themeColor="text1"/>
        </w:rPr>
        <w:t xml:space="preserve"> 11</w:t>
      </w:r>
      <w:r w:rsidR="00DF0ED0">
        <w:rPr>
          <w:color w:val="000000" w:themeColor="text1"/>
        </w:rPr>
        <w:t>4</w:t>
      </w:r>
      <w:r w:rsidRPr="00DF0ED0">
        <w:rPr>
          <w:color w:val="000000" w:themeColor="text1"/>
        </w:rPr>
        <w:t>)</w:t>
      </w:r>
      <w:r w:rsidR="00E14D8C" w:rsidRPr="00DF0ED0">
        <w:rPr>
          <w:color w:val="000000" w:themeColor="text1"/>
        </w:rPr>
        <w:t>.</w:t>
      </w:r>
    </w:p>
  </w:footnote>
  <w:footnote w:id="123">
    <w:p w14:paraId="7BF60A6B" w14:textId="69909D1D"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001B63F7" w:rsidRPr="00DF0ED0">
        <w:rPr>
          <w:color w:val="000000" w:themeColor="text1"/>
          <w:lang w:val="en-US"/>
        </w:rPr>
        <w:t>Sona</w:t>
      </w:r>
      <w:proofErr w:type="spellEnd"/>
      <w:r w:rsidR="001B63F7" w:rsidRPr="00DF0ED0">
        <w:rPr>
          <w:color w:val="000000" w:themeColor="text1"/>
          <w:lang w:val="en-US"/>
        </w:rPr>
        <w:t xml:space="preserve"> Devi (n</w:t>
      </w:r>
      <w:r w:rsidR="00822E73" w:rsidRPr="00DF0ED0">
        <w:rPr>
          <w:color w:val="000000" w:themeColor="text1"/>
          <w:lang w:val="en-US"/>
        </w:rPr>
        <w:t xml:space="preserve"> 11</w:t>
      </w:r>
      <w:r w:rsidR="00DF0ED0">
        <w:rPr>
          <w:color w:val="000000" w:themeColor="text1"/>
          <w:lang w:val="en-US"/>
        </w:rPr>
        <w:t>4</w:t>
      </w:r>
      <w:r w:rsidR="001B63F7" w:rsidRPr="00DF0ED0">
        <w:rPr>
          <w:color w:val="000000" w:themeColor="text1"/>
          <w:lang w:val="en-US"/>
        </w:rPr>
        <w:t>) [8]</w:t>
      </w:r>
      <w:r w:rsidRPr="00DF0ED0">
        <w:rPr>
          <w:color w:val="000000" w:themeColor="text1"/>
          <w:lang w:val="en-US"/>
        </w:rPr>
        <w:t xml:space="preserve">. </w:t>
      </w:r>
    </w:p>
  </w:footnote>
  <w:footnote w:id="124">
    <w:p w14:paraId="2B3E9FD2" w14:textId="1113A81B"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w:t>
      </w:r>
    </w:p>
  </w:footnote>
  <w:footnote w:id="125">
    <w:p w14:paraId="3173BC61" w14:textId="17B93576"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Ibid, referring to the decision of the House of Lords in </w:t>
      </w:r>
      <w:r w:rsidRPr="00DF0ED0">
        <w:rPr>
          <w:i/>
          <w:color w:val="000000" w:themeColor="text1"/>
        </w:rPr>
        <w:t xml:space="preserve">Harding v </w:t>
      </w:r>
      <w:proofErr w:type="spellStart"/>
      <w:r w:rsidRPr="00DF0ED0">
        <w:rPr>
          <w:i/>
          <w:color w:val="000000" w:themeColor="text1"/>
        </w:rPr>
        <w:t>Wealands</w:t>
      </w:r>
      <w:proofErr w:type="spellEnd"/>
      <w:r w:rsidRPr="00DF0ED0">
        <w:rPr>
          <w:i/>
          <w:color w:val="000000" w:themeColor="text1"/>
        </w:rPr>
        <w:t>,</w:t>
      </w:r>
      <w:r w:rsidRPr="00DF0ED0">
        <w:rPr>
          <w:color w:val="000000" w:themeColor="text1"/>
          <w:szCs w:val="16"/>
          <w:lang w:val="en-US"/>
        </w:rPr>
        <w:t xml:space="preserve"> [2006] UK HL 32.</w:t>
      </w:r>
    </w:p>
  </w:footnote>
  <w:footnote w:id="126">
    <w:p w14:paraId="5F40F861" w14:textId="10D7C150"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referring to the decision of the American court in </w:t>
      </w:r>
      <w:r w:rsidRPr="00DF0ED0">
        <w:rPr>
          <w:i/>
          <w:color w:val="000000" w:themeColor="text1"/>
        </w:rPr>
        <w:t xml:space="preserve">Babcock v Jackson, </w:t>
      </w:r>
      <w:r w:rsidRPr="00DF0ED0">
        <w:rPr>
          <w:color w:val="000000" w:themeColor="text1"/>
          <w:szCs w:val="16"/>
          <w:lang w:val="en-US"/>
        </w:rPr>
        <w:t xml:space="preserve">[1963] 2 </w:t>
      </w:r>
      <w:proofErr w:type="spellStart"/>
      <w:proofErr w:type="gramStart"/>
      <w:r w:rsidRPr="00DF0ED0">
        <w:rPr>
          <w:color w:val="000000" w:themeColor="text1"/>
          <w:szCs w:val="16"/>
          <w:lang w:val="en-US"/>
        </w:rPr>
        <w:t>Ll.R</w:t>
      </w:r>
      <w:proofErr w:type="spellEnd"/>
      <w:proofErr w:type="gramEnd"/>
      <w:r w:rsidRPr="00DF0ED0">
        <w:rPr>
          <w:color w:val="000000" w:themeColor="text1"/>
          <w:szCs w:val="16"/>
          <w:lang w:val="en-US"/>
        </w:rPr>
        <w:t xml:space="preserve"> 286.</w:t>
      </w:r>
    </w:p>
  </w:footnote>
  <w:footnote w:id="127">
    <w:p w14:paraId="57AAAB8E" w14:textId="440B3BCD"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w:t>
      </w:r>
    </w:p>
  </w:footnote>
  <w:footnote w:id="128">
    <w:p w14:paraId="18520DB8" w14:textId="77777777" w:rsidR="009515E4" w:rsidRPr="00DF0ED0" w:rsidRDefault="009515E4" w:rsidP="00E14D8C">
      <w:pPr>
        <w:pStyle w:val="FootnoteText"/>
        <w:jc w:val="both"/>
        <w:rPr>
          <w:color w:val="000000" w:themeColor="text1"/>
          <w:szCs w:val="16"/>
          <w:lang w:val="en-US"/>
        </w:rPr>
      </w:pPr>
      <w:r w:rsidRPr="00DF0ED0">
        <w:rPr>
          <w:rStyle w:val="FootnoteReference"/>
          <w:color w:val="000000" w:themeColor="text1"/>
          <w:szCs w:val="16"/>
        </w:rPr>
        <w:footnoteRef/>
      </w:r>
      <w:r w:rsidRPr="00DF0ED0">
        <w:rPr>
          <w:color w:val="000000" w:themeColor="text1"/>
          <w:szCs w:val="16"/>
        </w:rPr>
        <w:t xml:space="preserve"> </w:t>
      </w:r>
      <w:r w:rsidRPr="00DF0ED0">
        <w:rPr>
          <w:color w:val="000000" w:themeColor="text1"/>
          <w:szCs w:val="16"/>
          <w:lang w:val="en-US"/>
        </w:rPr>
        <w:t>Act No 21 of 2000.</w:t>
      </w:r>
    </w:p>
  </w:footnote>
  <w:footnote w:id="129">
    <w:p w14:paraId="0D081C59" w14:textId="77777777"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 Secs 140 and 163A of the MVA.</w:t>
      </w:r>
    </w:p>
  </w:footnote>
  <w:footnote w:id="130">
    <w:p w14:paraId="0B342C85" w14:textId="0FB02B47"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the decision of </w:t>
      </w:r>
      <w:r w:rsidRPr="00DF0ED0">
        <w:rPr>
          <w:color w:val="000000" w:themeColor="text1"/>
          <w:lang w:val="en-US"/>
        </w:rPr>
        <w:t xml:space="preserve">the Supreme Court in </w:t>
      </w:r>
      <w:proofErr w:type="spellStart"/>
      <w:r w:rsidRPr="00DF0ED0">
        <w:rPr>
          <w:i/>
          <w:color w:val="000000" w:themeColor="text1"/>
        </w:rPr>
        <w:t>Kaushnuma</w:t>
      </w:r>
      <w:proofErr w:type="spellEnd"/>
      <w:r w:rsidRPr="00DF0ED0">
        <w:rPr>
          <w:i/>
          <w:color w:val="000000" w:themeColor="text1"/>
        </w:rPr>
        <w:t xml:space="preserve"> Begum and </w:t>
      </w:r>
      <w:proofErr w:type="spellStart"/>
      <w:r w:rsidRPr="00DF0ED0">
        <w:rPr>
          <w:i/>
          <w:color w:val="000000" w:themeColor="text1"/>
        </w:rPr>
        <w:t>Ors</w:t>
      </w:r>
      <w:proofErr w:type="spellEnd"/>
      <w:r w:rsidRPr="00DF0ED0">
        <w:rPr>
          <w:i/>
          <w:color w:val="000000" w:themeColor="text1"/>
        </w:rPr>
        <w:t xml:space="preserve"> v The New India Assurance Co. Ltd, </w:t>
      </w:r>
      <w:r w:rsidRPr="00DF0ED0">
        <w:rPr>
          <w:color w:val="000000" w:themeColor="text1"/>
          <w:szCs w:val="16"/>
          <w:lang w:val="en-US"/>
        </w:rPr>
        <w:t>AIR 2001 SC 485</w:t>
      </w:r>
      <w:r w:rsidR="00124A71" w:rsidRPr="00DF0ED0">
        <w:rPr>
          <w:color w:val="000000" w:themeColor="text1"/>
          <w:szCs w:val="16"/>
          <w:lang w:val="en-US"/>
        </w:rPr>
        <w:t>.</w:t>
      </w:r>
    </w:p>
  </w:footnote>
  <w:footnote w:id="131">
    <w:p w14:paraId="6B9CA7E8" w14:textId="77777777"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 Secs. 140 and 163 of the MVA.</w:t>
      </w:r>
    </w:p>
  </w:footnote>
  <w:footnote w:id="132">
    <w:p w14:paraId="7BBDD418" w14:textId="6CF18D10"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w:t>
      </w:r>
      <w:proofErr w:type="spellStart"/>
      <w:r w:rsidRPr="00DF0ED0">
        <w:rPr>
          <w:i/>
          <w:color w:val="000000" w:themeColor="text1"/>
        </w:rPr>
        <w:t>Kaushnuma</w:t>
      </w:r>
      <w:proofErr w:type="spellEnd"/>
      <w:r w:rsidRPr="00DF0ED0">
        <w:rPr>
          <w:i/>
          <w:color w:val="000000" w:themeColor="text1"/>
        </w:rPr>
        <w:t xml:space="preserve"> </w:t>
      </w:r>
      <w:r w:rsidR="00557F91" w:rsidRPr="00DF0ED0">
        <w:rPr>
          <w:color w:val="000000" w:themeColor="text1"/>
        </w:rPr>
        <w:t>(n</w:t>
      </w:r>
      <w:r w:rsidR="00A17D17" w:rsidRPr="00DF0ED0">
        <w:rPr>
          <w:color w:val="000000" w:themeColor="text1"/>
        </w:rPr>
        <w:t xml:space="preserve"> 1</w:t>
      </w:r>
      <w:r w:rsidR="00DF0ED0">
        <w:rPr>
          <w:color w:val="000000" w:themeColor="text1"/>
        </w:rPr>
        <w:t>30</w:t>
      </w:r>
      <w:r w:rsidR="00557F91" w:rsidRPr="00DF0ED0">
        <w:rPr>
          <w:color w:val="000000" w:themeColor="text1"/>
        </w:rPr>
        <w:t>)</w:t>
      </w:r>
      <w:r w:rsidRPr="00DF0ED0">
        <w:rPr>
          <w:color w:val="000000" w:themeColor="text1"/>
          <w:szCs w:val="16"/>
        </w:rPr>
        <w:t>.</w:t>
      </w:r>
    </w:p>
  </w:footnote>
  <w:footnote w:id="133">
    <w:p w14:paraId="73E254F5" w14:textId="3E8ED2BA"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w:t>
      </w:r>
      <w:r w:rsidR="00A17D17" w:rsidRPr="00DF0ED0">
        <w:rPr>
          <w:color w:val="000000" w:themeColor="text1"/>
        </w:rPr>
        <w:t>Section 3.4.2.2 below.</w:t>
      </w:r>
      <w:r w:rsidRPr="00DF0ED0">
        <w:rPr>
          <w:color w:val="000000" w:themeColor="text1"/>
        </w:rPr>
        <w:t xml:space="preserve"> </w:t>
      </w:r>
    </w:p>
  </w:footnote>
  <w:footnote w:id="134">
    <w:p w14:paraId="1C35B2ED" w14:textId="03A2C9BA" w:rsidR="0064693B" w:rsidRPr="00DF0ED0" w:rsidRDefault="0064693B"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rPr>
        <w:t xml:space="preserve">See, </w:t>
      </w:r>
      <w:r w:rsidRPr="00DF0ED0">
        <w:rPr>
          <w:color w:val="000000" w:themeColor="text1"/>
          <w:szCs w:val="16"/>
          <w:lang w:val="en-US"/>
        </w:rPr>
        <w:t xml:space="preserve">the decision of the Madhya Pradesh High Court in </w:t>
      </w:r>
      <w:proofErr w:type="spellStart"/>
      <w:r w:rsidRPr="00DF0ED0">
        <w:rPr>
          <w:i/>
          <w:color w:val="000000" w:themeColor="text1"/>
          <w:szCs w:val="16"/>
          <w:lang w:val="en-US"/>
        </w:rPr>
        <w:t>Runabai</w:t>
      </w:r>
      <w:proofErr w:type="spellEnd"/>
      <w:r w:rsidRPr="00DF0ED0">
        <w:rPr>
          <w:i/>
          <w:color w:val="000000" w:themeColor="text1"/>
          <w:szCs w:val="16"/>
          <w:lang w:val="en-US"/>
        </w:rPr>
        <w:t xml:space="preserve"> v </w:t>
      </w:r>
      <w:proofErr w:type="spellStart"/>
      <w:r w:rsidRPr="00DF0ED0">
        <w:rPr>
          <w:i/>
          <w:color w:val="000000" w:themeColor="text1"/>
          <w:szCs w:val="16"/>
          <w:lang w:val="en-US"/>
        </w:rPr>
        <w:t>Mannala</w:t>
      </w:r>
      <w:proofErr w:type="spellEnd"/>
      <w:r w:rsidRPr="00DF0ED0">
        <w:rPr>
          <w:color w:val="000000" w:themeColor="text1"/>
          <w:szCs w:val="16"/>
          <w:lang w:val="en-US"/>
        </w:rPr>
        <w:t xml:space="preserve">, 2003 ACJ 1493 (MP). Also see, Kannan and </w:t>
      </w:r>
      <w:proofErr w:type="spellStart"/>
      <w:r w:rsidRPr="00DF0ED0">
        <w:rPr>
          <w:color w:val="000000" w:themeColor="text1"/>
          <w:szCs w:val="16"/>
          <w:lang w:val="en-US"/>
        </w:rPr>
        <w:t>Vijayaraghavan</w:t>
      </w:r>
      <w:proofErr w:type="spellEnd"/>
      <w:r w:rsidRPr="00DF0ED0">
        <w:rPr>
          <w:color w:val="000000" w:themeColor="text1"/>
          <w:szCs w:val="16"/>
          <w:lang w:val="en-US"/>
        </w:rPr>
        <w:t xml:space="preserve">, </w:t>
      </w:r>
      <w:r w:rsidRPr="00DF0ED0">
        <w:rPr>
          <w:i/>
          <w:color w:val="000000" w:themeColor="text1"/>
          <w:szCs w:val="16"/>
          <w:lang w:val="en-US"/>
        </w:rPr>
        <w:t>Motor Vehicles Laws,</w:t>
      </w:r>
      <w:r w:rsidRPr="00DF0ED0">
        <w:rPr>
          <w:color w:val="000000" w:themeColor="text1"/>
          <w:szCs w:val="16"/>
          <w:lang w:val="en-US"/>
        </w:rPr>
        <w:t xml:space="preserve"> 16</w:t>
      </w:r>
      <w:r w:rsidRPr="00DF0ED0">
        <w:rPr>
          <w:color w:val="000000" w:themeColor="text1"/>
          <w:szCs w:val="16"/>
          <w:vertAlign w:val="superscript"/>
          <w:lang w:val="en-US"/>
        </w:rPr>
        <w:t>th</w:t>
      </w:r>
      <w:r w:rsidRPr="00DF0ED0">
        <w:rPr>
          <w:color w:val="000000" w:themeColor="text1"/>
          <w:szCs w:val="16"/>
          <w:lang w:val="en-US"/>
        </w:rPr>
        <w:t xml:space="preserve"> </w:t>
      </w:r>
      <w:proofErr w:type="spellStart"/>
      <w:r w:rsidRPr="00DF0ED0">
        <w:rPr>
          <w:color w:val="000000" w:themeColor="text1"/>
          <w:szCs w:val="16"/>
          <w:lang w:val="en-US"/>
        </w:rPr>
        <w:t>edn</w:t>
      </w:r>
      <w:proofErr w:type="spellEnd"/>
      <w:r w:rsidRPr="00DF0ED0">
        <w:rPr>
          <w:color w:val="000000" w:themeColor="text1"/>
          <w:szCs w:val="16"/>
          <w:lang w:val="en-US"/>
        </w:rPr>
        <w:t xml:space="preserve"> LexisNexis Publication, Chapter X, </w:t>
      </w:r>
      <w:r w:rsidR="00557F91" w:rsidRPr="00DF0ED0">
        <w:rPr>
          <w:color w:val="000000" w:themeColor="text1"/>
          <w:szCs w:val="16"/>
          <w:lang w:val="en-US"/>
        </w:rPr>
        <w:t>[</w:t>
      </w:r>
      <w:r w:rsidRPr="00DF0ED0">
        <w:rPr>
          <w:color w:val="000000" w:themeColor="text1"/>
          <w:szCs w:val="16"/>
          <w:lang w:val="en-US"/>
        </w:rPr>
        <w:t>140.3(b)</w:t>
      </w:r>
      <w:r w:rsidR="00557F91" w:rsidRPr="00DF0ED0">
        <w:rPr>
          <w:color w:val="000000" w:themeColor="text1"/>
          <w:szCs w:val="16"/>
          <w:lang w:val="en-US"/>
        </w:rPr>
        <w:t>]</w:t>
      </w:r>
      <w:r w:rsidRPr="00DF0ED0">
        <w:rPr>
          <w:color w:val="000000" w:themeColor="text1"/>
          <w:szCs w:val="16"/>
          <w:lang w:val="en-US"/>
        </w:rPr>
        <w:t>.</w:t>
      </w:r>
    </w:p>
  </w:footnote>
  <w:footnote w:id="135">
    <w:p w14:paraId="446B1FAA" w14:textId="07ECAB91" w:rsidR="009515E4" w:rsidRPr="00DF0ED0" w:rsidRDefault="009515E4" w:rsidP="00E14D8C">
      <w:pPr>
        <w:pStyle w:val="FootnoteText"/>
        <w:jc w:val="both"/>
        <w:rPr>
          <w:color w:val="000000" w:themeColor="text1"/>
          <w:szCs w:val="16"/>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rPr>
        <w:t xml:space="preserve">See, </w:t>
      </w:r>
      <w:r w:rsidRPr="00DF0ED0">
        <w:rPr>
          <w:color w:val="000000" w:themeColor="text1"/>
          <w:szCs w:val="16"/>
          <w:lang w:val="en-US"/>
        </w:rPr>
        <w:t xml:space="preserve">Kannan and </w:t>
      </w:r>
      <w:proofErr w:type="spellStart"/>
      <w:r w:rsidRPr="00DF0ED0">
        <w:rPr>
          <w:color w:val="000000" w:themeColor="text1"/>
          <w:szCs w:val="16"/>
          <w:lang w:val="en-US"/>
        </w:rPr>
        <w:t>Vijayaraghavan</w:t>
      </w:r>
      <w:proofErr w:type="spellEnd"/>
      <w:r w:rsidRPr="00DF0ED0">
        <w:rPr>
          <w:color w:val="000000" w:themeColor="text1"/>
          <w:szCs w:val="16"/>
          <w:lang w:val="en-US"/>
        </w:rPr>
        <w:t xml:space="preserve">, </w:t>
      </w:r>
      <w:r w:rsidR="00557F91" w:rsidRPr="00DF0ED0">
        <w:rPr>
          <w:color w:val="000000" w:themeColor="text1"/>
          <w:szCs w:val="16"/>
          <w:lang w:val="en-US"/>
        </w:rPr>
        <w:t>ibid,</w:t>
      </w:r>
      <w:r w:rsidRPr="00DF0ED0">
        <w:rPr>
          <w:color w:val="000000" w:themeColor="text1"/>
          <w:szCs w:val="16"/>
          <w:lang w:val="en-US"/>
        </w:rPr>
        <w:t xml:space="preserve"> </w:t>
      </w:r>
      <w:r w:rsidR="00557F91" w:rsidRPr="00DF0ED0">
        <w:rPr>
          <w:color w:val="000000" w:themeColor="text1"/>
          <w:szCs w:val="16"/>
          <w:lang w:val="en-US"/>
        </w:rPr>
        <w:t>[</w:t>
      </w:r>
      <w:r w:rsidRPr="00DF0ED0">
        <w:rPr>
          <w:color w:val="000000" w:themeColor="text1"/>
          <w:szCs w:val="16"/>
          <w:lang w:val="en-US"/>
        </w:rPr>
        <w:t>140.3(a)</w:t>
      </w:r>
      <w:r w:rsidR="00557F91" w:rsidRPr="00DF0ED0">
        <w:rPr>
          <w:color w:val="000000" w:themeColor="text1"/>
          <w:szCs w:val="16"/>
          <w:lang w:val="en-US"/>
        </w:rPr>
        <w:t>]</w:t>
      </w:r>
      <w:r w:rsidRPr="00DF0ED0">
        <w:rPr>
          <w:color w:val="000000" w:themeColor="text1"/>
          <w:szCs w:val="16"/>
          <w:lang w:val="en-US"/>
        </w:rPr>
        <w:t xml:space="preserve">, referring to the decisions of </w:t>
      </w:r>
      <w:proofErr w:type="spellStart"/>
      <w:r w:rsidRPr="00DF0ED0">
        <w:rPr>
          <w:i/>
          <w:color w:val="000000" w:themeColor="text1"/>
          <w:szCs w:val="16"/>
          <w:lang w:val="en-US"/>
        </w:rPr>
        <w:t>Kanhel</w:t>
      </w:r>
      <w:proofErr w:type="spellEnd"/>
      <w:r w:rsidRPr="00DF0ED0">
        <w:rPr>
          <w:i/>
          <w:color w:val="000000" w:themeColor="text1"/>
          <w:szCs w:val="16"/>
          <w:lang w:val="en-US"/>
        </w:rPr>
        <w:t xml:space="preserve"> Rana v Gangadhar Swain</w:t>
      </w:r>
      <w:r w:rsidRPr="00DF0ED0">
        <w:rPr>
          <w:color w:val="000000" w:themeColor="text1"/>
          <w:szCs w:val="16"/>
          <w:lang w:val="en-US"/>
        </w:rPr>
        <w:t xml:space="preserve">, 1997 AIHC 207 (Ori); </w:t>
      </w:r>
      <w:r w:rsidRPr="00DF0ED0">
        <w:rPr>
          <w:i/>
          <w:color w:val="000000" w:themeColor="text1"/>
          <w:szCs w:val="16"/>
          <w:lang w:val="en-US"/>
        </w:rPr>
        <w:t xml:space="preserve">RSRTC v </w:t>
      </w:r>
      <w:proofErr w:type="spellStart"/>
      <w:r w:rsidRPr="00DF0ED0">
        <w:rPr>
          <w:i/>
          <w:color w:val="000000" w:themeColor="text1"/>
          <w:szCs w:val="16"/>
          <w:lang w:val="en-US"/>
        </w:rPr>
        <w:t>Chandi</w:t>
      </w:r>
      <w:proofErr w:type="spellEnd"/>
      <w:r w:rsidRPr="00DF0ED0">
        <w:rPr>
          <w:i/>
          <w:color w:val="000000" w:themeColor="text1"/>
          <w:szCs w:val="16"/>
          <w:lang w:val="en-US"/>
        </w:rPr>
        <w:t xml:space="preserve"> Bai</w:t>
      </w:r>
      <w:r w:rsidRPr="00DF0ED0">
        <w:rPr>
          <w:color w:val="000000" w:themeColor="text1"/>
          <w:szCs w:val="16"/>
          <w:lang w:val="en-US"/>
        </w:rPr>
        <w:t xml:space="preserve">, [1989] 2 </w:t>
      </w:r>
      <w:proofErr w:type="spellStart"/>
      <w:r w:rsidRPr="00DF0ED0">
        <w:rPr>
          <w:color w:val="000000" w:themeColor="text1"/>
          <w:szCs w:val="16"/>
          <w:lang w:val="en-US"/>
        </w:rPr>
        <w:t>RajLW</w:t>
      </w:r>
      <w:proofErr w:type="spellEnd"/>
      <w:r w:rsidRPr="00DF0ED0">
        <w:rPr>
          <w:color w:val="000000" w:themeColor="text1"/>
          <w:szCs w:val="16"/>
          <w:lang w:val="en-US"/>
        </w:rPr>
        <w:t xml:space="preserve"> 427; </w:t>
      </w:r>
      <w:proofErr w:type="spellStart"/>
      <w:r w:rsidRPr="00DF0ED0">
        <w:rPr>
          <w:i/>
          <w:color w:val="000000" w:themeColor="text1"/>
          <w:szCs w:val="16"/>
          <w:lang w:val="en-US"/>
        </w:rPr>
        <w:t>Maqbul</w:t>
      </w:r>
      <w:proofErr w:type="spellEnd"/>
      <w:r w:rsidRPr="00DF0ED0">
        <w:rPr>
          <w:i/>
          <w:color w:val="000000" w:themeColor="text1"/>
          <w:szCs w:val="16"/>
          <w:lang w:val="en-US"/>
        </w:rPr>
        <w:t xml:space="preserve"> Hussain </w:t>
      </w:r>
      <w:proofErr w:type="spellStart"/>
      <w:r w:rsidRPr="00DF0ED0">
        <w:rPr>
          <w:i/>
          <w:color w:val="000000" w:themeColor="text1"/>
          <w:szCs w:val="16"/>
          <w:lang w:val="en-US"/>
        </w:rPr>
        <w:t>Kitabullah</w:t>
      </w:r>
      <w:proofErr w:type="spellEnd"/>
      <w:r w:rsidRPr="00DF0ED0">
        <w:rPr>
          <w:i/>
          <w:color w:val="000000" w:themeColor="text1"/>
          <w:szCs w:val="16"/>
          <w:lang w:val="en-US"/>
        </w:rPr>
        <w:t xml:space="preserve"> v </w:t>
      </w:r>
      <w:proofErr w:type="spellStart"/>
      <w:r w:rsidRPr="00DF0ED0">
        <w:rPr>
          <w:i/>
          <w:color w:val="000000" w:themeColor="text1"/>
          <w:szCs w:val="16"/>
          <w:lang w:val="en-US"/>
        </w:rPr>
        <w:t>Kulvinder</w:t>
      </w:r>
      <w:proofErr w:type="spellEnd"/>
      <w:r w:rsidRPr="00DF0ED0">
        <w:rPr>
          <w:color w:val="000000" w:themeColor="text1"/>
          <w:szCs w:val="16"/>
          <w:lang w:val="en-US"/>
        </w:rPr>
        <w:t>, 1995 AIHC 24 (</w:t>
      </w:r>
      <w:proofErr w:type="spellStart"/>
      <w:r w:rsidRPr="00DF0ED0">
        <w:rPr>
          <w:color w:val="000000" w:themeColor="text1"/>
          <w:szCs w:val="16"/>
          <w:lang w:val="en-US"/>
        </w:rPr>
        <w:t>Bom</w:t>
      </w:r>
      <w:proofErr w:type="spellEnd"/>
      <w:r w:rsidRPr="00DF0ED0">
        <w:rPr>
          <w:color w:val="000000" w:themeColor="text1"/>
          <w:szCs w:val="16"/>
          <w:lang w:val="en-US"/>
        </w:rPr>
        <w:t xml:space="preserve">); and </w:t>
      </w:r>
      <w:proofErr w:type="spellStart"/>
      <w:r w:rsidRPr="00DF0ED0">
        <w:rPr>
          <w:i/>
          <w:color w:val="000000" w:themeColor="text1"/>
          <w:szCs w:val="16"/>
          <w:lang w:val="en-US"/>
        </w:rPr>
        <w:t>Babu</w:t>
      </w:r>
      <w:proofErr w:type="spellEnd"/>
      <w:r w:rsidRPr="00DF0ED0">
        <w:rPr>
          <w:i/>
          <w:color w:val="000000" w:themeColor="text1"/>
          <w:szCs w:val="16"/>
          <w:lang w:val="en-US"/>
        </w:rPr>
        <w:t xml:space="preserve"> v </w:t>
      </w:r>
      <w:proofErr w:type="spellStart"/>
      <w:r w:rsidRPr="00DF0ED0">
        <w:rPr>
          <w:i/>
          <w:color w:val="000000" w:themeColor="text1"/>
          <w:szCs w:val="16"/>
          <w:lang w:val="en-US"/>
        </w:rPr>
        <w:t>Remesan</w:t>
      </w:r>
      <w:proofErr w:type="spellEnd"/>
      <w:r w:rsidRPr="00DF0ED0">
        <w:rPr>
          <w:color w:val="000000" w:themeColor="text1"/>
          <w:szCs w:val="16"/>
          <w:lang w:val="en-US"/>
        </w:rPr>
        <w:t>, AIR 1996 Ker 95.</w:t>
      </w:r>
    </w:p>
  </w:footnote>
  <w:footnote w:id="136">
    <w:p w14:paraId="5CAA9F10" w14:textId="77777777"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rPr>
        <w:t xml:space="preserve">See, </w:t>
      </w:r>
      <w:r w:rsidRPr="00DF0ED0">
        <w:rPr>
          <w:color w:val="000000" w:themeColor="text1"/>
          <w:szCs w:val="16"/>
          <w:lang w:val="en-US"/>
        </w:rPr>
        <w:t xml:space="preserve">the decision of the Bombay High Court in </w:t>
      </w:r>
      <w:r w:rsidRPr="00DF0ED0">
        <w:rPr>
          <w:i/>
          <w:color w:val="000000" w:themeColor="text1"/>
          <w:szCs w:val="16"/>
          <w:lang w:val="en-US"/>
        </w:rPr>
        <w:t xml:space="preserve">Shivani </w:t>
      </w:r>
      <w:proofErr w:type="spellStart"/>
      <w:r w:rsidRPr="00DF0ED0">
        <w:rPr>
          <w:i/>
          <w:color w:val="000000" w:themeColor="text1"/>
          <w:szCs w:val="16"/>
          <w:lang w:val="en-US"/>
        </w:rPr>
        <w:t>Dayanu</w:t>
      </w:r>
      <w:proofErr w:type="spellEnd"/>
      <w:r w:rsidRPr="00DF0ED0">
        <w:rPr>
          <w:i/>
          <w:color w:val="000000" w:themeColor="text1"/>
          <w:szCs w:val="16"/>
          <w:lang w:val="en-US"/>
        </w:rPr>
        <w:t xml:space="preserve"> </w:t>
      </w:r>
      <w:proofErr w:type="spellStart"/>
      <w:r w:rsidRPr="00DF0ED0">
        <w:rPr>
          <w:i/>
          <w:color w:val="000000" w:themeColor="text1"/>
          <w:szCs w:val="16"/>
          <w:lang w:val="en-US"/>
        </w:rPr>
        <w:t>Patil</w:t>
      </w:r>
      <w:proofErr w:type="spellEnd"/>
      <w:r w:rsidRPr="00DF0ED0">
        <w:rPr>
          <w:i/>
          <w:color w:val="000000" w:themeColor="text1"/>
          <w:szCs w:val="16"/>
          <w:lang w:val="en-US"/>
        </w:rPr>
        <w:t xml:space="preserve"> v </w:t>
      </w:r>
      <w:proofErr w:type="spellStart"/>
      <w:r w:rsidRPr="00DF0ED0">
        <w:rPr>
          <w:i/>
          <w:color w:val="000000" w:themeColor="text1"/>
          <w:szCs w:val="16"/>
          <w:lang w:val="en-US"/>
        </w:rPr>
        <w:t>Vatschala</w:t>
      </w:r>
      <w:proofErr w:type="spellEnd"/>
      <w:r w:rsidRPr="00DF0ED0">
        <w:rPr>
          <w:i/>
          <w:color w:val="000000" w:themeColor="text1"/>
          <w:szCs w:val="16"/>
          <w:lang w:val="en-US"/>
        </w:rPr>
        <w:t xml:space="preserve"> </w:t>
      </w:r>
      <w:proofErr w:type="spellStart"/>
      <w:r w:rsidRPr="00DF0ED0">
        <w:rPr>
          <w:i/>
          <w:color w:val="000000" w:themeColor="text1"/>
          <w:szCs w:val="16"/>
          <w:lang w:val="en-US"/>
        </w:rPr>
        <w:t>Uttam</w:t>
      </w:r>
      <w:proofErr w:type="spellEnd"/>
      <w:r w:rsidRPr="00DF0ED0">
        <w:rPr>
          <w:i/>
          <w:color w:val="000000" w:themeColor="text1"/>
          <w:szCs w:val="16"/>
          <w:lang w:val="en-US"/>
        </w:rPr>
        <w:t xml:space="preserve"> More</w:t>
      </w:r>
      <w:r w:rsidRPr="00DF0ED0">
        <w:rPr>
          <w:color w:val="000000" w:themeColor="text1"/>
          <w:szCs w:val="16"/>
          <w:lang w:val="en-US"/>
        </w:rPr>
        <w:t xml:space="preserve">, AIR 1991 </w:t>
      </w:r>
      <w:proofErr w:type="spellStart"/>
      <w:r w:rsidRPr="00DF0ED0">
        <w:rPr>
          <w:color w:val="000000" w:themeColor="text1"/>
          <w:szCs w:val="16"/>
          <w:lang w:val="en-US"/>
        </w:rPr>
        <w:t>Bom</w:t>
      </w:r>
      <w:proofErr w:type="spellEnd"/>
      <w:r w:rsidRPr="00DF0ED0">
        <w:rPr>
          <w:color w:val="000000" w:themeColor="text1"/>
          <w:szCs w:val="16"/>
          <w:lang w:val="en-US"/>
        </w:rPr>
        <w:t xml:space="preserve"> 436.</w:t>
      </w:r>
    </w:p>
  </w:footnote>
  <w:footnote w:id="137">
    <w:p w14:paraId="314D18A2" w14:textId="36BB70E9"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 Sec. 140 of the MVA.</w:t>
      </w:r>
      <w:r w:rsidR="003D755B" w:rsidRPr="00DF0ED0">
        <w:rPr>
          <w:color w:val="000000" w:themeColor="text1"/>
          <w:lang w:val="en-US"/>
        </w:rPr>
        <w:t xml:space="preserve"> </w:t>
      </w:r>
      <w:proofErr w:type="spellStart"/>
      <w:r w:rsidR="003D755B" w:rsidRPr="00DF0ED0">
        <w:rPr>
          <w:color w:val="000000" w:themeColor="text1"/>
          <w:lang w:val="en-US"/>
        </w:rPr>
        <w:t>Cf</w:t>
      </w:r>
      <w:proofErr w:type="spellEnd"/>
      <w:r w:rsidR="003D755B" w:rsidRPr="00DF0ED0">
        <w:rPr>
          <w:color w:val="000000" w:themeColor="text1"/>
          <w:lang w:val="en-US"/>
        </w:rPr>
        <w:t xml:space="preserve"> Sec. 161 of the MVA.</w:t>
      </w:r>
    </w:p>
  </w:footnote>
  <w:footnote w:id="138">
    <w:p w14:paraId="595B43FC" w14:textId="26320579" w:rsidR="009515E4" w:rsidRPr="00DF0ED0" w:rsidRDefault="009515E4" w:rsidP="00E14D8C">
      <w:pPr>
        <w:pStyle w:val="FootnoteText"/>
        <w:jc w:val="both"/>
        <w:rPr>
          <w:color w:val="000000" w:themeColor="text1"/>
          <w:szCs w:val="16"/>
          <w:lang w:val="en-US"/>
        </w:rPr>
      </w:pPr>
      <w:r w:rsidRPr="00DF0ED0">
        <w:rPr>
          <w:rStyle w:val="FootnoteReference"/>
          <w:color w:val="000000" w:themeColor="text1"/>
          <w:szCs w:val="16"/>
        </w:rPr>
        <w:footnoteRef/>
      </w:r>
      <w:r w:rsidRPr="00DF0ED0">
        <w:rPr>
          <w:color w:val="000000" w:themeColor="text1"/>
          <w:szCs w:val="16"/>
        </w:rPr>
        <w:t xml:space="preserve"> </w:t>
      </w:r>
      <w:r w:rsidR="00557F91" w:rsidRPr="00DF0ED0">
        <w:rPr>
          <w:color w:val="000000" w:themeColor="text1"/>
          <w:szCs w:val="16"/>
          <w:lang w:val="en-US"/>
        </w:rPr>
        <w:t>Ibid, Sec.</w:t>
      </w:r>
      <w:r w:rsidRPr="00DF0ED0">
        <w:rPr>
          <w:color w:val="000000" w:themeColor="text1"/>
          <w:szCs w:val="16"/>
          <w:lang w:val="en-US"/>
        </w:rPr>
        <w:t xml:space="preserve"> 142 of the MVA.</w:t>
      </w:r>
    </w:p>
  </w:footnote>
  <w:footnote w:id="139">
    <w:p w14:paraId="549ADD16" w14:textId="4936FD76"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lang w:val="en-US"/>
        </w:rPr>
        <w:t xml:space="preserve">See in this respect, Kannan and </w:t>
      </w:r>
      <w:proofErr w:type="spellStart"/>
      <w:r w:rsidRPr="00DF0ED0">
        <w:rPr>
          <w:color w:val="000000" w:themeColor="text1"/>
          <w:szCs w:val="16"/>
          <w:lang w:val="en-US"/>
        </w:rPr>
        <w:t>Vijayaraghavan</w:t>
      </w:r>
      <w:proofErr w:type="spellEnd"/>
      <w:r w:rsidRPr="00DF0ED0">
        <w:rPr>
          <w:color w:val="000000" w:themeColor="text1"/>
          <w:szCs w:val="16"/>
          <w:lang w:val="en-US"/>
        </w:rPr>
        <w:t xml:space="preserve">, </w:t>
      </w:r>
      <w:r w:rsidR="00557F91" w:rsidRPr="00DF0ED0">
        <w:rPr>
          <w:color w:val="000000" w:themeColor="text1"/>
          <w:szCs w:val="16"/>
          <w:lang w:val="en-US"/>
        </w:rPr>
        <w:t>(n</w:t>
      </w:r>
      <w:r w:rsidR="00550FDB" w:rsidRPr="00DF0ED0">
        <w:rPr>
          <w:color w:val="000000" w:themeColor="text1"/>
          <w:szCs w:val="16"/>
          <w:lang w:val="en-US"/>
        </w:rPr>
        <w:t xml:space="preserve"> 13</w:t>
      </w:r>
      <w:r w:rsidR="00DF0ED0">
        <w:rPr>
          <w:color w:val="000000" w:themeColor="text1"/>
          <w:szCs w:val="16"/>
          <w:lang w:val="en-US"/>
        </w:rPr>
        <w:t>5</w:t>
      </w:r>
      <w:r w:rsidR="00557F91" w:rsidRPr="00DF0ED0">
        <w:rPr>
          <w:color w:val="000000" w:themeColor="text1"/>
          <w:szCs w:val="16"/>
          <w:lang w:val="en-US"/>
        </w:rPr>
        <w:t>)</w:t>
      </w:r>
      <w:r w:rsidRPr="00DF0ED0">
        <w:rPr>
          <w:color w:val="000000" w:themeColor="text1"/>
          <w:szCs w:val="16"/>
          <w:lang w:val="en-US"/>
        </w:rPr>
        <w:t xml:space="preserve"> </w:t>
      </w:r>
      <w:r w:rsidR="00557F91" w:rsidRPr="00DF0ED0">
        <w:rPr>
          <w:color w:val="000000" w:themeColor="text1"/>
          <w:szCs w:val="16"/>
          <w:lang w:val="en-US"/>
        </w:rPr>
        <w:t>[</w:t>
      </w:r>
      <w:r w:rsidRPr="00DF0ED0">
        <w:rPr>
          <w:color w:val="000000" w:themeColor="text1"/>
          <w:szCs w:val="16"/>
          <w:lang w:val="en-US"/>
        </w:rPr>
        <w:t>140.4</w:t>
      </w:r>
      <w:r w:rsidR="00557F91" w:rsidRPr="00DF0ED0">
        <w:rPr>
          <w:color w:val="000000" w:themeColor="text1"/>
          <w:szCs w:val="16"/>
          <w:lang w:val="en-US"/>
        </w:rPr>
        <w:t>]</w:t>
      </w:r>
      <w:r w:rsidRPr="00DF0ED0">
        <w:rPr>
          <w:color w:val="000000" w:themeColor="text1"/>
          <w:szCs w:val="16"/>
          <w:lang w:val="en-US"/>
        </w:rPr>
        <w:t xml:space="preserve">, referring to the decision of the Madhya Pradesh High Court in </w:t>
      </w:r>
      <w:r w:rsidRPr="00DF0ED0">
        <w:rPr>
          <w:i/>
          <w:color w:val="000000" w:themeColor="text1"/>
          <w:szCs w:val="16"/>
          <w:lang w:val="en-US"/>
        </w:rPr>
        <w:t xml:space="preserve">Sardar Ishwar Singh v Himachal </w:t>
      </w:r>
      <w:proofErr w:type="spellStart"/>
      <w:r w:rsidRPr="00DF0ED0">
        <w:rPr>
          <w:i/>
          <w:color w:val="000000" w:themeColor="text1"/>
          <w:szCs w:val="16"/>
          <w:lang w:val="en-US"/>
        </w:rPr>
        <w:t>Puri</w:t>
      </w:r>
      <w:proofErr w:type="spellEnd"/>
      <w:r w:rsidRPr="00DF0ED0">
        <w:rPr>
          <w:color w:val="000000" w:themeColor="text1"/>
          <w:szCs w:val="16"/>
          <w:lang w:val="en-US"/>
        </w:rPr>
        <w:t>, AIR 1990 MP 282</w:t>
      </w:r>
      <w:r w:rsidR="00557F91" w:rsidRPr="00DF0ED0">
        <w:rPr>
          <w:color w:val="000000" w:themeColor="text1"/>
          <w:szCs w:val="16"/>
          <w:lang w:val="en-US"/>
        </w:rPr>
        <w:t>.</w:t>
      </w:r>
    </w:p>
  </w:footnote>
  <w:footnote w:id="140">
    <w:p w14:paraId="4DC83A6F" w14:textId="77777777"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Sec. 140 of the MVA. </w:t>
      </w:r>
    </w:p>
  </w:footnote>
  <w:footnote w:id="141">
    <w:p w14:paraId="10EC873D" w14:textId="4C9535EB"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457131" w:rsidRPr="00DF0ED0">
        <w:rPr>
          <w:color w:val="000000" w:themeColor="text1"/>
        </w:rPr>
        <w:t xml:space="preserve">Ibid, </w:t>
      </w:r>
      <w:r w:rsidRPr="00DF0ED0">
        <w:rPr>
          <w:color w:val="000000" w:themeColor="text1"/>
        </w:rPr>
        <w:t>Sec. 140(4).</w:t>
      </w:r>
    </w:p>
  </w:footnote>
  <w:footnote w:id="142">
    <w:p w14:paraId="5D0CEB40" w14:textId="5481E8A4"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the decision of the Madras High Court in </w:t>
      </w:r>
      <w:proofErr w:type="spellStart"/>
      <w:r w:rsidRPr="00DF0ED0">
        <w:rPr>
          <w:i/>
          <w:color w:val="000000" w:themeColor="text1"/>
        </w:rPr>
        <w:t>Mariamal</w:t>
      </w:r>
      <w:proofErr w:type="spellEnd"/>
      <w:r w:rsidRPr="00DF0ED0">
        <w:rPr>
          <w:i/>
          <w:color w:val="000000" w:themeColor="text1"/>
        </w:rPr>
        <w:t xml:space="preserve"> v M </w:t>
      </w:r>
      <w:proofErr w:type="spellStart"/>
      <w:r w:rsidRPr="00DF0ED0">
        <w:rPr>
          <w:i/>
          <w:color w:val="000000" w:themeColor="text1"/>
        </w:rPr>
        <w:t>Ramasubramaniam</w:t>
      </w:r>
      <w:proofErr w:type="spellEnd"/>
      <w:r w:rsidRPr="00DF0ED0">
        <w:rPr>
          <w:color w:val="000000" w:themeColor="text1"/>
        </w:rPr>
        <w:t xml:space="preserve">, [1998] 2 Mad LJ 199; and </w:t>
      </w:r>
      <w:r w:rsidRPr="00DF0ED0">
        <w:rPr>
          <w:color w:val="000000" w:themeColor="text1"/>
          <w:szCs w:val="16"/>
          <w:lang w:val="en-US"/>
        </w:rPr>
        <w:t xml:space="preserve">Kannan and </w:t>
      </w:r>
      <w:proofErr w:type="spellStart"/>
      <w:r w:rsidRPr="00DF0ED0">
        <w:rPr>
          <w:color w:val="000000" w:themeColor="text1"/>
          <w:szCs w:val="16"/>
          <w:lang w:val="en-US"/>
        </w:rPr>
        <w:t>Vijayaraghavan</w:t>
      </w:r>
      <w:proofErr w:type="spellEnd"/>
      <w:r w:rsidRPr="00DF0ED0">
        <w:rPr>
          <w:color w:val="000000" w:themeColor="text1"/>
          <w:szCs w:val="16"/>
          <w:lang w:val="en-US"/>
        </w:rPr>
        <w:t xml:space="preserve"> (n</w:t>
      </w:r>
      <w:r w:rsidR="00550FDB" w:rsidRPr="00DF0ED0">
        <w:rPr>
          <w:color w:val="000000" w:themeColor="text1"/>
          <w:szCs w:val="16"/>
          <w:lang w:val="en-US"/>
        </w:rPr>
        <w:t xml:space="preserve"> 13</w:t>
      </w:r>
      <w:r w:rsidR="00DF0ED0">
        <w:rPr>
          <w:color w:val="000000" w:themeColor="text1"/>
          <w:szCs w:val="16"/>
          <w:lang w:val="en-US"/>
        </w:rPr>
        <w:t>5</w:t>
      </w:r>
      <w:r w:rsidRPr="00DF0ED0">
        <w:rPr>
          <w:color w:val="000000" w:themeColor="text1"/>
          <w:szCs w:val="16"/>
          <w:lang w:val="en-US"/>
        </w:rPr>
        <w:t>) [140.10.e].</w:t>
      </w:r>
    </w:p>
  </w:footnote>
  <w:footnote w:id="143">
    <w:p w14:paraId="46468903" w14:textId="77777777" w:rsidR="009515E4" w:rsidRPr="00DF0ED0" w:rsidRDefault="009515E4" w:rsidP="00E14D8C">
      <w:pPr>
        <w:pStyle w:val="FootnoteText"/>
        <w:jc w:val="both"/>
        <w:rPr>
          <w:color w:val="000000" w:themeColor="text1"/>
          <w:szCs w:val="16"/>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Sec. 140(1) of the MVA. Also see the decision of the Madras High Court in </w:t>
      </w:r>
      <w:proofErr w:type="spellStart"/>
      <w:r w:rsidRPr="00DF0ED0">
        <w:rPr>
          <w:i/>
          <w:color w:val="000000" w:themeColor="text1"/>
          <w:szCs w:val="16"/>
          <w:lang w:val="en-US"/>
        </w:rPr>
        <w:t>Iffco</w:t>
      </w:r>
      <w:proofErr w:type="spellEnd"/>
      <w:r w:rsidRPr="00DF0ED0">
        <w:rPr>
          <w:i/>
          <w:color w:val="000000" w:themeColor="text1"/>
          <w:szCs w:val="16"/>
          <w:lang w:val="en-US"/>
        </w:rPr>
        <w:t xml:space="preserve"> </w:t>
      </w:r>
      <w:proofErr w:type="spellStart"/>
      <w:r w:rsidRPr="00DF0ED0">
        <w:rPr>
          <w:i/>
          <w:color w:val="000000" w:themeColor="text1"/>
          <w:szCs w:val="16"/>
          <w:lang w:val="en-US"/>
        </w:rPr>
        <w:t>Tokio</w:t>
      </w:r>
      <w:proofErr w:type="spellEnd"/>
      <w:r w:rsidRPr="00DF0ED0">
        <w:rPr>
          <w:i/>
          <w:color w:val="000000" w:themeColor="text1"/>
          <w:szCs w:val="16"/>
          <w:lang w:val="en-US"/>
        </w:rPr>
        <w:t xml:space="preserve"> General Insurance Co Ltd v Joes Anthony, </w:t>
      </w:r>
      <w:r w:rsidRPr="00DF0ED0">
        <w:rPr>
          <w:color w:val="000000" w:themeColor="text1"/>
          <w:szCs w:val="16"/>
        </w:rPr>
        <w:t>C.M.A.(MD)Nos.1110 of 2015 and 45 of 2016 and C.M.P.(MD) Nos.1 &amp; 2 of 2015 and C.M.P.(MD).Nos.10114 to 10116 of 2017.</w:t>
      </w:r>
    </w:p>
  </w:footnote>
  <w:footnote w:id="144">
    <w:p w14:paraId="1B031BAC" w14:textId="62E51C1D"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rPr>
        <w:t xml:space="preserve">See, </w:t>
      </w:r>
      <w:r w:rsidRPr="00DF0ED0">
        <w:rPr>
          <w:color w:val="000000" w:themeColor="text1"/>
          <w:szCs w:val="16"/>
          <w:lang w:val="en-US"/>
        </w:rPr>
        <w:t xml:space="preserve">Kannan and </w:t>
      </w:r>
      <w:proofErr w:type="spellStart"/>
      <w:r w:rsidRPr="00DF0ED0">
        <w:rPr>
          <w:color w:val="000000" w:themeColor="text1"/>
          <w:szCs w:val="16"/>
          <w:lang w:val="en-US"/>
        </w:rPr>
        <w:t>Vijayaraghavan</w:t>
      </w:r>
      <w:proofErr w:type="spellEnd"/>
      <w:r w:rsidR="00CE7DDE" w:rsidRPr="00DF0ED0">
        <w:rPr>
          <w:color w:val="000000" w:themeColor="text1"/>
          <w:szCs w:val="16"/>
          <w:lang w:val="en-US"/>
        </w:rPr>
        <w:t>, (n</w:t>
      </w:r>
      <w:r w:rsidR="00550FDB" w:rsidRPr="00DF0ED0">
        <w:rPr>
          <w:color w:val="000000" w:themeColor="text1"/>
          <w:szCs w:val="16"/>
          <w:lang w:val="en-US"/>
        </w:rPr>
        <w:t xml:space="preserve"> 13</w:t>
      </w:r>
      <w:r w:rsidR="00DF0ED0">
        <w:rPr>
          <w:color w:val="000000" w:themeColor="text1"/>
          <w:szCs w:val="16"/>
          <w:lang w:val="en-US"/>
        </w:rPr>
        <w:t>5</w:t>
      </w:r>
      <w:r w:rsidR="00CE7DDE" w:rsidRPr="00DF0ED0">
        <w:rPr>
          <w:color w:val="000000" w:themeColor="text1"/>
          <w:szCs w:val="16"/>
          <w:lang w:val="en-US"/>
        </w:rPr>
        <w:t>) [</w:t>
      </w:r>
      <w:r w:rsidRPr="00DF0ED0">
        <w:rPr>
          <w:color w:val="000000" w:themeColor="text1"/>
          <w:szCs w:val="16"/>
          <w:lang w:val="en-US"/>
        </w:rPr>
        <w:t>140.10(g)</w:t>
      </w:r>
      <w:r w:rsidR="00CE7DDE" w:rsidRPr="00DF0ED0">
        <w:rPr>
          <w:color w:val="000000" w:themeColor="text1"/>
          <w:szCs w:val="16"/>
          <w:lang w:val="en-US"/>
        </w:rPr>
        <w:t>]</w:t>
      </w:r>
      <w:r w:rsidRPr="00DF0ED0">
        <w:rPr>
          <w:color w:val="000000" w:themeColor="text1"/>
          <w:szCs w:val="16"/>
          <w:lang w:val="en-US"/>
        </w:rPr>
        <w:t>.</w:t>
      </w:r>
    </w:p>
  </w:footnote>
  <w:footnote w:id="145">
    <w:p w14:paraId="31805713" w14:textId="77777777" w:rsidR="0061797E" w:rsidRPr="00DF0ED0" w:rsidRDefault="0061797E"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See, Sec. 145(c) of the MVAA, 2019 which clarifies that the expression ‘</w:t>
      </w:r>
      <w:r w:rsidRPr="00DF0ED0">
        <w:rPr>
          <w:color w:val="000000" w:themeColor="text1"/>
          <w:lang w:val="en-US"/>
        </w:rPr>
        <w:t>shall have the same meaning as assigned to it in Sec. 320 of the Indian Penal Code’.</w:t>
      </w:r>
      <w:r w:rsidRPr="00DF0ED0">
        <w:rPr>
          <w:color w:val="000000" w:themeColor="text1"/>
        </w:rPr>
        <w:t xml:space="preserve"> </w:t>
      </w:r>
    </w:p>
  </w:footnote>
  <w:footnote w:id="146">
    <w:p w14:paraId="2399370A" w14:textId="77777777" w:rsidR="0061797E" w:rsidRPr="00DF0ED0" w:rsidRDefault="0061797E"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in this respect, </w:t>
      </w:r>
      <w:r w:rsidRPr="00DF0ED0">
        <w:rPr>
          <w:color w:val="000000" w:themeColor="text1"/>
          <w:lang w:val="en-US"/>
        </w:rPr>
        <w:t>the Motor Vehicles (Amendment) Act, 2019 (Act 32 of 2019) [MVAA 2019].</w:t>
      </w:r>
    </w:p>
  </w:footnote>
  <w:footnote w:id="147">
    <w:p w14:paraId="47E14AE1" w14:textId="71909970" w:rsidR="0061797E" w:rsidRPr="00DF0ED0" w:rsidRDefault="0061797E"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23322B" w:rsidRPr="00DF0ED0">
        <w:rPr>
          <w:color w:val="000000" w:themeColor="text1"/>
        </w:rPr>
        <w:t>Ibid</w:t>
      </w:r>
      <w:r w:rsidRPr="00DF0ED0">
        <w:rPr>
          <w:color w:val="000000" w:themeColor="text1"/>
        </w:rPr>
        <w:t>, Sec. 164(2) and (3).</w:t>
      </w:r>
    </w:p>
  </w:footnote>
  <w:footnote w:id="148">
    <w:p w14:paraId="0DDD591A" w14:textId="06BCD0E9" w:rsidR="0061797E" w:rsidRPr="00DF0ED0" w:rsidRDefault="0061797E"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The compensation for permanent disablement is calculated under Secs. 140 and 163B</w:t>
      </w:r>
      <w:r w:rsidR="00333489" w:rsidRPr="00DF0ED0">
        <w:rPr>
          <w:color w:val="000000" w:themeColor="text1"/>
          <w:lang w:val="en-US"/>
        </w:rPr>
        <w:t xml:space="preserve"> of the MVA</w:t>
      </w:r>
      <w:r w:rsidRPr="00DF0ED0">
        <w:rPr>
          <w:color w:val="000000" w:themeColor="text1"/>
          <w:lang w:val="en-US"/>
        </w:rPr>
        <w:t>, while that for grievous hurt is calculated under Sec. 164</w:t>
      </w:r>
      <w:r w:rsidR="00333489" w:rsidRPr="00DF0ED0">
        <w:rPr>
          <w:color w:val="000000" w:themeColor="text1"/>
          <w:lang w:val="en-US"/>
        </w:rPr>
        <w:t xml:space="preserve"> of the MVA</w:t>
      </w:r>
      <w:r w:rsidRPr="00DF0ED0">
        <w:rPr>
          <w:color w:val="000000" w:themeColor="text1"/>
          <w:lang w:val="en-US"/>
        </w:rPr>
        <w:t>.</w:t>
      </w:r>
    </w:p>
  </w:footnote>
  <w:footnote w:id="149">
    <w:p w14:paraId="35693027" w14:textId="636E4907"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Sec. 146 of the MVA read along with Explanation to Sec. 147 of the MVAA, 2019 and Secs. 124 and 125 of the Indian Contract Act, 1872.</w:t>
      </w:r>
    </w:p>
  </w:footnote>
  <w:footnote w:id="150">
    <w:p w14:paraId="4CF3603F" w14:textId="76B6BD8A" w:rsidR="000C5022" w:rsidRPr="00DF0ED0" w:rsidRDefault="000C5022"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Sec. 147(1) of the MVA.</w:t>
      </w:r>
    </w:p>
  </w:footnote>
  <w:footnote w:id="151">
    <w:p w14:paraId="1F6923E2" w14:textId="6E0C779E"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000C5022" w:rsidRPr="00DF0ED0">
        <w:rPr>
          <w:color w:val="000000" w:themeColor="text1"/>
          <w:lang w:val="en-US"/>
        </w:rPr>
        <w:t>Ibid</w:t>
      </w:r>
      <w:r w:rsidRPr="00DF0ED0">
        <w:rPr>
          <w:color w:val="000000" w:themeColor="text1"/>
          <w:lang w:val="en-US"/>
        </w:rPr>
        <w:t xml:space="preserve">. But also see, Sec. 149(2) read along with Explanation (d) to Sec. 150 of the MVAA, 2019, which additionally enables insurers to avoid their liability in circumstances where the accident was caused by a motor vehicle that was being driven in contravention to the terms of the policy at the time of the incident or when the policy was obtained through the non-disclosure of material information.  </w:t>
      </w:r>
    </w:p>
  </w:footnote>
  <w:footnote w:id="152">
    <w:p w14:paraId="57221635" w14:textId="366D94BB" w:rsidR="009515E4" w:rsidRPr="00DF0ED0" w:rsidRDefault="009515E4" w:rsidP="00E14D8C">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But see, </w:t>
      </w:r>
      <w:r w:rsidRPr="00DF0ED0">
        <w:rPr>
          <w:color w:val="000000" w:themeColor="text1"/>
        </w:rPr>
        <w:t xml:space="preserve">Secs. </w:t>
      </w:r>
      <w:r w:rsidRPr="00DF0ED0">
        <w:rPr>
          <w:color w:val="000000" w:themeColor="text1"/>
        </w:rPr>
        <w:t xml:space="preserve">161 of </w:t>
      </w:r>
      <w:r w:rsidRPr="00DF0ED0">
        <w:rPr>
          <w:color w:val="000000" w:themeColor="text1"/>
          <w:lang w:val="en-US"/>
        </w:rPr>
        <w:t xml:space="preserve">the MVAA 2019, which clarifies that the mechanism to determine compensation under Sections 140 and 163A is inapplicable in </w:t>
      </w:r>
      <w:r w:rsidR="0023322B" w:rsidRPr="00DF0ED0">
        <w:rPr>
          <w:color w:val="000000" w:themeColor="text1"/>
          <w:lang w:val="en-US"/>
        </w:rPr>
        <w:t>‘</w:t>
      </w:r>
      <w:r w:rsidRPr="00DF0ED0">
        <w:rPr>
          <w:color w:val="000000" w:themeColor="text1"/>
          <w:lang w:val="en-US"/>
        </w:rPr>
        <w:t xml:space="preserve">hit and run’ cases where the identity of the vehicle is unknown. In such circumstances, the heirs of the deceased will be entitled to a (one-time) compensation of INR </w:t>
      </w:r>
      <w:r w:rsidR="0023322B" w:rsidRPr="00DF0ED0">
        <w:rPr>
          <w:color w:val="000000" w:themeColor="text1"/>
          <w:lang w:val="en-US"/>
        </w:rPr>
        <w:t>0.2 million</w:t>
      </w:r>
      <w:r w:rsidRPr="00DF0ED0">
        <w:rPr>
          <w:color w:val="000000" w:themeColor="text1"/>
          <w:lang w:val="en-US"/>
        </w:rPr>
        <w:t xml:space="preserve"> that </w:t>
      </w:r>
      <w:r w:rsidR="00BE7666" w:rsidRPr="00DF0ED0">
        <w:rPr>
          <w:color w:val="000000" w:themeColor="text1"/>
          <w:lang w:val="en-US"/>
        </w:rPr>
        <w:t xml:space="preserve">will </w:t>
      </w:r>
      <w:r w:rsidRPr="00DF0ED0">
        <w:rPr>
          <w:color w:val="000000" w:themeColor="text1"/>
          <w:lang w:val="en-US"/>
        </w:rPr>
        <w:t>be borne by the General Insurance Industry under a ‘Solatium Fund’ maintained for this purpose.</w:t>
      </w:r>
    </w:p>
  </w:footnote>
  <w:footnote w:id="153">
    <w:p w14:paraId="5E6199ED" w14:textId="1357FF55"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for instance, the decision of the Gujarat High Court in </w:t>
      </w:r>
      <w:proofErr w:type="spellStart"/>
      <w:r w:rsidRPr="00DF0ED0">
        <w:rPr>
          <w:i/>
          <w:color w:val="000000" w:themeColor="text1"/>
          <w:lang w:val="en-US"/>
        </w:rPr>
        <w:t>Ramdevsingh</w:t>
      </w:r>
      <w:proofErr w:type="spellEnd"/>
      <w:r w:rsidRPr="00DF0ED0">
        <w:rPr>
          <w:i/>
          <w:color w:val="000000" w:themeColor="text1"/>
          <w:lang w:val="en-US"/>
        </w:rPr>
        <w:t xml:space="preserve"> V </w:t>
      </w:r>
      <w:proofErr w:type="spellStart"/>
      <w:r w:rsidRPr="00DF0ED0">
        <w:rPr>
          <w:i/>
          <w:color w:val="000000" w:themeColor="text1"/>
          <w:lang w:val="en-US"/>
        </w:rPr>
        <w:t>Chudasma</w:t>
      </w:r>
      <w:proofErr w:type="spellEnd"/>
      <w:r w:rsidRPr="00DF0ED0">
        <w:rPr>
          <w:i/>
          <w:color w:val="000000" w:themeColor="text1"/>
          <w:lang w:val="en-US"/>
        </w:rPr>
        <w:t xml:space="preserve"> v </w:t>
      </w:r>
      <w:proofErr w:type="spellStart"/>
      <w:r w:rsidRPr="00DF0ED0">
        <w:rPr>
          <w:i/>
          <w:color w:val="000000" w:themeColor="text1"/>
          <w:lang w:val="en-US"/>
        </w:rPr>
        <w:t>Hansrajbhai</w:t>
      </w:r>
      <w:proofErr w:type="spellEnd"/>
      <w:r w:rsidRPr="00DF0ED0">
        <w:rPr>
          <w:i/>
          <w:color w:val="000000" w:themeColor="text1"/>
          <w:lang w:val="en-US"/>
        </w:rPr>
        <w:t xml:space="preserve"> </w:t>
      </w:r>
      <w:r w:rsidR="00DF0ED0">
        <w:rPr>
          <w:i/>
          <w:color w:val="000000" w:themeColor="text1"/>
          <w:lang w:val="en-US"/>
        </w:rPr>
        <w:t>v</w:t>
      </w:r>
      <w:r w:rsidRPr="00DF0ED0">
        <w:rPr>
          <w:i/>
          <w:color w:val="000000" w:themeColor="text1"/>
          <w:lang w:val="en-US"/>
        </w:rPr>
        <w:t xml:space="preserve"> </w:t>
      </w:r>
      <w:proofErr w:type="spellStart"/>
      <w:r w:rsidRPr="00DF0ED0">
        <w:rPr>
          <w:i/>
          <w:color w:val="000000" w:themeColor="text1"/>
          <w:lang w:val="en-US"/>
        </w:rPr>
        <w:t>Kodala</w:t>
      </w:r>
      <w:proofErr w:type="spellEnd"/>
      <w:r w:rsidRPr="00DF0ED0">
        <w:rPr>
          <w:color w:val="000000" w:themeColor="text1"/>
          <w:lang w:val="en-US"/>
        </w:rPr>
        <w:t xml:space="preserve">, 1999 ACJ 1129, (1999) 1 GLR 631, in which the court indicated that victims are prohibited from claiming compensation under </w:t>
      </w:r>
      <w:r w:rsidR="00BE7666" w:rsidRPr="00DF0ED0">
        <w:rPr>
          <w:color w:val="000000" w:themeColor="text1"/>
          <w:lang w:val="en-US"/>
        </w:rPr>
        <w:t>Secs.</w:t>
      </w:r>
      <w:r w:rsidRPr="00DF0ED0">
        <w:rPr>
          <w:color w:val="000000" w:themeColor="text1"/>
          <w:lang w:val="en-US"/>
        </w:rPr>
        <w:t xml:space="preserve"> 140 and 163A simultaneously </w:t>
      </w:r>
      <w:r w:rsidR="00BE7666" w:rsidRPr="00DF0ED0">
        <w:rPr>
          <w:color w:val="000000" w:themeColor="text1"/>
          <w:lang w:val="en-US"/>
        </w:rPr>
        <w:t>considering that</w:t>
      </w:r>
      <w:r w:rsidRPr="00DF0ED0">
        <w:rPr>
          <w:color w:val="000000" w:themeColor="text1"/>
          <w:lang w:val="en-US"/>
        </w:rPr>
        <w:t xml:space="preserve"> the mechanism to determine compensation under </w:t>
      </w:r>
      <w:r w:rsidR="00BE7666" w:rsidRPr="00DF0ED0">
        <w:rPr>
          <w:color w:val="000000" w:themeColor="text1"/>
          <w:lang w:val="en-US"/>
        </w:rPr>
        <w:t>Sec.</w:t>
      </w:r>
      <w:r w:rsidRPr="00DF0ED0">
        <w:rPr>
          <w:color w:val="000000" w:themeColor="text1"/>
          <w:lang w:val="en-US"/>
        </w:rPr>
        <w:t xml:space="preserve"> </w:t>
      </w:r>
      <w:r w:rsidR="00BE7666" w:rsidRPr="00DF0ED0">
        <w:rPr>
          <w:color w:val="000000" w:themeColor="text1"/>
          <w:lang w:val="en-US"/>
        </w:rPr>
        <w:t>163A</w:t>
      </w:r>
      <w:r w:rsidRPr="00DF0ED0">
        <w:rPr>
          <w:color w:val="000000" w:themeColor="text1"/>
          <w:lang w:val="en-US"/>
        </w:rPr>
        <w:t xml:space="preserve"> was another interim measure existing alongside </w:t>
      </w:r>
      <w:r w:rsidR="00BE7666" w:rsidRPr="00DF0ED0">
        <w:rPr>
          <w:color w:val="000000" w:themeColor="text1"/>
          <w:lang w:val="en-US"/>
        </w:rPr>
        <w:t>Sec.</w:t>
      </w:r>
      <w:r w:rsidRPr="00DF0ED0">
        <w:rPr>
          <w:color w:val="000000" w:themeColor="text1"/>
          <w:lang w:val="en-US"/>
        </w:rPr>
        <w:t xml:space="preserve"> 140 of the MVA.</w:t>
      </w:r>
    </w:p>
  </w:footnote>
  <w:footnote w:id="154">
    <w:p w14:paraId="0D072E20" w14:textId="2A78D871"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BE7666" w:rsidRPr="00DF0ED0">
        <w:rPr>
          <w:color w:val="000000" w:themeColor="text1"/>
          <w:lang w:val="en-US"/>
        </w:rPr>
        <w:t>Ibid</w:t>
      </w:r>
      <w:r w:rsidRPr="00DF0ED0">
        <w:rPr>
          <w:color w:val="000000" w:themeColor="text1"/>
          <w:lang w:val="en-US"/>
        </w:rPr>
        <w:t>, Secs. 140(2) and 163</w:t>
      </w:r>
      <w:proofErr w:type="gramStart"/>
      <w:r w:rsidRPr="00DF0ED0">
        <w:rPr>
          <w:color w:val="000000" w:themeColor="text1"/>
          <w:lang w:val="en-US"/>
        </w:rPr>
        <w:t>A(</w:t>
      </w:r>
      <w:proofErr w:type="gramEnd"/>
      <w:r w:rsidRPr="00DF0ED0">
        <w:rPr>
          <w:color w:val="000000" w:themeColor="text1"/>
          <w:lang w:val="en-US"/>
        </w:rPr>
        <w:t>1).</w:t>
      </w:r>
    </w:p>
  </w:footnote>
  <w:footnote w:id="155">
    <w:p w14:paraId="542A0A28" w14:textId="326B7FF7" w:rsidR="009515E4" w:rsidRPr="00DF0ED0" w:rsidRDefault="009515E4" w:rsidP="00EE6927">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w:t>
      </w:r>
      <w:proofErr w:type="spellStart"/>
      <w:r w:rsidRPr="00DF0ED0">
        <w:rPr>
          <w:i/>
          <w:color w:val="000000" w:themeColor="text1"/>
          <w:lang w:val="en-US"/>
        </w:rPr>
        <w:t>Ramdevsingh</w:t>
      </w:r>
      <w:proofErr w:type="spellEnd"/>
      <w:r w:rsidRPr="00DF0ED0">
        <w:rPr>
          <w:color w:val="000000" w:themeColor="text1"/>
          <w:lang w:val="en-US"/>
        </w:rPr>
        <w:t xml:space="preserve"> (n</w:t>
      </w:r>
      <w:r w:rsidR="00550FDB" w:rsidRPr="00DF0ED0">
        <w:rPr>
          <w:color w:val="000000" w:themeColor="text1"/>
          <w:lang w:val="en-US"/>
        </w:rPr>
        <w:t xml:space="preserve"> 15</w:t>
      </w:r>
      <w:r w:rsidR="00DF0ED0">
        <w:rPr>
          <w:color w:val="000000" w:themeColor="text1"/>
          <w:lang w:val="en-US"/>
        </w:rPr>
        <w:t>3</w:t>
      </w:r>
      <w:r w:rsidRPr="00DF0ED0">
        <w:rPr>
          <w:color w:val="000000" w:themeColor="text1"/>
          <w:lang w:val="en-US"/>
        </w:rPr>
        <w:t>).</w:t>
      </w:r>
    </w:p>
  </w:footnote>
  <w:footnote w:id="156">
    <w:p w14:paraId="0C17D389" w14:textId="77777777" w:rsidR="00DF3C1B" w:rsidRPr="00DF0ED0" w:rsidRDefault="00DF3C1B" w:rsidP="00DF3C1B">
      <w:pPr>
        <w:pStyle w:val="FootnoteText"/>
        <w:rPr>
          <w:color w:val="000000" w:themeColor="text1"/>
          <w:szCs w:val="16"/>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rPr>
        <w:t xml:space="preserve">See in this respect </w:t>
      </w:r>
      <w:r w:rsidRPr="00DF0ED0">
        <w:rPr>
          <w:color w:val="000000" w:themeColor="text1"/>
          <w:szCs w:val="16"/>
          <w:lang w:val="en-US"/>
        </w:rPr>
        <w:t xml:space="preserve">Section 141(1) of the MVA which states: </w:t>
      </w:r>
    </w:p>
    <w:p w14:paraId="1E55E7C3" w14:textId="3E11DAD5" w:rsidR="00DF3C1B" w:rsidRPr="00DF0ED0" w:rsidRDefault="00DF3C1B" w:rsidP="00DF3C1B">
      <w:pPr>
        <w:pStyle w:val="FootnoteText"/>
        <w:ind w:left="720"/>
        <w:rPr>
          <w:color w:val="000000" w:themeColor="text1"/>
          <w:szCs w:val="16"/>
        </w:rPr>
      </w:pPr>
      <w:r w:rsidRPr="00DF0ED0">
        <w:rPr>
          <w:color w:val="000000" w:themeColor="text1"/>
          <w:szCs w:val="16"/>
        </w:rPr>
        <w:t>The right to claim compensation under section 140 in respect of death or permanent disablement of any person shall be in addition to 1 [any other right, except the right to claim under the scheme referred to in section 163A (such other right hereafter] in this section referred to as the right on the principle of fault) to claim compensation in respect thereof under any other provision of this Act or of any other law for the time being in force.</w:t>
      </w:r>
    </w:p>
  </w:footnote>
  <w:footnote w:id="157">
    <w:p w14:paraId="58CE403C" w14:textId="77777777" w:rsidR="009515E4" w:rsidRPr="00DF0ED0" w:rsidRDefault="009515E4" w:rsidP="003A6053">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lang w:val="en-US"/>
        </w:rPr>
        <w:t xml:space="preserve">2001 ACJ 827. </w:t>
      </w:r>
    </w:p>
  </w:footnote>
  <w:footnote w:id="158">
    <w:p w14:paraId="7B83196E" w14:textId="77777777" w:rsidR="009515E4" w:rsidRPr="00DF0ED0" w:rsidRDefault="009515E4" w:rsidP="003A6053">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AIR 2004 SC 2107.</w:t>
      </w:r>
    </w:p>
  </w:footnote>
  <w:footnote w:id="159">
    <w:p w14:paraId="5D4D51CC" w14:textId="62C24A79"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Sec. 140(2) of the Motor Vehicles Amendment Act, 1994, Act No. 54 of 1994 [MVAA, 1994].</w:t>
      </w:r>
    </w:p>
  </w:footnote>
  <w:footnote w:id="160">
    <w:p w14:paraId="78EB5376" w14:textId="77777777" w:rsidR="009515E4" w:rsidRPr="00DF0ED0" w:rsidRDefault="009515E4" w:rsidP="00EE6927">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See, Sec. 165 of the MVA.</w:t>
      </w:r>
    </w:p>
  </w:footnote>
  <w:footnote w:id="161">
    <w:p w14:paraId="76EDCE6C" w14:textId="77777777" w:rsidR="009515E4" w:rsidRPr="00DF0ED0" w:rsidRDefault="009515E4" w:rsidP="00EE6927">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w:t>
      </w:r>
      <w:r w:rsidRPr="00DF0ED0">
        <w:rPr>
          <w:i/>
          <w:color w:val="000000" w:themeColor="text1"/>
        </w:rPr>
        <w:t xml:space="preserve">K </w:t>
      </w:r>
      <w:proofErr w:type="spellStart"/>
      <w:r w:rsidRPr="00DF0ED0">
        <w:rPr>
          <w:i/>
          <w:color w:val="000000" w:themeColor="text1"/>
        </w:rPr>
        <w:t>Ramulu</w:t>
      </w:r>
      <w:proofErr w:type="spellEnd"/>
      <w:r w:rsidRPr="00DF0ED0">
        <w:rPr>
          <w:i/>
          <w:color w:val="000000" w:themeColor="text1"/>
        </w:rPr>
        <w:t xml:space="preserve"> v Shaik Khaja</w:t>
      </w:r>
      <w:r w:rsidRPr="00DF0ED0">
        <w:rPr>
          <w:color w:val="000000" w:themeColor="text1"/>
        </w:rPr>
        <w:t>, 1991 ACJ 359 (AP).</w:t>
      </w:r>
    </w:p>
  </w:footnote>
  <w:footnote w:id="162">
    <w:p w14:paraId="6D7FF234" w14:textId="2FF3CB37"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Sec. 140(2) of the MVAA, 1994.</w:t>
      </w:r>
    </w:p>
  </w:footnote>
  <w:footnote w:id="163">
    <w:p w14:paraId="3A8D5473" w14:textId="0B0A3CEB" w:rsidR="0061797E" w:rsidRPr="00DF0ED0" w:rsidRDefault="0061797E">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lang w:val="en-US"/>
        </w:rPr>
        <w:t xml:space="preserve">See, </w:t>
      </w:r>
      <w:r w:rsidRPr="00DF0ED0">
        <w:rPr>
          <w:i/>
          <w:color w:val="000000" w:themeColor="text1"/>
          <w:szCs w:val="16"/>
          <w:lang w:val="en-US"/>
        </w:rPr>
        <w:t>Shabir Hussain v Abdul Rehman Driver</w:t>
      </w:r>
      <w:r w:rsidRPr="00DF0ED0">
        <w:rPr>
          <w:color w:val="000000" w:themeColor="text1"/>
          <w:szCs w:val="16"/>
          <w:lang w:val="en-US"/>
        </w:rPr>
        <w:t xml:space="preserve">, [1991] 1 ACC 286; </w:t>
      </w:r>
      <w:r w:rsidRPr="00DF0ED0">
        <w:rPr>
          <w:i/>
          <w:color w:val="000000" w:themeColor="text1"/>
          <w:szCs w:val="16"/>
          <w:lang w:val="en-US"/>
        </w:rPr>
        <w:t xml:space="preserve">New India Assurance Co Ltd v </w:t>
      </w:r>
      <w:proofErr w:type="spellStart"/>
      <w:r w:rsidRPr="00DF0ED0">
        <w:rPr>
          <w:i/>
          <w:color w:val="000000" w:themeColor="text1"/>
          <w:szCs w:val="16"/>
          <w:lang w:val="en-US"/>
        </w:rPr>
        <w:t>Minguel</w:t>
      </w:r>
      <w:proofErr w:type="spellEnd"/>
      <w:r w:rsidRPr="00DF0ED0">
        <w:rPr>
          <w:i/>
          <w:color w:val="000000" w:themeColor="text1"/>
          <w:szCs w:val="16"/>
          <w:lang w:val="en-US"/>
        </w:rPr>
        <w:t xml:space="preserve"> Lourenco </w:t>
      </w:r>
      <w:proofErr w:type="spellStart"/>
      <w:r w:rsidRPr="00DF0ED0">
        <w:rPr>
          <w:i/>
          <w:color w:val="000000" w:themeColor="text1"/>
          <w:szCs w:val="16"/>
          <w:lang w:val="en-US"/>
        </w:rPr>
        <w:t>Correia</w:t>
      </w:r>
      <w:proofErr w:type="spellEnd"/>
      <w:r w:rsidRPr="00DF0ED0">
        <w:rPr>
          <w:color w:val="000000" w:themeColor="text1"/>
          <w:szCs w:val="16"/>
          <w:lang w:val="en-US"/>
        </w:rPr>
        <w:t xml:space="preserve">, [1987] 1 ACC 524; and </w:t>
      </w:r>
      <w:r w:rsidRPr="00DF0ED0">
        <w:rPr>
          <w:i/>
          <w:color w:val="000000" w:themeColor="text1"/>
          <w:szCs w:val="16"/>
          <w:lang w:val="en-US"/>
        </w:rPr>
        <w:t xml:space="preserve">Joao </w:t>
      </w:r>
      <w:proofErr w:type="spellStart"/>
      <w:r w:rsidRPr="00DF0ED0">
        <w:rPr>
          <w:i/>
          <w:color w:val="000000" w:themeColor="text1"/>
          <w:szCs w:val="16"/>
          <w:lang w:val="en-US"/>
        </w:rPr>
        <w:t>Carbal</w:t>
      </w:r>
      <w:proofErr w:type="spellEnd"/>
      <w:r w:rsidRPr="00DF0ED0">
        <w:rPr>
          <w:i/>
          <w:color w:val="000000" w:themeColor="text1"/>
          <w:szCs w:val="16"/>
          <w:lang w:val="en-US"/>
        </w:rPr>
        <w:t xml:space="preserve"> v Mira </w:t>
      </w:r>
      <w:proofErr w:type="spellStart"/>
      <w:r w:rsidRPr="00DF0ED0">
        <w:rPr>
          <w:i/>
          <w:color w:val="000000" w:themeColor="text1"/>
          <w:szCs w:val="16"/>
          <w:lang w:val="en-US"/>
        </w:rPr>
        <w:t>Namdev</w:t>
      </w:r>
      <w:proofErr w:type="spellEnd"/>
      <w:r w:rsidRPr="00DF0ED0">
        <w:rPr>
          <w:i/>
          <w:color w:val="000000" w:themeColor="text1"/>
          <w:szCs w:val="16"/>
          <w:lang w:val="en-US"/>
        </w:rPr>
        <w:t xml:space="preserve"> Naik</w:t>
      </w:r>
      <w:r w:rsidRPr="00DF0ED0">
        <w:rPr>
          <w:color w:val="000000" w:themeColor="text1"/>
          <w:szCs w:val="16"/>
          <w:lang w:val="en-US"/>
        </w:rPr>
        <w:t>, [1991] 70 Com Cas 471</w:t>
      </w:r>
      <w:r w:rsidRPr="00DF0ED0">
        <w:rPr>
          <w:color w:val="000000" w:themeColor="text1"/>
          <w:szCs w:val="16"/>
          <w:lang w:val="en-US"/>
        </w:rPr>
        <w:t>; and</w:t>
      </w:r>
      <w:r w:rsidRPr="00DF0ED0">
        <w:rPr>
          <w:color w:val="000000" w:themeColor="text1"/>
          <w:lang w:val="en-US"/>
        </w:rPr>
        <w:t xml:space="preserve"> text accompanying notes </w:t>
      </w:r>
      <w:r w:rsidR="00550FDB" w:rsidRPr="00DF0ED0">
        <w:rPr>
          <w:color w:val="000000" w:themeColor="text1"/>
          <w:lang w:val="en-US"/>
        </w:rPr>
        <w:t>1</w:t>
      </w:r>
      <w:r w:rsidR="00DF0ED0">
        <w:rPr>
          <w:color w:val="000000" w:themeColor="text1"/>
          <w:lang w:val="en-US"/>
        </w:rPr>
        <w:t>50</w:t>
      </w:r>
      <w:r w:rsidR="00550FDB" w:rsidRPr="00DF0ED0">
        <w:rPr>
          <w:color w:val="000000" w:themeColor="text1"/>
          <w:lang w:val="en-US"/>
        </w:rPr>
        <w:t>-15</w:t>
      </w:r>
      <w:r w:rsidR="00DF0ED0">
        <w:rPr>
          <w:color w:val="000000" w:themeColor="text1"/>
          <w:lang w:val="en-US"/>
        </w:rPr>
        <w:t>2</w:t>
      </w:r>
      <w:r w:rsidRPr="00DF0ED0">
        <w:rPr>
          <w:color w:val="000000" w:themeColor="text1"/>
          <w:lang w:val="en-US"/>
        </w:rPr>
        <w:t xml:space="preserve"> referring to Secs. 147(1) and 149(2)</w:t>
      </w:r>
      <w:r w:rsidR="00936EE5" w:rsidRPr="00DF0ED0">
        <w:rPr>
          <w:color w:val="000000" w:themeColor="text1"/>
          <w:lang w:val="en-US"/>
        </w:rPr>
        <w:t xml:space="preserve"> of the MVA</w:t>
      </w:r>
      <w:r w:rsidRPr="00DF0ED0">
        <w:rPr>
          <w:color w:val="000000" w:themeColor="text1"/>
          <w:lang w:val="en-US"/>
        </w:rPr>
        <w:t>.</w:t>
      </w:r>
    </w:p>
  </w:footnote>
  <w:footnote w:id="164">
    <w:p w14:paraId="134EFE94" w14:textId="6678D129"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 Sec. 149(2)(a) of the MVA.</w:t>
      </w:r>
    </w:p>
  </w:footnote>
  <w:footnote w:id="165">
    <w:p w14:paraId="5BE33AD3" w14:textId="63BB6A5D"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936EE5" w:rsidRPr="00DF0ED0">
        <w:rPr>
          <w:color w:val="000000" w:themeColor="text1"/>
          <w:lang w:val="en-US"/>
        </w:rPr>
        <w:t>Ibid</w:t>
      </w:r>
      <w:r w:rsidRPr="00DF0ED0">
        <w:rPr>
          <w:color w:val="000000" w:themeColor="text1"/>
          <w:lang w:val="en-US"/>
        </w:rPr>
        <w:t>, Sec. 147(1).</w:t>
      </w:r>
    </w:p>
  </w:footnote>
  <w:footnote w:id="166">
    <w:p w14:paraId="56E9C5F5" w14:textId="13F1882A"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lang w:val="en-US"/>
        </w:rPr>
        <w:t xml:space="preserve">Kannan and </w:t>
      </w:r>
      <w:proofErr w:type="spellStart"/>
      <w:r w:rsidRPr="00DF0ED0">
        <w:rPr>
          <w:color w:val="000000" w:themeColor="text1"/>
          <w:szCs w:val="16"/>
          <w:lang w:val="en-US"/>
        </w:rPr>
        <w:t>Vijayaraghavan</w:t>
      </w:r>
      <w:proofErr w:type="spellEnd"/>
      <w:r w:rsidRPr="00DF0ED0">
        <w:rPr>
          <w:color w:val="000000" w:themeColor="text1"/>
          <w:szCs w:val="16"/>
          <w:lang w:val="en-US"/>
        </w:rPr>
        <w:t xml:space="preserve"> (n</w:t>
      </w:r>
      <w:r w:rsidR="00550FDB" w:rsidRPr="00DF0ED0">
        <w:rPr>
          <w:color w:val="000000" w:themeColor="text1"/>
          <w:szCs w:val="16"/>
          <w:lang w:val="en-US"/>
        </w:rPr>
        <w:t xml:space="preserve"> 13</w:t>
      </w:r>
      <w:r w:rsidR="00DF0ED0">
        <w:rPr>
          <w:color w:val="000000" w:themeColor="text1"/>
          <w:szCs w:val="16"/>
          <w:lang w:val="en-US"/>
        </w:rPr>
        <w:t>5</w:t>
      </w:r>
      <w:r w:rsidRPr="00DF0ED0">
        <w:rPr>
          <w:color w:val="000000" w:themeColor="text1"/>
          <w:szCs w:val="16"/>
          <w:lang w:val="en-US"/>
        </w:rPr>
        <w:t>) [140.10.e].</w:t>
      </w:r>
    </w:p>
  </w:footnote>
  <w:footnote w:id="167">
    <w:p w14:paraId="3F38666D" w14:textId="59BEE714"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lang w:val="en-US"/>
        </w:rPr>
        <w:t xml:space="preserve">See, Para. 1(a) of the Notification by the Central Government of India, </w:t>
      </w:r>
      <w:r w:rsidRPr="00DF0ED0">
        <w:rPr>
          <w:color w:val="000000" w:themeColor="text1"/>
          <w:szCs w:val="16"/>
        </w:rPr>
        <w:t xml:space="preserve">F. No. RT-11021/65/2017-MVL, dated 22 May 2018, available at: https://morth.nic.in/sites/default/files/notifications_document/Notification_no_S_O_2022E_dated_22_05_2018_regarding_Revision_of_Second_Schedule_0.pdf. </w:t>
      </w:r>
      <w:r w:rsidRPr="00DF0ED0">
        <w:rPr>
          <w:color w:val="000000" w:themeColor="text1"/>
          <w:szCs w:val="16"/>
        </w:rPr>
        <w:t xml:space="preserve">[Notification </w:t>
      </w:r>
      <w:r w:rsidR="00936EE5" w:rsidRPr="00DF0ED0">
        <w:rPr>
          <w:color w:val="000000" w:themeColor="text1"/>
          <w:szCs w:val="16"/>
        </w:rPr>
        <w:t>of</w:t>
      </w:r>
      <w:r w:rsidRPr="00DF0ED0">
        <w:rPr>
          <w:color w:val="000000" w:themeColor="text1"/>
          <w:szCs w:val="16"/>
        </w:rPr>
        <w:t xml:space="preserve"> the Central Government, 2018].</w:t>
      </w:r>
    </w:p>
  </w:footnote>
  <w:footnote w:id="168">
    <w:p w14:paraId="1EEAD291" w14:textId="5E21EBCB" w:rsidR="009515E4" w:rsidRPr="00DF0ED0" w:rsidRDefault="009515E4" w:rsidP="00B3522B">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But see, Secs. 147 and 149(2) of the MVA read along with text accompanying notes </w:t>
      </w:r>
      <w:r w:rsidR="00550FDB" w:rsidRPr="00DF0ED0">
        <w:rPr>
          <w:color w:val="000000" w:themeColor="text1"/>
          <w:lang w:val="en-US"/>
        </w:rPr>
        <w:t>148-150</w:t>
      </w:r>
      <w:r w:rsidR="00550FDB" w:rsidRPr="00DF0ED0">
        <w:rPr>
          <w:color w:val="000000" w:themeColor="text1"/>
          <w:lang w:val="en-US"/>
        </w:rPr>
        <w:t>.</w:t>
      </w:r>
    </w:p>
  </w:footnote>
  <w:footnote w:id="169">
    <w:p w14:paraId="56F1F32F" w14:textId="36A0B705"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lang w:val="en-US"/>
        </w:rPr>
        <w:t xml:space="preserve">See, </w:t>
      </w:r>
      <w:r w:rsidR="00936EE5" w:rsidRPr="00DF0ED0">
        <w:rPr>
          <w:color w:val="000000" w:themeColor="text1"/>
          <w:szCs w:val="16"/>
          <w:lang w:val="en-US"/>
        </w:rPr>
        <w:t xml:space="preserve">Kannan and </w:t>
      </w:r>
      <w:proofErr w:type="spellStart"/>
      <w:r w:rsidR="00936EE5" w:rsidRPr="00DF0ED0">
        <w:rPr>
          <w:color w:val="000000" w:themeColor="text1"/>
          <w:szCs w:val="16"/>
          <w:lang w:val="en-US"/>
        </w:rPr>
        <w:t>Vijayaraghavan</w:t>
      </w:r>
      <w:proofErr w:type="spellEnd"/>
      <w:r w:rsidR="00936EE5" w:rsidRPr="00DF0ED0">
        <w:rPr>
          <w:color w:val="000000" w:themeColor="text1"/>
          <w:szCs w:val="16"/>
          <w:lang w:val="en-US"/>
        </w:rPr>
        <w:t xml:space="preserve"> (n</w:t>
      </w:r>
      <w:r w:rsidR="00550FDB" w:rsidRPr="00DF0ED0">
        <w:rPr>
          <w:color w:val="000000" w:themeColor="text1"/>
          <w:szCs w:val="16"/>
          <w:lang w:val="en-US"/>
        </w:rPr>
        <w:t xml:space="preserve"> 13</w:t>
      </w:r>
      <w:r w:rsidR="00DF0ED0">
        <w:rPr>
          <w:color w:val="000000" w:themeColor="text1"/>
          <w:szCs w:val="16"/>
          <w:lang w:val="en-US"/>
        </w:rPr>
        <w:t>5</w:t>
      </w:r>
      <w:r w:rsidR="00936EE5" w:rsidRPr="00DF0ED0">
        <w:rPr>
          <w:color w:val="000000" w:themeColor="text1"/>
          <w:szCs w:val="16"/>
          <w:lang w:val="en-US"/>
        </w:rPr>
        <w:t xml:space="preserve">) </w:t>
      </w:r>
      <w:r w:rsidRPr="00DF0ED0">
        <w:rPr>
          <w:color w:val="000000" w:themeColor="text1"/>
          <w:szCs w:val="16"/>
          <w:lang w:val="en-US"/>
        </w:rPr>
        <w:t>141.1.</w:t>
      </w:r>
    </w:p>
  </w:footnote>
  <w:footnote w:id="170">
    <w:p w14:paraId="518B8F61" w14:textId="05B5DE20" w:rsidR="009515E4" w:rsidRPr="00DF0ED0" w:rsidRDefault="009515E4" w:rsidP="00EE6927">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lang w:val="en-US"/>
        </w:rPr>
        <w:t xml:space="preserve">See, Para. 1(a) of the Notification </w:t>
      </w:r>
      <w:r w:rsidR="00936EE5" w:rsidRPr="00DF0ED0">
        <w:rPr>
          <w:color w:val="000000" w:themeColor="text1"/>
          <w:szCs w:val="16"/>
          <w:lang w:val="en-US"/>
        </w:rPr>
        <w:t>of</w:t>
      </w:r>
      <w:r w:rsidRPr="00DF0ED0">
        <w:rPr>
          <w:color w:val="000000" w:themeColor="text1"/>
          <w:szCs w:val="16"/>
          <w:lang w:val="en-US"/>
        </w:rPr>
        <w:t xml:space="preserve"> the Central Government, 2018</w:t>
      </w:r>
      <w:r w:rsidR="00936EE5" w:rsidRPr="00DF0ED0">
        <w:rPr>
          <w:color w:val="000000" w:themeColor="text1"/>
          <w:szCs w:val="16"/>
          <w:lang w:val="en-US"/>
        </w:rPr>
        <w:t xml:space="preserve"> (n</w:t>
      </w:r>
      <w:r w:rsidR="00550FDB" w:rsidRPr="00DF0ED0">
        <w:rPr>
          <w:color w:val="000000" w:themeColor="text1"/>
          <w:szCs w:val="16"/>
          <w:lang w:val="en-US"/>
        </w:rPr>
        <w:t xml:space="preserve"> 16</w:t>
      </w:r>
      <w:r w:rsidR="00DF0ED0">
        <w:rPr>
          <w:color w:val="000000" w:themeColor="text1"/>
          <w:szCs w:val="16"/>
          <w:lang w:val="en-US"/>
        </w:rPr>
        <w:t>7</w:t>
      </w:r>
      <w:r w:rsidR="00936EE5" w:rsidRPr="00DF0ED0">
        <w:rPr>
          <w:color w:val="000000" w:themeColor="text1"/>
          <w:szCs w:val="16"/>
          <w:lang w:val="en-US"/>
        </w:rPr>
        <w:t>)</w:t>
      </w:r>
    </w:p>
  </w:footnote>
  <w:footnote w:id="171">
    <w:p w14:paraId="2FA08973" w14:textId="77777777" w:rsidR="009515E4" w:rsidRPr="00DF0ED0" w:rsidRDefault="009515E4" w:rsidP="00EE6927">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w:t>
      </w:r>
    </w:p>
  </w:footnote>
  <w:footnote w:id="172">
    <w:p w14:paraId="1883108B" w14:textId="77777777" w:rsidR="009515E4" w:rsidRPr="00DF0ED0" w:rsidRDefault="009515E4" w:rsidP="00B3522B">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Sec. 161(2)(b) of the MVAA, 2019.</w:t>
      </w:r>
    </w:p>
  </w:footnote>
  <w:footnote w:id="173">
    <w:p w14:paraId="771E53B3" w14:textId="77777777" w:rsidR="009515E4" w:rsidRPr="00DF0ED0" w:rsidRDefault="009515E4" w:rsidP="00B3522B">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Sec. 163 of the MVA.</w:t>
      </w:r>
    </w:p>
  </w:footnote>
  <w:footnote w:id="174">
    <w:p w14:paraId="7113A3A2" w14:textId="6A1D6F54"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Sec. 182A inserted by the MVAA 2019 read along with Sec. 109 of the MVA. Importers and dealers of such vehicles would also be criminally liable with the manufacturer.  </w:t>
      </w:r>
    </w:p>
  </w:footnote>
  <w:footnote w:id="175">
    <w:p w14:paraId="6E7BE6D7" w14:textId="705699B2" w:rsidR="00904068" w:rsidRPr="00DF0ED0" w:rsidRDefault="00904068" w:rsidP="00904068">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 Sec</w:t>
      </w:r>
      <w:r w:rsidR="00231DC0" w:rsidRPr="00DF0ED0">
        <w:rPr>
          <w:color w:val="000000" w:themeColor="text1"/>
          <w:lang w:val="en-US"/>
        </w:rPr>
        <w:t>s</w:t>
      </w:r>
      <w:r w:rsidRPr="00DF0ED0">
        <w:rPr>
          <w:color w:val="000000" w:themeColor="text1"/>
          <w:lang w:val="en-US"/>
        </w:rPr>
        <w:t xml:space="preserve"> 2(34) </w:t>
      </w:r>
      <w:r w:rsidR="00231DC0" w:rsidRPr="00DF0ED0">
        <w:rPr>
          <w:color w:val="000000" w:themeColor="text1"/>
          <w:lang w:val="en-US"/>
        </w:rPr>
        <w:t xml:space="preserve">and 84 </w:t>
      </w:r>
      <w:r w:rsidRPr="00DF0ED0">
        <w:rPr>
          <w:color w:val="000000" w:themeColor="text1"/>
          <w:lang w:val="en-US"/>
        </w:rPr>
        <w:t xml:space="preserve">of the Consumer Protection Amendment Act, 2019, </w:t>
      </w:r>
      <w:r w:rsidRPr="00DF0ED0">
        <w:rPr>
          <w:color w:val="000000" w:themeColor="text1"/>
          <w:szCs w:val="16"/>
          <w:lang w:val="en-US"/>
        </w:rPr>
        <w:t>Act No. 35 of 2019 [CPA</w:t>
      </w:r>
      <w:r w:rsidRPr="00DF0ED0">
        <w:rPr>
          <w:color w:val="000000" w:themeColor="text1"/>
          <w:szCs w:val="16"/>
          <w:lang w:val="en-US"/>
        </w:rPr>
        <w:t>A</w:t>
      </w:r>
      <w:r w:rsidRPr="00DF0ED0">
        <w:rPr>
          <w:color w:val="000000" w:themeColor="text1"/>
          <w:szCs w:val="16"/>
          <w:lang w:val="en-US"/>
        </w:rPr>
        <w:t>]. The</w:t>
      </w:r>
      <w:r w:rsidRPr="00DF0ED0">
        <w:rPr>
          <w:color w:val="000000" w:themeColor="text1"/>
          <w:lang w:val="en-US"/>
        </w:rPr>
        <w:t xml:space="preserve"> expression is defined as </w:t>
      </w:r>
    </w:p>
    <w:p w14:paraId="75D07A3A" w14:textId="2253CB8E" w:rsidR="00904068" w:rsidRPr="00DF0ED0" w:rsidRDefault="00904068" w:rsidP="00936EE5">
      <w:pPr>
        <w:pStyle w:val="FootnoteText"/>
        <w:ind w:left="720"/>
        <w:rPr>
          <w:color w:val="000000" w:themeColor="text1"/>
          <w:lang w:val="en-US"/>
        </w:rPr>
      </w:pPr>
      <w:r w:rsidRPr="00DF0ED0">
        <w:rPr>
          <w:color w:val="000000" w:themeColor="text1"/>
          <w:lang w:val="en-US"/>
        </w:rPr>
        <w:t>the responsibility of a product manufacturer or product seller, of any product or service, to compensate for any harm caused to a consumer by such defective product manufactured or sold or by a deficiency in services relating thereto.</w:t>
      </w:r>
    </w:p>
  </w:footnote>
  <w:footnote w:id="176">
    <w:p w14:paraId="2D48C36B" w14:textId="447A191E" w:rsidR="00A23C48" w:rsidRPr="00DF0ED0" w:rsidRDefault="00A23C48">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936EE5" w:rsidRPr="00DF0ED0">
        <w:rPr>
          <w:color w:val="000000" w:themeColor="text1"/>
          <w:lang w:val="en-US"/>
        </w:rPr>
        <w:t>Ibid,</w:t>
      </w:r>
      <w:r w:rsidRPr="00DF0ED0">
        <w:rPr>
          <w:color w:val="000000" w:themeColor="text1"/>
          <w:lang w:val="en-US"/>
        </w:rPr>
        <w:t xml:space="preserve"> 2(22) and 82.</w:t>
      </w:r>
    </w:p>
  </w:footnote>
  <w:footnote w:id="177">
    <w:p w14:paraId="0E7ED295" w14:textId="4F100484" w:rsidR="00174AA4" w:rsidRPr="00DF0ED0" w:rsidRDefault="00174AA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936EE5" w:rsidRPr="00DF0ED0">
        <w:rPr>
          <w:color w:val="000000" w:themeColor="text1"/>
        </w:rPr>
        <w:t>Ibid,</w:t>
      </w:r>
      <w:r w:rsidRPr="00DF0ED0">
        <w:rPr>
          <w:color w:val="000000" w:themeColor="text1"/>
        </w:rPr>
        <w:t xml:space="preserve"> </w:t>
      </w:r>
      <w:r w:rsidRPr="00DF0ED0">
        <w:rPr>
          <w:color w:val="000000" w:themeColor="text1"/>
          <w:lang w:val="en-US"/>
        </w:rPr>
        <w:t>Sec</w:t>
      </w:r>
      <w:r w:rsidR="00263A63" w:rsidRPr="00DF0ED0">
        <w:rPr>
          <w:color w:val="000000" w:themeColor="text1"/>
          <w:lang w:val="en-US"/>
        </w:rPr>
        <w:t>s</w:t>
      </w:r>
      <w:r w:rsidRPr="00DF0ED0">
        <w:rPr>
          <w:color w:val="000000" w:themeColor="text1"/>
          <w:lang w:val="en-US"/>
        </w:rPr>
        <w:t xml:space="preserve"> 2(10)</w:t>
      </w:r>
      <w:r w:rsidR="00263A63" w:rsidRPr="00DF0ED0">
        <w:rPr>
          <w:color w:val="000000" w:themeColor="text1"/>
          <w:lang w:val="en-US"/>
        </w:rPr>
        <w:t xml:space="preserve"> and 84.</w:t>
      </w:r>
    </w:p>
  </w:footnote>
  <w:footnote w:id="178">
    <w:p w14:paraId="3C1087CB" w14:textId="1765B972" w:rsidR="00174AA4" w:rsidRPr="00DF0ED0" w:rsidRDefault="00174AA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Ibid, Sec</w:t>
      </w:r>
      <w:r w:rsidR="00263A63" w:rsidRPr="00DF0ED0">
        <w:rPr>
          <w:color w:val="000000" w:themeColor="text1"/>
          <w:lang w:val="en-US"/>
        </w:rPr>
        <w:t>s</w:t>
      </w:r>
      <w:r w:rsidRPr="00DF0ED0">
        <w:rPr>
          <w:color w:val="000000" w:themeColor="text1"/>
          <w:lang w:val="en-US"/>
        </w:rPr>
        <w:t xml:space="preserve">. 2(12) </w:t>
      </w:r>
      <w:r w:rsidR="00263A63" w:rsidRPr="00DF0ED0">
        <w:rPr>
          <w:color w:val="000000" w:themeColor="text1"/>
          <w:lang w:val="en-US"/>
        </w:rPr>
        <w:t>and 84</w:t>
      </w:r>
      <w:r w:rsidRPr="00DF0ED0">
        <w:rPr>
          <w:color w:val="000000" w:themeColor="text1"/>
          <w:lang w:val="en-US"/>
        </w:rPr>
        <w:t>.</w:t>
      </w:r>
    </w:p>
  </w:footnote>
  <w:footnote w:id="179">
    <w:p w14:paraId="07B9CE75" w14:textId="466FCCFC" w:rsidR="00A23C48" w:rsidRPr="00DF0ED0" w:rsidRDefault="00A23C48">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936EE5" w:rsidRPr="00DF0ED0">
        <w:rPr>
          <w:color w:val="000000" w:themeColor="text1"/>
        </w:rPr>
        <w:t xml:space="preserve">Ibid, </w:t>
      </w:r>
      <w:r w:rsidRPr="00DF0ED0">
        <w:rPr>
          <w:color w:val="000000" w:themeColor="text1"/>
          <w:lang w:val="en-US"/>
        </w:rPr>
        <w:t>Sec. 2(22)</w:t>
      </w:r>
      <w:r w:rsidR="006A2226" w:rsidRPr="00DF0ED0">
        <w:rPr>
          <w:color w:val="000000" w:themeColor="text1"/>
          <w:lang w:val="en-US"/>
        </w:rPr>
        <w:t>.</w:t>
      </w:r>
    </w:p>
  </w:footnote>
  <w:footnote w:id="180">
    <w:p w14:paraId="565781DE" w14:textId="5F885BD6" w:rsidR="007449D7" w:rsidRPr="00DF0ED0" w:rsidRDefault="007449D7" w:rsidP="007449D7">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936EE5" w:rsidRPr="00DF0ED0">
        <w:rPr>
          <w:color w:val="000000" w:themeColor="text1"/>
          <w:lang w:val="en-US"/>
        </w:rPr>
        <w:t>Ibid,</w:t>
      </w:r>
      <w:r w:rsidRPr="00DF0ED0">
        <w:rPr>
          <w:color w:val="000000" w:themeColor="text1"/>
          <w:lang w:val="en-US"/>
        </w:rPr>
        <w:t xml:space="preserve"> Sec. 2(33), defines the term ‘product’.</w:t>
      </w:r>
    </w:p>
  </w:footnote>
  <w:footnote w:id="181">
    <w:p w14:paraId="57D71FF2" w14:textId="04A68F91" w:rsidR="00E95C42" w:rsidRPr="00DF0ED0" w:rsidRDefault="00E95C42" w:rsidP="00E95C42">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936EE5" w:rsidRPr="00DF0ED0">
        <w:rPr>
          <w:color w:val="000000" w:themeColor="text1"/>
        </w:rPr>
        <w:t xml:space="preserve">Ibid, </w:t>
      </w:r>
      <w:r w:rsidRPr="00DF0ED0">
        <w:rPr>
          <w:color w:val="000000" w:themeColor="text1"/>
          <w:lang w:val="en-US"/>
        </w:rPr>
        <w:t xml:space="preserve">Sec. 2(10). </w:t>
      </w:r>
    </w:p>
  </w:footnote>
  <w:footnote w:id="182">
    <w:p w14:paraId="63530C97" w14:textId="3651F85D" w:rsidR="00E95C42" w:rsidRPr="00DF0ED0" w:rsidRDefault="00E95C42" w:rsidP="00E95C42">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936EE5" w:rsidRPr="00DF0ED0">
        <w:rPr>
          <w:color w:val="000000" w:themeColor="text1"/>
        </w:rPr>
        <w:t>Ibid,</w:t>
      </w:r>
      <w:r w:rsidRPr="00DF0ED0">
        <w:rPr>
          <w:color w:val="000000" w:themeColor="text1"/>
        </w:rPr>
        <w:t xml:space="preserve"> Secs. 83 and 84 of the CPA</w:t>
      </w:r>
      <w:r w:rsidR="00904068" w:rsidRPr="00DF0ED0">
        <w:rPr>
          <w:color w:val="000000" w:themeColor="text1"/>
        </w:rPr>
        <w:t>A</w:t>
      </w:r>
      <w:r w:rsidRPr="00DF0ED0">
        <w:rPr>
          <w:color w:val="000000" w:themeColor="text1"/>
        </w:rPr>
        <w:t xml:space="preserve">, which do not indicate if the defect should have existed in the product at the time when it was put into circulation. </w:t>
      </w:r>
      <w:proofErr w:type="spellStart"/>
      <w:r w:rsidRPr="00DF0ED0">
        <w:rPr>
          <w:color w:val="000000" w:themeColor="text1"/>
          <w:lang w:val="en-US"/>
        </w:rPr>
        <w:t>Cf</w:t>
      </w:r>
      <w:proofErr w:type="spellEnd"/>
      <w:r w:rsidRPr="00DF0ED0">
        <w:rPr>
          <w:color w:val="000000" w:themeColor="text1"/>
          <w:lang w:val="en-US"/>
        </w:rPr>
        <w:t xml:space="preserve">, Art. 7(b) of the </w:t>
      </w:r>
      <w:r w:rsidR="00936EE5" w:rsidRPr="00DF0ED0">
        <w:rPr>
          <w:color w:val="000000" w:themeColor="text1"/>
          <w:lang w:val="en-US"/>
        </w:rPr>
        <w:t>PLD</w:t>
      </w:r>
      <w:r w:rsidRPr="00DF0ED0">
        <w:rPr>
          <w:color w:val="000000" w:themeColor="text1"/>
          <w:lang w:val="en-US"/>
        </w:rPr>
        <w:t xml:space="preserve">, which clarifies that the manufacturer’s liability is limited to injuries caused by a defect in the goods or its design that existed at the time when the product was put into circulation. </w:t>
      </w:r>
    </w:p>
  </w:footnote>
  <w:footnote w:id="183">
    <w:p w14:paraId="45641759" w14:textId="1E1FF985" w:rsidR="00E95C42" w:rsidRPr="00DF0ED0" w:rsidRDefault="00E95C42" w:rsidP="00E95C42">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Ibid, Sec. 2(36) read along with Sec. 86.</w:t>
      </w:r>
    </w:p>
  </w:footnote>
  <w:footnote w:id="184">
    <w:p w14:paraId="2BE09789" w14:textId="123C88DE" w:rsidR="00E95C42" w:rsidRPr="00DF0ED0" w:rsidRDefault="00E95C42" w:rsidP="00E95C42">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DF0ED0">
        <w:rPr>
          <w:color w:val="000000" w:themeColor="text1"/>
          <w:lang w:val="en-US"/>
        </w:rPr>
        <w:t>Cf</w:t>
      </w:r>
      <w:proofErr w:type="spellEnd"/>
      <w:r w:rsidRPr="00DF0ED0">
        <w:rPr>
          <w:color w:val="000000" w:themeColor="text1"/>
          <w:lang w:val="en-US"/>
        </w:rPr>
        <w:t xml:space="preserve">, Art. 5 of the </w:t>
      </w:r>
      <w:r w:rsidR="001E1B01" w:rsidRPr="00DF0ED0">
        <w:rPr>
          <w:color w:val="000000" w:themeColor="text1"/>
          <w:lang w:val="en-US"/>
        </w:rPr>
        <w:t>PLD</w:t>
      </w:r>
      <w:r w:rsidRPr="00DF0ED0">
        <w:rPr>
          <w:color w:val="000000" w:themeColor="text1"/>
          <w:lang w:val="en-US"/>
        </w:rPr>
        <w:t xml:space="preserve">, which holds all persons that are involved in the manufacturing process as jointly and severally liable for injuries. </w:t>
      </w:r>
    </w:p>
  </w:footnote>
  <w:footnote w:id="185">
    <w:p w14:paraId="33084611" w14:textId="7A22A610" w:rsidR="00C8542C" w:rsidRPr="00DF0ED0" w:rsidRDefault="00C8542C" w:rsidP="00C8542C">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 Sec. 84 of the CPA</w:t>
      </w:r>
      <w:r w:rsidR="00904068" w:rsidRPr="00DF0ED0">
        <w:rPr>
          <w:color w:val="000000" w:themeColor="text1"/>
          <w:lang w:val="en-US"/>
        </w:rPr>
        <w:t>A</w:t>
      </w:r>
      <w:r w:rsidRPr="00DF0ED0">
        <w:rPr>
          <w:color w:val="000000" w:themeColor="text1"/>
          <w:lang w:val="en-US"/>
        </w:rPr>
        <w:t>.</w:t>
      </w:r>
    </w:p>
  </w:footnote>
  <w:footnote w:id="186">
    <w:p w14:paraId="32FEA19E" w14:textId="3E6A4BA7" w:rsidR="009515E4" w:rsidRPr="00DF0ED0" w:rsidRDefault="009515E4" w:rsidP="00F1741B">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rPr>
        <w:t xml:space="preserve">Ibid, </w:t>
      </w:r>
      <w:r w:rsidRPr="00DF0ED0">
        <w:rPr>
          <w:color w:val="000000" w:themeColor="text1"/>
          <w:lang w:val="en-US"/>
        </w:rPr>
        <w:t>Sec. 86(d).</w:t>
      </w:r>
    </w:p>
  </w:footnote>
  <w:footnote w:id="187">
    <w:p w14:paraId="5E0B471C" w14:textId="151EC1F7"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text accompanying notes </w:t>
      </w:r>
      <w:r w:rsidR="00550FDB" w:rsidRPr="00DF0ED0">
        <w:rPr>
          <w:color w:val="000000" w:themeColor="text1"/>
          <w:lang w:val="en-US"/>
        </w:rPr>
        <w:t>144-147.</w:t>
      </w:r>
    </w:p>
  </w:footnote>
  <w:footnote w:id="188">
    <w:p w14:paraId="6F9BDD1F" w14:textId="6BFE433A"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See, the decision of the Supreme Court in </w:t>
      </w:r>
      <w:proofErr w:type="spellStart"/>
      <w:r w:rsidRPr="00DF0ED0">
        <w:rPr>
          <w:i/>
          <w:color w:val="000000" w:themeColor="text1"/>
        </w:rPr>
        <w:t>Kaushnuma</w:t>
      </w:r>
      <w:proofErr w:type="spellEnd"/>
      <w:r w:rsidRPr="00DF0ED0">
        <w:rPr>
          <w:i/>
          <w:color w:val="000000" w:themeColor="text1"/>
        </w:rPr>
        <w:t xml:space="preserve"> </w:t>
      </w:r>
      <w:r w:rsidR="001E1B01" w:rsidRPr="00DF0ED0">
        <w:rPr>
          <w:color w:val="000000" w:themeColor="text1"/>
        </w:rPr>
        <w:t>(n</w:t>
      </w:r>
      <w:r w:rsidR="00550FDB" w:rsidRPr="00DF0ED0">
        <w:rPr>
          <w:color w:val="000000" w:themeColor="text1"/>
        </w:rPr>
        <w:t xml:space="preserve"> 1</w:t>
      </w:r>
      <w:r w:rsidR="00DF0ED0">
        <w:rPr>
          <w:color w:val="000000" w:themeColor="text1"/>
        </w:rPr>
        <w:t>30</w:t>
      </w:r>
      <w:r w:rsidR="001E1B01" w:rsidRPr="00DF0ED0">
        <w:rPr>
          <w:color w:val="000000" w:themeColor="text1"/>
        </w:rPr>
        <w:t>)</w:t>
      </w:r>
      <w:r w:rsidRPr="00DF0ED0">
        <w:rPr>
          <w:color w:val="000000" w:themeColor="text1"/>
          <w:szCs w:val="16"/>
          <w:lang w:val="en-US"/>
        </w:rPr>
        <w:t>.</w:t>
      </w:r>
    </w:p>
  </w:footnote>
  <w:footnote w:id="189">
    <w:p w14:paraId="288FE064" w14:textId="270552FF"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w:t>
      </w:r>
    </w:p>
  </w:footnote>
  <w:footnote w:id="190">
    <w:p w14:paraId="0BE813FE" w14:textId="34ED9A5B" w:rsidR="009515E4" w:rsidRPr="00DF0ED0" w:rsidRDefault="009515E4" w:rsidP="00A648C1">
      <w:pPr>
        <w:pStyle w:val="FootnoteText"/>
        <w:rPr>
          <w:color w:val="000000" w:themeColor="text1"/>
          <w:szCs w:val="16"/>
          <w:lang w:val="en-US"/>
        </w:rPr>
      </w:pPr>
      <w:r w:rsidRPr="00DF0ED0">
        <w:rPr>
          <w:rStyle w:val="FootnoteReference"/>
          <w:color w:val="000000" w:themeColor="text1"/>
          <w:szCs w:val="16"/>
        </w:rPr>
        <w:footnoteRef/>
      </w:r>
      <w:r w:rsidRPr="00DF0ED0">
        <w:rPr>
          <w:color w:val="000000" w:themeColor="text1"/>
          <w:szCs w:val="16"/>
        </w:rPr>
        <w:t xml:space="preserve"> </w:t>
      </w:r>
      <w:r w:rsidR="001E1B01" w:rsidRPr="00DF0ED0">
        <w:rPr>
          <w:color w:val="000000" w:themeColor="text1"/>
          <w:szCs w:val="16"/>
          <w:lang w:val="en-US"/>
        </w:rPr>
        <w:t>Ibid</w:t>
      </w:r>
      <w:r w:rsidRPr="00DF0ED0">
        <w:rPr>
          <w:color w:val="000000" w:themeColor="text1"/>
          <w:szCs w:val="16"/>
          <w:lang w:val="en-US"/>
        </w:rPr>
        <w:t>.</w:t>
      </w:r>
    </w:p>
  </w:footnote>
  <w:footnote w:id="191">
    <w:p w14:paraId="302A4A0F" w14:textId="6E8E4D9C" w:rsidR="009515E4" w:rsidRPr="00DF0ED0" w:rsidRDefault="009515E4" w:rsidP="00E1507F">
      <w:pPr>
        <w:pStyle w:val="FootnoteText"/>
        <w:rPr>
          <w:color w:val="000000" w:themeColor="text1"/>
          <w:szCs w:val="16"/>
          <w:lang w:val="en-US"/>
        </w:rPr>
      </w:pPr>
      <w:r w:rsidRPr="00DF0ED0">
        <w:rPr>
          <w:rStyle w:val="FootnoteReference"/>
          <w:color w:val="000000" w:themeColor="text1"/>
          <w:szCs w:val="16"/>
        </w:rPr>
        <w:footnoteRef/>
      </w:r>
      <w:r w:rsidRPr="00DF0ED0">
        <w:rPr>
          <w:color w:val="000000" w:themeColor="text1"/>
          <w:szCs w:val="16"/>
        </w:rPr>
        <w:t xml:space="preserve"> </w:t>
      </w:r>
      <w:r w:rsidRPr="00DF0ED0">
        <w:rPr>
          <w:color w:val="000000" w:themeColor="text1"/>
          <w:szCs w:val="16"/>
        </w:rPr>
        <w:t xml:space="preserve">(1868) LR 3 HL 330, 339, 340. Also see, </w:t>
      </w:r>
      <w:proofErr w:type="spellStart"/>
      <w:r w:rsidRPr="00DF0ED0">
        <w:rPr>
          <w:color w:val="000000" w:themeColor="text1"/>
          <w:szCs w:val="16"/>
          <w:lang w:val="en-US"/>
        </w:rPr>
        <w:t>Sapre</w:t>
      </w:r>
      <w:proofErr w:type="spellEnd"/>
      <w:r w:rsidRPr="00DF0ED0">
        <w:rPr>
          <w:color w:val="000000" w:themeColor="text1"/>
          <w:szCs w:val="16"/>
          <w:lang w:val="en-US"/>
        </w:rPr>
        <w:t xml:space="preserve">, </w:t>
      </w:r>
      <w:proofErr w:type="spellStart"/>
      <w:r w:rsidR="001E1B01" w:rsidRPr="00DF0ED0">
        <w:rPr>
          <w:color w:val="000000" w:themeColor="text1"/>
          <w:szCs w:val="16"/>
          <w:lang w:val="en-US"/>
        </w:rPr>
        <w:t>Akshay</w:t>
      </w:r>
      <w:proofErr w:type="spellEnd"/>
      <w:r w:rsidR="001E1B01" w:rsidRPr="00DF0ED0">
        <w:rPr>
          <w:color w:val="000000" w:themeColor="text1"/>
          <w:szCs w:val="16"/>
          <w:lang w:val="en-US"/>
        </w:rPr>
        <w:t xml:space="preserve">, </w:t>
      </w:r>
      <w:proofErr w:type="spellStart"/>
      <w:r w:rsidRPr="00DF0ED0">
        <w:rPr>
          <w:i/>
          <w:color w:val="000000" w:themeColor="text1"/>
          <w:szCs w:val="16"/>
          <w:lang w:val="en-US"/>
        </w:rPr>
        <w:t>Ratanlal</w:t>
      </w:r>
      <w:proofErr w:type="spellEnd"/>
      <w:r w:rsidRPr="00DF0ED0">
        <w:rPr>
          <w:i/>
          <w:color w:val="000000" w:themeColor="text1"/>
          <w:szCs w:val="16"/>
          <w:lang w:val="en-US"/>
        </w:rPr>
        <w:t xml:space="preserve"> &amp; </w:t>
      </w:r>
      <w:proofErr w:type="spellStart"/>
      <w:r w:rsidRPr="00DF0ED0">
        <w:rPr>
          <w:i/>
          <w:color w:val="000000" w:themeColor="text1"/>
          <w:szCs w:val="16"/>
          <w:lang w:val="en-US"/>
        </w:rPr>
        <w:t>Dhirajlal</w:t>
      </w:r>
      <w:proofErr w:type="spellEnd"/>
      <w:r w:rsidRPr="00DF0ED0">
        <w:rPr>
          <w:i/>
          <w:color w:val="000000" w:themeColor="text1"/>
          <w:szCs w:val="16"/>
          <w:lang w:val="en-US"/>
        </w:rPr>
        <w:t>: The Law of Torts,</w:t>
      </w:r>
      <w:r w:rsidRPr="00DF0ED0">
        <w:rPr>
          <w:color w:val="000000" w:themeColor="text1"/>
          <w:szCs w:val="16"/>
          <w:lang w:val="en-US"/>
        </w:rPr>
        <w:t xml:space="preserve"> 28th </w:t>
      </w:r>
      <w:proofErr w:type="spellStart"/>
      <w:r w:rsidRPr="00DF0ED0">
        <w:rPr>
          <w:color w:val="000000" w:themeColor="text1"/>
          <w:szCs w:val="16"/>
          <w:lang w:val="en-US"/>
        </w:rPr>
        <w:t>edn</w:t>
      </w:r>
      <w:proofErr w:type="spellEnd"/>
      <w:r w:rsidRPr="00DF0ED0">
        <w:rPr>
          <w:color w:val="000000" w:themeColor="text1"/>
          <w:szCs w:val="16"/>
          <w:lang w:val="en-US"/>
        </w:rPr>
        <w:t xml:space="preserve">, LexisNexis 2018, 498 </w:t>
      </w:r>
      <w:r w:rsidRPr="00DF0ED0">
        <w:rPr>
          <w:i/>
          <w:color w:val="000000" w:themeColor="text1"/>
          <w:szCs w:val="16"/>
          <w:lang w:val="en-US"/>
        </w:rPr>
        <w:t>et seq</w:t>
      </w:r>
      <w:r w:rsidRPr="00DF0ED0">
        <w:rPr>
          <w:color w:val="000000" w:themeColor="text1"/>
          <w:szCs w:val="16"/>
          <w:lang w:val="en-US"/>
        </w:rPr>
        <w:t>.</w:t>
      </w:r>
    </w:p>
  </w:footnote>
  <w:footnote w:id="192">
    <w:p w14:paraId="257D0435" w14:textId="0E646014" w:rsidR="009515E4" w:rsidRPr="00DF0ED0" w:rsidRDefault="009515E4" w:rsidP="004D5FA0">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4A5067">
        <w:rPr>
          <w:i/>
          <w:color w:val="000000" w:themeColor="text1"/>
          <w:lang w:val="en-US"/>
        </w:rPr>
        <w:t>Kaushnuma</w:t>
      </w:r>
      <w:proofErr w:type="spellEnd"/>
      <w:r w:rsidRPr="00DF0ED0">
        <w:rPr>
          <w:color w:val="000000" w:themeColor="text1"/>
          <w:lang w:val="en-US"/>
        </w:rPr>
        <w:t xml:space="preserve"> (n</w:t>
      </w:r>
      <w:r w:rsidR="00466E7E" w:rsidRPr="00DF0ED0">
        <w:rPr>
          <w:color w:val="000000" w:themeColor="text1"/>
          <w:lang w:val="en-US"/>
        </w:rPr>
        <w:t xml:space="preserve"> 1</w:t>
      </w:r>
      <w:r w:rsidR="00DF0ED0">
        <w:rPr>
          <w:color w:val="000000" w:themeColor="text1"/>
          <w:lang w:val="en-US"/>
        </w:rPr>
        <w:t>30</w:t>
      </w:r>
      <w:r w:rsidRPr="00DF0ED0">
        <w:rPr>
          <w:color w:val="000000" w:themeColor="text1"/>
          <w:lang w:val="en-US"/>
        </w:rPr>
        <w:t>) [</w:t>
      </w:r>
      <w:r w:rsidR="001E1B01" w:rsidRPr="00DF0ED0">
        <w:rPr>
          <w:color w:val="000000" w:themeColor="text1"/>
          <w:lang w:val="en-US"/>
        </w:rPr>
        <w:t>14</w:t>
      </w:r>
      <w:r w:rsidRPr="00DF0ED0">
        <w:rPr>
          <w:color w:val="000000" w:themeColor="text1"/>
          <w:lang w:val="en-US"/>
        </w:rPr>
        <w:t>].</w:t>
      </w:r>
    </w:p>
  </w:footnote>
  <w:footnote w:id="193">
    <w:p w14:paraId="3071A01C" w14:textId="5EDD7F76"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Ibid, read along with </w:t>
      </w:r>
      <w:r w:rsidRPr="00DF0ED0">
        <w:rPr>
          <w:color w:val="000000" w:themeColor="text1"/>
          <w:lang w:val="en-US"/>
        </w:rPr>
        <w:t xml:space="preserve">Sec. 168 of the MVA which </w:t>
      </w:r>
      <w:r w:rsidR="00986B65" w:rsidRPr="00DF0ED0">
        <w:rPr>
          <w:color w:val="000000" w:themeColor="text1"/>
          <w:lang w:val="en-US"/>
        </w:rPr>
        <w:t>authorizes</w:t>
      </w:r>
      <w:r w:rsidRPr="00DF0ED0">
        <w:rPr>
          <w:color w:val="000000" w:themeColor="text1"/>
          <w:lang w:val="en-US"/>
        </w:rPr>
        <w:t xml:space="preserve"> the Claims Tribunal to obligate the owners and drivers to compensate the victims for such damage.</w:t>
      </w:r>
    </w:p>
  </w:footnote>
  <w:footnote w:id="194">
    <w:p w14:paraId="22E15AB3" w14:textId="62B2B360"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 Sec. 146 of the MVA. But see, Secs. 147(1) and 149(2) of the MVA that similarly exonerate the insurer from its eventual liability to indemnify the ‘wrongdoer’ for such damage.</w:t>
      </w:r>
    </w:p>
  </w:footnote>
  <w:footnote w:id="195">
    <w:p w14:paraId="11181D54" w14:textId="194F42D8"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4A5067">
        <w:rPr>
          <w:i/>
          <w:color w:val="000000" w:themeColor="text1"/>
          <w:lang w:val="en-US"/>
        </w:rPr>
        <w:t>Kaushnuma</w:t>
      </w:r>
      <w:proofErr w:type="spellEnd"/>
      <w:r w:rsidRPr="00DF0ED0">
        <w:rPr>
          <w:color w:val="000000" w:themeColor="text1"/>
          <w:lang w:val="en-US"/>
        </w:rPr>
        <w:t xml:space="preserve"> (n</w:t>
      </w:r>
      <w:r w:rsidR="00466E7E" w:rsidRPr="00DF0ED0">
        <w:rPr>
          <w:color w:val="000000" w:themeColor="text1"/>
          <w:lang w:val="en-US"/>
        </w:rPr>
        <w:t xml:space="preserve"> 1</w:t>
      </w:r>
      <w:r w:rsidR="00DF0ED0">
        <w:rPr>
          <w:color w:val="000000" w:themeColor="text1"/>
          <w:lang w:val="en-US"/>
        </w:rPr>
        <w:t>30</w:t>
      </w:r>
      <w:r w:rsidRPr="00DF0ED0">
        <w:rPr>
          <w:color w:val="000000" w:themeColor="text1"/>
          <w:lang w:val="en-US"/>
        </w:rPr>
        <w:t>) [14].</w:t>
      </w:r>
    </w:p>
  </w:footnote>
  <w:footnote w:id="196">
    <w:p w14:paraId="2BF4ECC2" w14:textId="4D3346F0"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 xml:space="preserve">Ibid. </w:t>
      </w:r>
    </w:p>
  </w:footnote>
  <w:footnote w:id="197">
    <w:p w14:paraId="5ADE16FC" w14:textId="1D639861"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4A5067">
        <w:rPr>
          <w:i/>
          <w:color w:val="000000" w:themeColor="text1"/>
          <w:lang w:val="en-US"/>
        </w:rPr>
        <w:t>Kaushnuma</w:t>
      </w:r>
      <w:proofErr w:type="spellEnd"/>
      <w:r w:rsidRPr="00DF0ED0">
        <w:rPr>
          <w:color w:val="000000" w:themeColor="text1"/>
          <w:lang w:val="en-US"/>
        </w:rPr>
        <w:t xml:space="preserve"> (n</w:t>
      </w:r>
      <w:r w:rsidR="00466E7E" w:rsidRPr="00DF0ED0">
        <w:rPr>
          <w:color w:val="000000" w:themeColor="text1"/>
          <w:lang w:val="en-US"/>
        </w:rPr>
        <w:t xml:space="preserve"> 1</w:t>
      </w:r>
      <w:r w:rsidR="00DF0ED0">
        <w:rPr>
          <w:color w:val="000000" w:themeColor="text1"/>
          <w:lang w:val="en-US"/>
        </w:rPr>
        <w:t>30</w:t>
      </w:r>
      <w:r w:rsidRPr="00DF0ED0">
        <w:rPr>
          <w:color w:val="000000" w:themeColor="text1"/>
          <w:lang w:val="en-US"/>
        </w:rPr>
        <w:t>) [14].</w:t>
      </w:r>
    </w:p>
  </w:footnote>
  <w:footnote w:id="198">
    <w:p w14:paraId="7874ADAF" w14:textId="660E9E6C"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w:t>
      </w:r>
    </w:p>
  </w:footnote>
  <w:footnote w:id="199">
    <w:p w14:paraId="333952F1" w14:textId="375FC2F6" w:rsidR="009840D3" w:rsidRPr="00DF0ED0" w:rsidRDefault="009840D3" w:rsidP="009840D3">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DF0ED0">
        <w:rPr>
          <w:color w:val="000000" w:themeColor="text1"/>
          <w:szCs w:val="16"/>
          <w:lang w:val="en-US"/>
        </w:rPr>
        <w:t>Sapre</w:t>
      </w:r>
      <w:proofErr w:type="spellEnd"/>
      <w:r w:rsidRPr="00DF0ED0">
        <w:rPr>
          <w:color w:val="000000" w:themeColor="text1"/>
          <w:szCs w:val="16"/>
          <w:lang w:val="en-US"/>
        </w:rPr>
        <w:t xml:space="preserve">, </w:t>
      </w:r>
      <w:proofErr w:type="spellStart"/>
      <w:r w:rsidR="001E1B01" w:rsidRPr="00DF0ED0">
        <w:rPr>
          <w:color w:val="000000" w:themeColor="text1"/>
          <w:szCs w:val="16"/>
          <w:lang w:val="en-US"/>
        </w:rPr>
        <w:t>Akshay</w:t>
      </w:r>
      <w:proofErr w:type="spellEnd"/>
      <w:r w:rsidR="001E1B01" w:rsidRPr="00DF0ED0">
        <w:rPr>
          <w:color w:val="000000" w:themeColor="text1"/>
          <w:szCs w:val="16"/>
          <w:lang w:val="en-US"/>
        </w:rPr>
        <w:t xml:space="preserve">, </w:t>
      </w:r>
      <w:proofErr w:type="spellStart"/>
      <w:r w:rsidRPr="00DF0ED0">
        <w:rPr>
          <w:i/>
          <w:color w:val="000000" w:themeColor="text1"/>
          <w:szCs w:val="16"/>
          <w:lang w:val="en-US"/>
        </w:rPr>
        <w:t>Ratanlal</w:t>
      </w:r>
      <w:proofErr w:type="spellEnd"/>
      <w:r w:rsidRPr="00DF0ED0">
        <w:rPr>
          <w:i/>
          <w:color w:val="000000" w:themeColor="text1"/>
          <w:szCs w:val="16"/>
          <w:lang w:val="en-US"/>
        </w:rPr>
        <w:t xml:space="preserve"> &amp; </w:t>
      </w:r>
      <w:proofErr w:type="spellStart"/>
      <w:r w:rsidRPr="00DF0ED0">
        <w:rPr>
          <w:i/>
          <w:color w:val="000000" w:themeColor="text1"/>
          <w:szCs w:val="16"/>
          <w:lang w:val="en-US"/>
        </w:rPr>
        <w:t>Dhirajlal</w:t>
      </w:r>
      <w:proofErr w:type="spellEnd"/>
      <w:r w:rsidRPr="00DF0ED0">
        <w:rPr>
          <w:i/>
          <w:color w:val="000000" w:themeColor="text1"/>
          <w:szCs w:val="16"/>
          <w:lang w:val="en-US"/>
        </w:rPr>
        <w:t>: The Law of Torts,</w:t>
      </w:r>
      <w:r w:rsidRPr="00DF0ED0">
        <w:rPr>
          <w:color w:val="000000" w:themeColor="text1"/>
          <w:szCs w:val="16"/>
          <w:lang w:val="en-US"/>
        </w:rPr>
        <w:t xml:space="preserve"> 28th </w:t>
      </w:r>
      <w:proofErr w:type="spellStart"/>
      <w:r w:rsidRPr="00DF0ED0">
        <w:rPr>
          <w:color w:val="000000" w:themeColor="text1"/>
          <w:szCs w:val="16"/>
          <w:lang w:val="en-US"/>
        </w:rPr>
        <w:t>edn</w:t>
      </w:r>
      <w:proofErr w:type="spellEnd"/>
      <w:r w:rsidRPr="00DF0ED0">
        <w:rPr>
          <w:color w:val="000000" w:themeColor="text1"/>
          <w:szCs w:val="16"/>
          <w:lang w:val="en-US"/>
        </w:rPr>
        <w:t xml:space="preserve">, LexisNexis 2018, Chapter XIX, </w:t>
      </w:r>
      <w:r w:rsidR="001E1B01" w:rsidRPr="00DF0ED0">
        <w:rPr>
          <w:color w:val="000000" w:themeColor="text1"/>
          <w:szCs w:val="16"/>
          <w:lang w:val="en-US"/>
        </w:rPr>
        <w:t>[</w:t>
      </w:r>
      <w:r w:rsidRPr="00DF0ED0">
        <w:rPr>
          <w:color w:val="000000" w:themeColor="text1"/>
          <w:szCs w:val="16"/>
          <w:lang w:val="en-US"/>
        </w:rPr>
        <w:t>19.2.1.2</w:t>
      </w:r>
      <w:r w:rsidR="001E1B01" w:rsidRPr="00DF0ED0">
        <w:rPr>
          <w:color w:val="000000" w:themeColor="text1"/>
          <w:szCs w:val="16"/>
          <w:lang w:val="en-US"/>
        </w:rPr>
        <w:t>]</w:t>
      </w:r>
      <w:r w:rsidRPr="00DF0ED0">
        <w:rPr>
          <w:color w:val="000000" w:themeColor="text1"/>
          <w:szCs w:val="16"/>
          <w:lang w:val="en-US"/>
        </w:rPr>
        <w:t>.</w:t>
      </w:r>
    </w:p>
  </w:footnote>
  <w:footnote w:id="200">
    <w:p w14:paraId="02AC3C08" w14:textId="153A0E67" w:rsidR="00882309" w:rsidRPr="00DF0ED0" w:rsidRDefault="00882309">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6A2226" w:rsidRPr="00DF0ED0">
        <w:rPr>
          <w:color w:val="000000" w:themeColor="text1"/>
          <w:lang w:val="en-US"/>
        </w:rPr>
        <w:t xml:space="preserve">See, text accompanying notes </w:t>
      </w:r>
      <w:r w:rsidR="001A1ADB" w:rsidRPr="00DF0ED0">
        <w:rPr>
          <w:color w:val="000000" w:themeColor="text1"/>
          <w:lang w:val="en-US"/>
        </w:rPr>
        <w:t>17</w:t>
      </w:r>
      <w:r w:rsidR="004A5067">
        <w:rPr>
          <w:color w:val="000000" w:themeColor="text1"/>
          <w:lang w:val="en-US"/>
        </w:rPr>
        <w:t>7</w:t>
      </w:r>
      <w:r w:rsidR="001A1ADB" w:rsidRPr="00DF0ED0">
        <w:rPr>
          <w:color w:val="000000" w:themeColor="text1"/>
          <w:lang w:val="en-US"/>
        </w:rPr>
        <w:t>-17</w:t>
      </w:r>
      <w:r w:rsidR="004A5067">
        <w:rPr>
          <w:color w:val="000000" w:themeColor="text1"/>
          <w:lang w:val="en-US"/>
        </w:rPr>
        <w:t>9</w:t>
      </w:r>
      <w:r w:rsidR="001A1ADB" w:rsidRPr="00DF0ED0">
        <w:rPr>
          <w:b/>
          <w:color w:val="000000" w:themeColor="text1"/>
          <w:lang w:val="en-US"/>
        </w:rPr>
        <w:t xml:space="preserve"> </w:t>
      </w:r>
      <w:r w:rsidR="006A2226" w:rsidRPr="00DF0ED0">
        <w:rPr>
          <w:color w:val="000000" w:themeColor="text1"/>
          <w:lang w:val="en-US"/>
        </w:rPr>
        <w:t>referring to Sec. 84 of the CPA.</w:t>
      </w:r>
    </w:p>
  </w:footnote>
  <w:footnote w:id="201">
    <w:p w14:paraId="3FD333F0" w14:textId="7C95064F" w:rsidR="009840D3" w:rsidRPr="00DF0ED0" w:rsidRDefault="009840D3" w:rsidP="009840D3">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A1ADB" w:rsidRPr="00DF0ED0">
        <w:rPr>
          <w:color w:val="000000" w:themeColor="text1"/>
          <w:lang w:val="en-US"/>
        </w:rPr>
        <w:t>Ibid</w:t>
      </w:r>
      <w:r w:rsidRPr="00DF0ED0">
        <w:rPr>
          <w:color w:val="000000" w:themeColor="text1"/>
          <w:lang w:val="en-US"/>
        </w:rPr>
        <w:t>.</w:t>
      </w:r>
    </w:p>
  </w:footnote>
  <w:footnote w:id="202">
    <w:p w14:paraId="483E816A" w14:textId="542BF02F" w:rsidR="00882309" w:rsidRPr="00DF0ED0" w:rsidRDefault="00882309">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text accompanying notes </w:t>
      </w:r>
      <w:r w:rsidR="001A1ADB" w:rsidRPr="00DF0ED0">
        <w:rPr>
          <w:color w:val="000000" w:themeColor="text1"/>
          <w:lang w:val="en-US"/>
        </w:rPr>
        <w:t>17</w:t>
      </w:r>
      <w:r w:rsidR="004A5067">
        <w:rPr>
          <w:color w:val="000000" w:themeColor="text1"/>
          <w:lang w:val="en-US"/>
        </w:rPr>
        <w:t>6</w:t>
      </w:r>
      <w:r w:rsidR="001A1ADB" w:rsidRPr="00DF0ED0">
        <w:rPr>
          <w:color w:val="000000" w:themeColor="text1"/>
          <w:lang w:val="en-US"/>
        </w:rPr>
        <w:t>-18</w:t>
      </w:r>
      <w:r w:rsidR="004A5067">
        <w:rPr>
          <w:color w:val="000000" w:themeColor="text1"/>
          <w:lang w:val="en-US"/>
        </w:rPr>
        <w:t>7</w:t>
      </w:r>
      <w:r w:rsidRPr="00DF0ED0">
        <w:rPr>
          <w:color w:val="000000" w:themeColor="text1"/>
          <w:lang w:val="en-US"/>
        </w:rPr>
        <w:t xml:space="preserve"> referring to Secs. </w:t>
      </w:r>
      <w:r w:rsidR="001A1ADB" w:rsidRPr="00DF0ED0">
        <w:rPr>
          <w:color w:val="000000" w:themeColor="text1"/>
          <w:lang w:val="en-US"/>
        </w:rPr>
        <w:t>83-86 of the CPAA.</w:t>
      </w:r>
    </w:p>
  </w:footnote>
  <w:footnote w:id="203">
    <w:p w14:paraId="43924E36" w14:textId="67210AD7"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4A5067">
        <w:rPr>
          <w:i/>
          <w:color w:val="000000" w:themeColor="text1"/>
          <w:lang w:val="en-US"/>
        </w:rPr>
        <w:t>Kaushnuma</w:t>
      </w:r>
      <w:proofErr w:type="spellEnd"/>
      <w:r w:rsidRPr="00DF0ED0">
        <w:rPr>
          <w:color w:val="000000" w:themeColor="text1"/>
          <w:lang w:val="en-US"/>
        </w:rPr>
        <w:t xml:space="preserve"> (n</w:t>
      </w:r>
      <w:r w:rsidR="001A1ADB" w:rsidRPr="00DF0ED0">
        <w:rPr>
          <w:color w:val="000000" w:themeColor="text1"/>
          <w:lang w:val="en-US"/>
        </w:rPr>
        <w:t xml:space="preserve"> 1</w:t>
      </w:r>
      <w:r w:rsidR="004A5067">
        <w:rPr>
          <w:color w:val="000000" w:themeColor="text1"/>
          <w:lang w:val="en-US"/>
        </w:rPr>
        <w:t>30</w:t>
      </w:r>
      <w:r w:rsidRPr="00DF0ED0">
        <w:rPr>
          <w:color w:val="000000" w:themeColor="text1"/>
          <w:lang w:val="en-US"/>
        </w:rPr>
        <w:t>) [14].</w:t>
      </w:r>
    </w:p>
  </w:footnote>
  <w:footnote w:id="204">
    <w:p w14:paraId="763834F8" w14:textId="01575AD6"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DF0ED0">
        <w:rPr>
          <w:color w:val="000000" w:themeColor="text1"/>
          <w:lang w:val="en-US"/>
        </w:rPr>
        <w:t>Sapre</w:t>
      </w:r>
      <w:proofErr w:type="spellEnd"/>
      <w:r w:rsidRPr="00DF0ED0">
        <w:rPr>
          <w:color w:val="000000" w:themeColor="text1"/>
          <w:lang w:val="en-US"/>
        </w:rPr>
        <w:t xml:space="preserve"> (n</w:t>
      </w:r>
      <w:r w:rsidR="001A1ADB" w:rsidRPr="00DF0ED0">
        <w:rPr>
          <w:color w:val="000000" w:themeColor="text1"/>
          <w:lang w:val="en-US"/>
        </w:rPr>
        <w:t xml:space="preserve"> 19</w:t>
      </w:r>
      <w:r w:rsidR="004A5067">
        <w:rPr>
          <w:color w:val="000000" w:themeColor="text1"/>
          <w:lang w:val="en-US"/>
        </w:rPr>
        <w:t>9</w:t>
      </w:r>
      <w:r w:rsidRPr="00DF0ED0">
        <w:rPr>
          <w:color w:val="000000" w:themeColor="text1"/>
          <w:lang w:val="en-US"/>
        </w:rPr>
        <w:t>) [19.2.1.2].</w:t>
      </w:r>
    </w:p>
  </w:footnote>
  <w:footnote w:id="205">
    <w:p w14:paraId="73D456B8" w14:textId="35610704"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4A5067">
        <w:rPr>
          <w:i/>
          <w:color w:val="000000" w:themeColor="text1"/>
          <w:lang w:val="en-US"/>
        </w:rPr>
        <w:t>Kaushnuma</w:t>
      </w:r>
      <w:proofErr w:type="spellEnd"/>
      <w:r w:rsidRPr="00DF0ED0">
        <w:rPr>
          <w:color w:val="000000" w:themeColor="text1"/>
          <w:lang w:val="en-US"/>
        </w:rPr>
        <w:t xml:space="preserve"> (n</w:t>
      </w:r>
      <w:r w:rsidR="0011651D" w:rsidRPr="00DF0ED0">
        <w:rPr>
          <w:color w:val="000000" w:themeColor="text1"/>
          <w:lang w:val="en-US"/>
        </w:rPr>
        <w:t xml:space="preserve"> 1</w:t>
      </w:r>
      <w:r w:rsidR="004A5067">
        <w:rPr>
          <w:color w:val="000000" w:themeColor="text1"/>
          <w:lang w:val="en-US"/>
        </w:rPr>
        <w:t>30</w:t>
      </w:r>
      <w:r w:rsidRPr="00DF0ED0">
        <w:rPr>
          <w:color w:val="000000" w:themeColor="text1"/>
          <w:lang w:val="en-US"/>
        </w:rPr>
        <w:t>) [14].</w:t>
      </w:r>
    </w:p>
  </w:footnote>
  <w:footnote w:id="206">
    <w:p w14:paraId="404C3619" w14:textId="7BFD7A01"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w:t>
      </w:r>
    </w:p>
  </w:footnote>
  <w:footnote w:id="207">
    <w:p w14:paraId="16134884" w14:textId="74141429"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w:t>
      </w:r>
    </w:p>
  </w:footnote>
  <w:footnote w:id="208">
    <w:p w14:paraId="618FCDB5" w14:textId="69909DB8"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Ibid. </w:t>
      </w:r>
    </w:p>
  </w:footnote>
  <w:footnote w:id="209">
    <w:p w14:paraId="1205B88A" w14:textId="6EE5DA06" w:rsidR="0042563E" w:rsidRPr="00DF0ED0" w:rsidRDefault="0042563E" w:rsidP="0042563E">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DF0ED0">
        <w:rPr>
          <w:color w:val="000000" w:themeColor="text1"/>
          <w:lang w:val="en-US"/>
        </w:rPr>
        <w:t>Sapre</w:t>
      </w:r>
      <w:proofErr w:type="spellEnd"/>
      <w:r w:rsidRPr="00DF0ED0">
        <w:rPr>
          <w:color w:val="000000" w:themeColor="text1"/>
          <w:lang w:val="en-US"/>
        </w:rPr>
        <w:t xml:space="preserve"> (n</w:t>
      </w:r>
      <w:r w:rsidR="0011651D" w:rsidRPr="00DF0ED0">
        <w:rPr>
          <w:color w:val="000000" w:themeColor="text1"/>
          <w:lang w:val="en-US"/>
        </w:rPr>
        <w:t xml:space="preserve"> 19</w:t>
      </w:r>
      <w:r w:rsidR="003743A6">
        <w:rPr>
          <w:color w:val="000000" w:themeColor="text1"/>
          <w:lang w:val="en-US"/>
        </w:rPr>
        <w:t>9</w:t>
      </w:r>
      <w:r w:rsidRPr="00DF0ED0">
        <w:rPr>
          <w:color w:val="000000" w:themeColor="text1"/>
          <w:lang w:val="en-US"/>
        </w:rPr>
        <w:t>) [19.2.1.2].</w:t>
      </w:r>
    </w:p>
  </w:footnote>
  <w:footnote w:id="210">
    <w:p w14:paraId="5A78F50D" w14:textId="5B07F825" w:rsidR="00F769C7" w:rsidRPr="00DF0ED0" w:rsidRDefault="00F769C7">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rPr>
        <w:t>Deloitte (n</w:t>
      </w:r>
      <w:r w:rsidR="00C65D18" w:rsidRPr="00DF0ED0">
        <w:rPr>
          <w:color w:val="000000" w:themeColor="text1"/>
        </w:rPr>
        <w:t xml:space="preserve"> 22</w:t>
      </w:r>
      <w:r w:rsidRPr="00DF0ED0">
        <w:rPr>
          <w:color w:val="000000" w:themeColor="text1"/>
        </w:rPr>
        <w:t>) at 9, which indicates that 69 per</w:t>
      </w:r>
      <w:r w:rsidRPr="00DF0ED0">
        <w:rPr>
          <w:color w:val="000000" w:themeColor="text1"/>
        </w:rPr>
        <w:t xml:space="preserve"> </w:t>
      </w:r>
      <w:r w:rsidRPr="00DF0ED0">
        <w:rPr>
          <w:color w:val="000000" w:themeColor="text1"/>
        </w:rPr>
        <w:t>cent of Indians are very concerned about biometric data being captured by autonomous cars</w:t>
      </w:r>
      <w:r w:rsidRPr="00DF0ED0">
        <w:rPr>
          <w:color w:val="000000" w:themeColor="text1"/>
        </w:rPr>
        <w:t>.</w:t>
      </w:r>
    </w:p>
  </w:footnote>
  <w:footnote w:id="211">
    <w:p w14:paraId="494376A2" w14:textId="04731C17"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F769C7" w:rsidRPr="00DF0ED0">
        <w:rPr>
          <w:color w:val="000000" w:themeColor="text1"/>
        </w:rPr>
        <w:t>Ibid</w:t>
      </w:r>
      <w:r w:rsidR="00FE1CEF" w:rsidRPr="00DF0ED0">
        <w:rPr>
          <w:color w:val="000000" w:themeColor="text1"/>
        </w:rPr>
        <w:t xml:space="preserve">, which indicates that 62, 59, 42, 40 and 40 </w:t>
      </w:r>
      <w:r w:rsidR="00937A7F" w:rsidRPr="00DF0ED0">
        <w:rPr>
          <w:color w:val="000000" w:themeColor="text1"/>
        </w:rPr>
        <w:t>per</w:t>
      </w:r>
      <w:r w:rsidR="00F769C7" w:rsidRPr="00DF0ED0">
        <w:rPr>
          <w:color w:val="000000" w:themeColor="text1"/>
        </w:rPr>
        <w:t xml:space="preserve"> </w:t>
      </w:r>
      <w:r w:rsidR="00937A7F" w:rsidRPr="00DF0ED0">
        <w:rPr>
          <w:color w:val="000000" w:themeColor="text1"/>
        </w:rPr>
        <w:t xml:space="preserve">cent of </w:t>
      </w:r>
      <w:r w:rsidR="00FE1CEF" w:rsidRPr="00DF0ED0">
        <w:rPr>
          <w:color w:val="000000" w:themeColor="text1"/>
        </w:rPr>
        <w:t xml:space="preserve">consumers </w:t>
      </w:r>
      <w:r w:rsidR="00F769C7" w:rsidRPr="00DF0ED0">
        <w:rPr>
          <w:color w:val="000000" w:themeColor="text1"/>
        </w:rPr>
        <w:t xml:space="preserve">have expressed some scepticism about </w:t>
      </w:r>
      <w:r w:rsidR="00F769C7" w:rsidRPr="00DF0ED0">
        <w:rPr>
          <w:color w:val="000000" w:themeColor="text1"/>
        </w:rPr>
        <w:t>biometric data being captured by autonomous cars</w:t>
      </w:r>
      <w:r w:rsidR="00FE1CEF" w:rsidRPr="00DF0ED0">
        <w:rPr>
          <w:color w:val="000000" w:themeColor="text1"/>
        </w:rPr>
        <w:t xml:space="preserve"> in </w:t>
      </w:r>
      <w:r w:rsidR="00FE1CEF" w:rsidRPr="00DF0ED0">
        <w:rPr>
          <w:rFonts w:asciiTheme="minorHAnsi" w:hAnsiTheme="minorHAnsi" w:cstheme="minorHAnsi"/>
          <w:color w:val="000000" w:themeColor="text1"/>
          <w:lang w:val="en-US"/>
        </w:rPr>
        <w:t>Germany, the US, Republic of Korea, Japan and China</w:t>
      </w:r>
      <w:r w:rsidR="00FE1CEF" w:rsidRPr="00DF0ED0">
        <w:rPr>
          <w:rFonts w:asciiTheme="minorHAnsi" w:hAnsiTheme="minorHAnsi" w:cstheme="minorHAnsi"/>
          <w:color w:val="000000" w:themeColor="text1"/>
          <w:lang w:val="en-US"/>
        </w:rPr>
        <w:t xml:space="preserve"> (respectively). </w:t>
      </w:r>
    </w:p>
  </w:footnote>
  <w:footnote w:id="212">
    <w:p w14:paraId="78C96F06" w14:textId="77777777" w:rsidR="009515E4" w:rsidRPr="00DF0ED0" w:rsidRDefault="009515E4" w:rsidP="008C20A0">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The text of the PDB Bill may be accessed at: http://164.100.47.4/BillsTexts/LSBillTexts/Asintroduced/373_2019_LS_Eng.pdf.</w:t>
      </w:r>
    </w:p>
  </w:footnote>
  <w:footnote w:id="213">
    <w:p w14:paraId="11CECE42" w14:textId="581194A4"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 Secs. 43A and 72A of the ITA.</w:t>
      </w:r>
    </w:p>
  </w:footnote>
  <w:footnote w:id="214">
    <w:p w14:paraId="651031D2" w14:textId="2963CB6A"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 Preamble to the ITA.</w:t>
      </w:r>
    </w:p>
  </w:footnote>
  <w:footnote w:id="215">
    <w:p w14:paraId="606128E0" w14:textId="52D5EBF4"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in this respect, Sec. 3 of the SDPI Rules. </w:t>
      </w:r>
    </w:p>
  </w:footnote>
  <w:footnote w:id="216">
    <w:p w14:paraId="7A85212C" w14:textId="7AE075BE"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Sec. 43A of the ITA.</w:t>
      </w:r>
    </w:p>
  </w:footnote>
  <w:footnote w:id="217">
    <w:p w14:paraId="1154718C" w14:textId="77777777" w:rsidR="009515E4" w:rsidRPr="00DF0ED0" w:rsidRDefault="009515E4" w:rsidP="0054328F">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Sec. 43A of the ITA.</w:t>
      </w:r>
    </w:p>
  </w:footnote>
  <w:footnote w:id="218">
    <w:p w14:paraId="330E7FE2" w14:textId="4EDFF6CA"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rPr>
        <w:t xml:space="preserve">Ibid, </w:t>
      </w:r>
      <w:r w:rsidRPr="00DF0ED0">
        <w:rPr>
          <w:color w:val="000000" w:themeColor="text1"/>
          <w:lang w:val="en-US"/>
        </w:rPr>
        <w:t>Explanation (</w:t>
      </w:r>
      <w:proofErr w:type="spellStart"/>
      <w:r w:rsidRPr="00DF0ED0">
        <w:rPr>
          <w:color w:val="000000" w:themeColor="text1"/>
          <w:lang w:val="en-US"/>
        </w:rPr>
        <w:t>i</w:t>
      </w:r>
      <w:proofErr w:type="spellEnd"/>
      <w:r w:rsidRPr="00DF0ED0">
        <w:rPr>
          <w:color w:val="000000" w:themeColor="text1"/>
          <w:lang w:val="en-US"/>
        </w:rPr>
        <w:t>) to Sec. 43A.</w:t>
      </w:r>
    </w:p>
  </w:footnote>
  <w:footnote w:id="219">
    <w:p w14:paraId="36B8BD26" w14:textId="323CD4F5" w:rsidR="009515E4" w:rsidRPr="00DF0ED0" w:rsidRDefault="009515E4" w:rsidP="00421540">
      <w:pPr>
        <w:pStyle w:val="FootnoteText"/>
        <w:rPr>
          <w:color w:val="000000" w:themeColor="text1"/>
          <w:szCs w:val="16"/>
          <w:lang w:val="en-US"/>
        </w:rPr>
      </w:pPr>
      <w:r w:rsidRPr="00DF0ED0">
        <w:rPr>
          <w:rStyle w:val="FootnoteReference"/>
          <w:color w:val="000000" w:themeColor="text1"/>
          <w:szCs w:val="16"/>
        </w:rPr>
        <w:footnoteRef/>
      </w:r>
      <w:r w:rsidRPr="00DF0ED0">
        <w:rPr>
          <w:color w:val="000000" w:themeColor="text1"/>
          <w:szCs w:val="16"/>
        </w:rPr>
        <w:t xml:space="preserve"> </w:t>
      </w:r>
      <w:r w:rsidR="001E1B01" w:rsidRPr="00DF0ED0">
        <w:rPr>
          <w:color w:val="000000" w:themeColor="text1"/>
          <w:szCs w:val="16"/>
          <w:lang w:val="en-US"/>
        </w:rPr>
        <w:t>I</w:t>
      </w:r>
      <w:r w:rsidRPr="00DF0ED0">
        <w:rPr>
          <w:color w:val="000000" w:themeColor="text1"/>
          <w:szCs w:val="16"/>
          <w:lang w:val="en-US"/>
        </w:rPr>
        <w:t>bid, Section 5(9).</w:t>
      </w:r>
    </w:p>
  </w:footnote>
  <w:footnote w:id="220">
    <w:p w14:paraId="31B964D5" w14:textId="5A120AF7" w:rsidR="009515E4" w:rsidRPr="00DF0ED0" w:rsidRDefault="009515E4" w:rsidP="00421540">
      <w:pPr>
        <w:pStyle w:val="FootnoteText"/>
        <w:rPr>
          <w:color w:val="000000" w:themeColor="text1"/>
          <w:szCs w:val="16"/>
          <w:lang w:val="en-US"/>
        </w:rPr>
      </w:pPr>
      <w:r w:rsidRPr="00DF0ED0">
        <w:rPr>
          <w:rStyle w:val="FootnoteReference"/>
          <w:color w:val="000000" w:themeColor="text1"/>
          <w:szCs w:val="16"/>
        </w:rPr>
        <w:footnoteRef/>
      </w:r>
      <w:r w:rsidRPr="00DF0ED0">
        <w:rPr>
          <w:color w:val="000000" w:themeColor="text1"/>
          <w:szCs w:val="16"/>
        </w:rPr>
        <w:t xml:space="preserve"> </w:t>
      </w:r>
      <w:r w:rsidR="001E1B01" w:rsidRPr="00DF0ED0">
        <w:rPr>
          <w:color w:val="000000" w:themeColor="text1"/>
          <w:szCs w:val="16"/>
          <w:lang w:val="en-US"/>
        </w:rPr>
        <w:t>I</w:t>
      </w:r>
      <w:r w:rsidRPr="00DF0ED0">
        <w:rPr>
          <w:color w:val="000000" w:themeColor="text1"/>
          <w:szCs w:val="16"/>
          <w:lang w:val="en-US"/>
        </w:rPr>
        <w:t xml:space="preserve">bid. </w:t>
      </w:r>
    </w:p>
  </w:footnote>
  <w:footnote w:id="221">
    <w:p w14:paraId="33EC211E" w14:textId="238B6452" w:rsidR="006E7745" w:rsidRPr="00DF0ED0" w:rsidRDefault="006E7745">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rPr>
        <w:t xml:space="preserve">Ibid, </w:t>
      </w:r>
      <w:r w:rsidRPr="00DF0ED0">
        <w:rPr>
          <w:color w:val="000000" w:themeColor="text1"/>
          <w:lang w:val="en-US"/>
        </w:rPr>
        <w:t>Sec. 47</w:t>
      </w:r>
    </w:p>
  </w:footnote>
  <w:footnote w:id="222">
    <w:p w14:paraId="77042514" w14:textId="198506C5"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lang w:val="en-US"/>
        </w:rPr>
        <w:t>I</w:t>
      </w:r>
      <w:r w:rsidR="006E7745" w:rsidRPr="00DF0ED0">
        <w:rPr>
          <w:color w:val="000000" w:themeColor="text1"/>
          <w:lang w:val="en-US"/>
        </w:rPr>
        <w:t>bid</w:t>
      </w:r>
      <w:r w:rsidRPr="00DF0ED0">
        <w:rPr>
          <w:color w:val="000000" w:themeColor="text1"/>
          <w:lang w:val="en-US"/>
        </w:rPr>
        <w:t>.</w:t>
      </w:r>
    </w:p>
  </w:footnote>
  <w:footnote w:id="223">
    <w:p w14:paraId="3E414845" w14:textId="09AF57BC" w:rsidR="00B17508" w:rsidRPr="00DF0ED0" w:rsidRDefault="00B17508">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rPr>
        <w:t xml:space="preserve">Ibid, </w:t>
      </w:r>
      <w:r w:rsidRPr="00DF0ED0">
        <w:rPr>
          <w:color w:val="000000" w:themeColor="text1"/>
          <w:lang w:val="en-US"/>
        </w:rPr>
        <w:t>Sec. 72A.</w:t>
      </w:r>
    </w:p>
  </w:footnote>
  <w:footnote w:id="224">
    <w:p w14:paraId="19E3FE02" w14:textId="74A7EB00"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B17508" w:rsidRPr="00DF0ED0">
        <w:rPr>
          <w:color w:val="000000" w:themeColor="text1"/>
          <w:lang w:val="en-US"/>
        </w:rPr>
        <w:t>Ibid</w:t>
      </w:r>
      <w:r w:rsidRPr="00DF0ED0">
        <w:rPr>
          <w:color w:val="000000" w:themeColor="text1"/>
          <w:lang w:val="en-US"/>
        </w:rPr>
        <w:t>.</w:t>
      </w:r>
    </w:p>
  </w:footnote>
  <w:footnote w:id="225">
    <w:p w14:paraId="25871327" w14:textId="2E8884AC" w:rsidR="004A5E4E" w:rsidRPr="00DF0ED0" w:rsidRDefault="004A5E4E">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80936" w:rsidRPr="00DF0ED0">
        <w:rPr>
          <w:color w:val="000000" w:themeColor="text1"/>
        </w:rPr>
        <w:t xml:space="preserve">See, </w:t>
      </w:r>
      <w:r w:rsidR="00180936" w:rsidRPr="00DF0ED0">
        <w:rPr>
          <w:color w:val="000000" w:themeColor="text1"/>
          <w:lang w:val="en-US"/>
        </w:rPr>
        <w:t>Sec. 3(13) of the PDP Bill</w:t>
      </w:r>
      <w:r w:rsidR="00180936" w:rsidRPr="00DF0ED0">
        <w:rPr>
          <w:color w:val="000000" w:themeColor="text1"/>
          <w:lang w:val="en-US"/>
        </w:rPr>
        <w:t xml:space="preserve"> that </w:t>
      </w:r>
      <w:r w:rsidRPr="00DF0ED0">
        <w:rPr>
          <w:color w:val="000000" w:themeColor="text1"/>
          <w:lang w:val="en-US"/>
        </w:rPr>
        <w:t>do</w:t>
      </w:r>
      <w:r w:rsidR="00180936" w:rsidRPr="00DF0ED0">
        <w:rPr>
          <w:color w:val="000000" w:themeColor="text1"/>
          <w:lang w:val="en-US"/>
        </w:rPr>
        <w:t>es</w:t>
      </w:r>
      <w:r w:rsidRPr="00DF0ED0">
        <w:rPr>
          <w:color w:val="000000" w:themeColor="text1"/>
          <w:lang w:val="en-US"/>
        </w:rPr>
        <w:t xml:space="preserve"> not limit the liability to body corporates. </w:t>
      </w:r>
    </w:p>
  </w:footnote>
  <w:footnote w:id="226">
    <w:p w14:paraId="50C7B0F6" w14:textId="66ACE678"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80936" w:rsidRPr="00DF0ED0">
        <w:rPr>
          <w:color w:val="000000" w:themeColor="text1"/>
          <w:lang w:val="en-US"/>
        </w:rPr>
        <w:t>Ibid</w:t>
      </w:r>
      <w:r w:rsidRPr="00DF0ED0">
        <w:rPr>
          <w:color w:val="000000" w:themeColor="text1"/>
          <w:lang w:val="en-US"/>
        </w:rPr>
        <w:t xml:space="preserve">. </w:t>
      </w:r>
    </w:p>
  </w:footnote>
  <w:footnote w:id="227">
    <w:p w14:paraId="4C5676A3" w14:textId="3D779115" w:rsidR="009515E4" w:rsidRPr="00DF0ED0" w:rsidRDefault="009515E4" w:rsidP="00F52DCB">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lang w:val="en-US"/>
        </w:rPr>
        <w:t>Ibid</w:t>
      </w:r>
      <w:r w:rsidRPr="00DF0ED0">
        <w:rPr>
          <w:color w:val="000000" w:themeColor="text1"/>
          <w:lang w:val="en-US"/>
        </w:rPr>
        <w:t xml:space="preserve">, Sec. 3(14) of the PDP Bill. </w:t>
      </w:r>
    </w:p>
  </w:footnote>
  <w:footnote w:id="228">
    <w:p w14:paraId="51B3A232" w14:textId="636DCBB9" w:rsidR="009515E4" w:rsidRPr="00DF0ED0"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rPr>
        <w:t xml:space="preserve">Ibid, </w:t>
      </w:r>
      <w:r w:rsidRPr="00DF0ED0">
        <w:rPr>
          <w:color w:val="000000" w:themeColor="text1"/>
          <w:lang w:val="en-US"/>
        </w:rPr>
        <w:t xml:space="preserve">Sec. 26 of the PDP Bill. </w:t>
      </w:r>
    </w:p>
  </w:footnote>
  <w:footnote w:id="229">
    <w:p w14:paraId="093C5396" w14:textId="0508E9B2" w:rsidR="00E11E57" w:rsidRPr="00DF0ED0" w:rsidRDefault="00E11E57" w:rsidP="00E11E57">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rPr>
        <w:t xml:space="preserve">Ibid, </w:t>
      </w:r>
      <w:r w:rsidRPr="00DF0ED0">
        <w:rPr>
          <w:color w:val="000000" w:themeColor="text1"/>
          <w:lang w:val="en-US"/>
        </w:rPr>
        <w:t xml:space="preserve">Sec. 3(29) read along with Secs. 4-6, 9 and 11-14. </w:t>
      </w:r>
    </w:p>
  </w:footnote>
  <w:footnote w:id="230">
    <w:p w14:paraId="547C4D13" w14:textId="43B1D31B" w:rsidR="00AA5C21" w:rsidRPr="00DF0ED0" w:rsidRDefault="00AA5C21" w:rsidP="00AA5C21">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lang w:val="en-US"/>
        </w:rPr>
        <w:t>Ibid</w:t>
      </w:r>
      <w:r w:rsidRPr="00DF0ED0">
        <w:rPr>
          <w:color w:val="000000" w:themeColor="text1"/>
          <w:lang w:val="en-US"/>
        </w:rPr>
        <w:t xml:space="preserve">, Sec. 3(20). </w:t>
      </w:r>
    </w:p>
  </w:footnote>
  <w:footnote w:id="231">
    <w:p w14:paraId="6A5F4C46" w14:textId="1447CC36" w:rsidR="00E11E57" w:rsidRPr="00DF0ED0" w:rsidRDefault="00E11E57" w:rsidP="00E11E57">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rPr>
        <w:t xml:space="preserve">Ibid, </w:t>
      </w:r>
      <w:r w:rsidRPr="00DF0ED0">
        <w:rPr>
          <w:color w:val="000000" w:themeColor="text1"/>
          <w:lang w:val="en-US"/>
        </w:rPr>
        <w:t xml:space="preserve">Sec. 27 read along with Sec. 30. </w:t>
      </w:r>
    </w:p>
  </w:footnote>
  <w:footnote w:id="232">
    <w:p w14:paraId="5F219157" w14:textId="21A27861" w:rsidR="009515E4" w:rsidRPr="00F80139" w:rsidRDefault="009515E4">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lang w:val="en-US"/>
        </w:rPr>
        <w:t>Ibid</w:t>
      </w:r>
      <w:r w:rsidRPr="00DF0ED0">
        <w:rPr>
          <w:color w:val="000000" w:themeColor="text1"/>
          <w:lang w:val="en-US"/>
        </w:rPr>
        <w:t xml:space="preserve">, Sec. 57(1)(c), which empowers the adjudicating authority to impose a penalty of INR 50 million </w:t>
      </w:r>
      <w:r w:rsidRPr="00F80139">
        <w:rPr>
          <w:color w:val="000000" w:themeColor="text1"/>
          <w:lang w:val="en-US"/>
        </w:rPr>
        <w:t xml:space="preserve">or two per cent of the total worldwide turnover of the preceding year, whichever is higher, for such contraventions. </w:t>
      </w:r>
    </w:p>
  </w:footnote>
  <w:footnote w:id="233">
    <w:p w14:paraId="0EA5C2A1" w14:textId="3339BE37" w:rsidR="009515E4" w:rsidRPr="00F80139" w:rsidRDefault="009515E4">
      <w:pPr>
        <w:pStyle w:val="FootnoteText"/>
        <w:rPr>
          <w:color w:val="000000" w:themeColor="text1"/>
          <w:lang w:val="en-US"/>
        </w:rPr>
      </w:pPr>
      <w:r w:rsidRPr="00F80139">
        <w:rPr>
          <w:rStyle w:val="FootnoteReference"/>
          <w:color w:val="000000" w:themeColor="text1"/>
        </w:rPr>
        <w:footnoteRef/>
      </w:r>
      <w:r w:rsidRPr="00F80139">
        <w:rPr>
          <w:color w:val="000000" w:themeColor="text1"/>
        </w:rPr>
        <w:t xml:space="preserve"> </w:t>
      </w:r>
      <w:r w:rsidR="001E1B01" w:rsidRPr="00F80139">
        <w:rPr>
          <w:color w:val="000000" w:themeColor="text1"/>
        </w:rPr>
        <w:t xml:space="preserve">Ibid, </w:t>
      </w:r>
      <w:r w:rsidRPr="00F80139">
        <w:rPr>
          <w:color w:val="000000" w:themeColor="text1"/>
        </w:rPr>
        <w:t>Sec. 9.</w:t>
      </w:r>
    </w:p>
  </w:footnote>
  <w:footnote w:id="234">
    <w:p w14:paraId="47EF90E8" w14:textId="5857087A" w:rsidR="009515E4" w:rsidRPr="00F80139" w:rsidRDefault="009515E4">
      <w:pPr>
        <w:pStyle w:val="FootnoteText"/>
        <w:rPr>
          <w:color w:val="000000" w:themeColor="text1"/>
          <w:lang w:val="en-US"/>
        </w:rPr>
      </w:pPr>
      <w:r w:rsidRPr="00F80139">
        <w:rPr>
          <w:rStyle w:val="FootnoteReference"/>
          <w:color w:val="000000" w:themeColor="text1"/>
        </w:rPr>
        <w:footnoteRef/>
      </w:r>
      <w:r w:rsidRPr="00F80139">
        <w:rPr>
          <w:color w:val="000000" w:themeColor="text1"/>
        </w:rPr>
        <w:t xml:space="preserve"> </w:t>
      </w:r>
      <w:r w:rsidR="001E1B01" w:rsidRPr="00F80139">
        <w:rPr>
          <w:color w:val="000000" w:themeColor="text1"/>
        </w:rPr>
        <w:t xml:space="preserve">Ibid, </w:t>
      </w:r>
      <w:r w:rsidRPr="00F80139">
        <w:rPr>
          <w:color w:val="000000" w:themeColor="text1"/>
        </w:rPr>
        <w:t>Secs. 22 and 23.</w:t>
      </w:r>
    </w:p>
  </w:footnote>
  <w:footnote w:id="235">
    <w:p w14:paraId="19B05F9E" w14:textId="4C811BB9" w:rsidR="009515E4" w:rsidRPr="00F80139" w:rsidRDefault="009515E4">
      <w:pPr>
        <w:pStyle w:val="FootnoteText"/>
        <w:rPr>
          <w:color w:val="000000" w:themeColor="text1"/>
          <w:lang w:val="en-US"/>
        </w:rPr>
      </w:pPr>
      <w:r w:rsidRPr="00F80139">
        <w:rPr>
          <w:rStyle w:val="FootnoteReference"/>
          <w:color w:val="000000" w:themeColor="text1"/>
        </w:rPr>
        <w:footnoteRef/>
      </w:r>
      <w:r w:rsidRPr="00F80139">
        <w:rPr>
          <w:color w:val="000000" w:themeColor="text1"/>
        </w:rPr>
        <w:t xml:space="preserve"> </w:t>
      </w:r>
      <w:r w:rsidR="001E1B01" w:rsidRPr="00F80139">
        <w:rPr>
          <w:color w:val="000000" w:themeColor="text1"/>
        </w:rPr>
        <w:t xml:space="preserve">Ibid, </w:t>
      </w:r>
      <w:r w:rsidRPr="00F80139">
        <w:rPr>
          <w:color w:val="000000" w:themeColor="text1"/>
        </w:rPr>
        <w:t xml:space="preserve">Sec. 57(2) </w:t>
      </w:r>
      <w:r w:rsidRPr="00F80139">
        <w:rPr>
          <w:color w:val="000000" w:themeColor="text1"/>
          <w:lang w:val="en-US"/>
        </w:rPr>
        <w:t>which empowers the adjudicating authority to impose a penalty of INR 150 million or four per cent of the total worldwide turnover of the preceding year, whichever is higher, for such contraventions.</w:t>
      </w:r>
    </w:p>
  </w:footnote>
  <w:footnote w:id="236">
    <w:p w14:paraId="69997AA4" w14:textId="0DE710F4" w:rsidR="003743A6" w:rsidRPr="00F80139" w:rsidRDefault="003743A6">
      <w:pPr>
        <w:pStyle w:val="FootnoteText"/>
        <w:rPr>
          <w:lang w:val="en-US"/>
        </w:rPr>
      </w:pPr>
      <w:r w:rsidRPr="00F80139">
        <w:rPr>
          <w:rStyle w:val="FootnoteReference"/>
        </w:rPr>
        <w:footnoteRef/>
      </w:r>
      <w:r w:rsidRPr="00F80139">
        <w:t xml:space="preserve"> </w:t>
      </w:r>
      <w:r w:rsidRPr="00F80139">
        <w:rPr>
          <w:lang w:val="en-US"/>
        </w:rPr>
        <w:t xml:space="preserve">BRICS is an acronym for Brazil, </w:t>
      </w:r>
      <w:r w:rsidR="00F80139">
        <w:rPr>
          <w:lang w:val="en-US"/>
        </w:rPr>
        <w:t>Russia</w:t>
      </w:r>
      <w:r w:rsidRPr="00F80139">
        <w:rPr>
          <w:lang w:val="en-US"/>
        </w:rPr>
        <w:t xml:space="preserve">, India, </w:t>
      </w:r>
      <w:r w:rsidR="00F80139">
        <w:rPr>
          <w:lang w:val="en-US"/>
        </w:rPr>
        <w:t>China</w:t>
      </w:r>
      <w:r w:rsidRPr="00F80139">
        <w:rPr>
          <w:lang w:val="en-US"/>
        </w:rPr>
        <w:t xml:space="preserve"> and South Africa. </w:t>
      </w:r>
    </w:p>
  </w:footnote>
  <w:footnote w:id="237">
    <w:p w14:paraId="7BE9B362" w14:textId="3C4190C3" w:rsidR="006E5391" w:rsidRPr="00DF0ED0" w:rsidRDefault="006E5391">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szCs w:val="16"/>
        </w:rPr>
        <w:t>Article 141 of the Indian Constitution, 1950 stipulates that ‘the law declared by Supreme Court to be binding on all courts’.</w:t>
      </w:r>
    </w:p>
  </w:footnote>
  <w:footnote w:id="238">
    <w:p w14:paraId="5F75386A" w14:textId="0CB4FC48" w:rsidR="006E5391" w:rsidRPr="00DF0ED0" w:rsidRDefault="006E5391">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proofErr w:type="spellStart"/>
      <w:r w:rsidRPr="00F80139">
        <w:rPr>
          <w:i/>
          <w:color w:val="000000" w:themeColor="text1"/>
          <w:lang w:val="en-US"/>
        </w:rPr>
        <w:t>Kaushnuma</w:t>
      </w:r>
      <w:proofErr w:type="spellEnd"/>
      <w:r w:rsidRPr="00DF0ED0">
        <w:rPr>
          <w:color w:val="000000" w:themeColor="text1"/>
          <w:lang w:val="en-US"/>
        </w:rPr>
        <w:t xml:space="preserve"> (n</w:t>
      </w:r>
      <w:r w:rsidR="00C65D18" w:rsidRPr="00DF0ED0">
        <w:rPr>
          <w:color w:val="000000" w:themeColor="text1"/>
          <w:lang w:val="en-US"/>
        </w:rPr>
        <w:t xml:space="preserve"> 1</w:t>
      </w:r>
      <w:r w:rsidR="00F80139">
        <w:rPr>
          <w:color w:val="000000" w:themeColor="text1"/>
          <w:lang w:val="en-US"/>
        </w:rPr>
        <w:t>30</w:t>
      </w:r>
      <w:r w:rsidRPr="00DF0ED0">
        <w:rPr>
          <w:color w:val="000000" w:themeColor="text1"/>
          <w:lang w:val="en-US"/>
        </w:rPr>
        <w:t xml:space="preserve">) </w:t>
      </w:r>
    </w:p>
  </w:footnote>
  <w:footnote w:id="239">
    <w:p w14:paraId="595F0398" w14:textId="1927D4AB" w:rsidR="006E5391" w:rsidRPr="00DF0ED0" w:rsidRDefault="006E5391">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937A7F" w:rsidRPr="00DF0ED0">
        <w:rPr>
          <w:color w:val="000000" w:themeColor="text1"/>
        </w:rPr>
        <w:t xml:space="preserve">Ibid. </w:t>
      </w:r>
    </w:p>
  </w:footnote>
  <w:footnote w:id="240">
    <w:p w14:paraId="19815D1E" w14:textId="65DD4947" w:rsidR="003464AC" w:rsidRPr="00DF0ED0" w:rsidRDefault="003464AC" w:rsidP="003464AC">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See</w:t>
      </w:r>
      <w:r w:rsidR="00D87F5B" w:rsidRPr="00DF0ED0">
        <w:rPr>
          <w:color w:val="000000" w:themeColor="text1"/>
          <w:lang w:val="en-US"/>
        </w:rPr>
        <w:t xml:space="preserve">, Section 3.4.2.2 above. </w:t>
      </w:r>
    </w:p>
  </w:footnote>
  <w:footnote w:id="241">
    <w:p w14:paraId="1C5FF92B" w14:textId="163F13AD" w:rsidR="006E5391" w:rsidRPr="00DF0ED0" w:rsidRDefault="006E5391">
      <w:pPr>
        <w:pStyle w:val="FootnoteText"/>
        <w:rPr>
          <w:color w:val="000000" w:themeColor="text1"/>
          <w:lang w:val="en-US"/>
        </w:rPr>
      </w:pPr>
      <w:r w:rsidRPr="00DF0ED0">
        <w:rPr>
          <w:rStyle w:val="FootnoteReference"/>
          <w:color w:val="000000" w:themeColor="text1"/>
        </w:rPr>
        <w:footnoteRef/>
      </w:r>
      <w:r w:rsidRPr="00DF0ED0">
        <w:rPr>
          <w:color w:val="000000" w:themeColor="text1"/>
        </w:rPr>
        <w:t xml:space="preserve"> </w:t>
      </w:r>
      <w:r w:rsidR="001E1B01" w:rsidRPr="00DF0ED0">
        <w:rPr>
          <w:color w:val="000000" w:themeColor="text1"/>
        </w:rPr>
        <w:t xml:space="preserve">See text accompanying notes </w:t>
      </w:r>
      <w:r w:rsidR="00BD4D57" w:rsidRPr="00DF0ED0">
        <w:rPr>
          <w:color w:val="000000" w:themeColor="text1"/>
        </w:rPr>
        <w:t xml:space="preserve">55-60 </w:t>
      </w:r>
      <w:r w:rsidR="001E1B01" w:rsidRPr="00DF0ED0">
        <w:rPr>
          <w:color w:val="000000" w:themeColor="text1"/>
        </w:rPr>
        <w:t xml:space="preserve">referring to Sec. 1(f) of the </w:t>
      </w:r>
      <w:proofErr w:type="spellStart"/>
      <w:r w:rsidR="001E1B01" w:rsidRPr="00DF0ED0">
        <w:rPr>
          <w:color w:val="000000" w:themeColor="text1"/>
        </w:rPr>
        <w:t>StVG</w:t>
      </w:r>
      <w:proofErr w:type="spellEnd"/>
      <w:r w:rsidR="00F80139">
        <w:rPr>
          <w:color w:val="000000" w:themeColor="text1"/>
        </w:rPr>
        <w:t>.</w:t>
      </w:r>
    </w:p>
  </w:footnote>
  <w:footnote w:id="242">
    <w:p w14:paraId="5CC7EC85" w14:textId="7406D450" w:rsidR="00982606" w:rsidRPr="00DF0ED0" w:rsidRDefault="00982606" w:rsidP="00982606">
      <w:pPr>
        <w:pStyle w:val="FootnoteText"/>
        <w:jc w:val="both"/>
        <w:rPr>
          <w:color w:val="000000" w:themeColor="text1"/>
          <w:lang w:val="en-US"/>
        </w:rPr>
      </w:pPr>
      <w:r w:rsidRPr="00DF0ED0">
        <w:rPr>
          <w:rStyle w:val="FootnoteReference"/>
          <w:color w:val="000000" w:themeColor="text1"/>
        </w:rPr>
        <w:footnoteRef/>
      </w:r>
      <w:r w:rsidRPr="00DF0ED0">
        <w:rPr>
          <w:color w:val="000000" w:themeColor="text1"/>
        </w:rPr>
        <w:t xml:space="preserve"> </w:t>
      </w:r>
      <w:r w:rsidRPr="00DF0ED0">
        <w:rPr>
          <w:color w:val="000000" w:themeColor="text1"/>
          <w:lang w:val="en-US"/>
        </w:rPr>
        <w:t xml:space="preserve">See, </w:t>
      </w:r>
      <w:r w:rsidR="001E1B01" w:rsidRPr="00DF0ED0">
        <w:rPr>
          <w:color w:val="000000" w:themeColor="text1"/>
          <w:lang w:val="en-US"/>
        </w:rPr>
        <w:t>Mills, Alex</w:t>
      </w:r>
      <w:r w:rsidR="001E1B01" w:rsidRPr="00DF0ED0">
        <w:rPr>
          <w:color w:val="000000" w:themeColor="text1"/>
          <w:lang w:val="en-US"/>
        </w:rPr>
        <w:t xml:space="preserve">, </w:t>
      </w:r>
      <w:r w:rsidR="001E1B01" w:rsidRPr="00DF0ED0">
        <w:rPr>
          <w:i/>
          <w:color w:val="000000" w:themeColor="text1"/>
          <w:lang w:val="en-US"/>
        </w:rPr>
        <w:t>Party Autonomy in Private International Law</w:t>
      </w:r>
      <w:r w:rsidR="001E1B01" w:rsidRPr="00DF0ED0">
        <w:rPr>
          <w:color w:val="000000" w:themeColor="text1"/>
          <w:lang w:val="en-US"/>
        </w:rPr>
        <w:t xml:space="preserve">, </w:t>
      </w:r>
      <w:r w:rsidR="001E1B01" w:rsidRPr="00DF0ED0">
        <w:rPr>
          <w:color w:val="000000" w:themeColor="text1"/>
          <w:lang w:val="en-US"/>
        </w:rPr>
        <w:t>Cambridge University Press, 2018</w:t>
      </w:r>
      <w:r w:rsidR="001E1B01" w:rsidRPr="00DF0ED0">
        <w:rPr>
          <w:color w:val="000000" w:themeColor="text1"/>
          <w:lang w:val="en-US"/>
        </w:rPr>
        <w:t>,</w:t>
      </w:r>
      <w:r w:rsidR="001E1B01" w:rsidRPr="00DF0ED0">
        <w:rPr>
          <w:color w:val="000000" w:themeColor="text1"/>
          <w:lang w:val="en-US"/>
        </w:rPr>
        <w:t xml:space="preserve"> 395, </w:t>
      </w:r>
      <w:r w:rsidRPr="00DF0ED0">
        <w:rPr>
          <w:color w:val="000000" w:themeColor="text1"/>
          <w:lang w:val="en-US"/>
        </w:rPr>
        <w:t>referring to the application of the rule under English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83682C"/>
    <w:multiLevelType w:val="hybridMultilevel"/>
    <w:tmpl w:val="88B4E892"/>
    <w:lvl w:ilvl="0" w:tplc="6D1A0EA6">
      <w:start w:val="1"/>
      <w:numFmt w:val="decimal"/>
      <w:lvlText w:val="%1"/>
      <w:lvlJc w:val="left"/>
      <w:pPr>
        <w:ind w:left="720" w:hanging="360"/>
      </w:pPr>
      <w:rPr>
        <w:rFonts w:hint="default"/>
      </w:rPr>
    </w:lvl>
    <w:lvl w:ilvl="1" w:tplc="62A23C78" w:tentative="1">
      <w:start w:val="1"/>
      <w:numFmt w:val="lowerLetter"/>
      <w:lvlText w:val="%2."/>
      <w:lvlJc w:val="left"/>
      <w:pPr>
        <w:ind w:left="1440" w:hanging="360"/>
      </w:pPr>
    </w:lvl>
    <w:lvl w:ilvl="2" w:tplc="11AC5E0E" w:tentative="1">
      <w:start w:val="1"/>
      <w:numFmt w:val="lowerRoman"/>
      <w:lvlText w:val="%3."/>
      <w:lvlJc w:val="right"/>
      <w:pPr>
        <w:ind w:left="2160" w:hanging="180"/>
      </w:pPr>
    </w:lvl>
    <w:lvl w:ilvl="3" w:tplc="96BEA5D4" w:tentative="1">
      <w:start w:val="1"/>
      <w:numFmt w:val="decimal"/>
      <w:lvlText w:val="%4."/>
      <w:lvlJc w:val="left"/>
      <w:pPr>
        <w:ind w:left="2880" w:hanging="360"/>
      </w:pPr>
    </w:lvl>
    <w:lvl w:ilvl="4" w:tplc="2F10E6DA" w:tentative="1">
      <w:start w:val="1"/>
      <w:numFmt w:val="lowerLetter"/>
      <w:lvlText w:val="%5."/>
      <w:lvlJc w:val="left"/>
      <w:pPr>
        <w:ind w:left="3600" w:hanging="360"/>
      </w:pPr>
    </w:lvl>
    <w:lvl w:ilvl="5" w:tplc="C97AF33E" w:tentative="1">
      <w:start w:val="1"/>
      <w:numFmt w:val="lowerRoman"/>
      <w:lvlText w:val="%6."/>
      <w:lvlJc w:val="right"/>
      <w:pPr>
        <w:ind w:left="4320" w:hanging="180"/>
      </w:pPr>
    </w:lvl>
    <w:lvl w:ilvl="6" w:tplc="3F3ADD74" w:tentative="1">
      <w:start w:val="1"/>
      <w:numFmt w:val="decimal"/>
      <w:lvlText w:val="%7."/>
      <w:lvlJc w:val="left"/>
      <w:pPr>
        <w:ind w:left="5040" w:hanging="360"/>
      </w:pPr>
    </w:lvl>
    <w:lvl w:ilvl="7" w:tplc="31341F20" w:tentative="1">
      <w:start w:val="1"/>
      <w:numFmt w:val="lowerLetter"/>
      <w:lvlText w:val="%8."/>
      <w:lvlJc w:val="left"/>
      <w:pPr>
        <w:ind w:left="5760" w:hanging="360"/>
      </w:pPr>
    </w:lvl>
    <w:lvl w:ilvl="8" w:tplc="8606250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B1"/>
    <w:rsid w:val="000000D6"/>
    <w:rsid w:val="000012DD"/>
    <w:rsid w:val="0000151F"/>
    <w:rsid w:val="00002344"/>
    <w:rsid w:val="00003CFA"/>
    <w:rsid w:val="00010D29"/>
    <w:rsid w:val="0001314C"/>
    <w:rsid w:val="00013446"/>
    <w:rsid w:val="00013E54"/>
    <w:rsid w:val="00017DAB"/>
    <w:rsid w:val="00021001"/>
    <w:rsid w:val="00021B1B"/>
    <w:rsid w:val="000252B1"/>
    <w:rsid w:val="00027E4E"/>
    <w:rsid w:val="0003032D"/>
    <w:rsid w:val="0003428B"/>
    <w:rsid w:val="00040409"/>
    <w:rsid w:val="00044944"/>
    <w:rsid w:val="00046136"/>
    <w:rsid w:val="000467EE"/>
    <w:rsid w:val="00047F94"/>
    <w:rsid w:val="0005091D"/>
    <w:rsid w:val="000534D0"/>
    <w:rsid w:val="00053A88"/>
    <w:rsid w:val="00056ED6"/>
    <w:rsid w:val="000604BD"/>
    <w:rsid w:val="00061BA9"/>
    <w:rsid w:val="00061D25"/>
    <w:rsid w:val="000620EF"/>
    <w:rsid w:val="000636C2"/>
    <w:rsid w:val="0006394D"/>
    <w:rsid w:val="0006426A"/>
    <w:rsid w:val="000655F2"/>
    <w:rsid w:val="00066053"/>
    <w:rsid w:val="0007165A"/>
    <w:rsid w:val="00071BA5"/>
    <w:rsid w:val="00071BFC"/>
    <w:rsid w:val="00086A16"/>
    <w:rsid w:val="00087A13"/>
    <w:rsid w:val="00090E46"/>
    <w:rsid w:val="000928FF"/>
    <w:rsid w:val="000937EA"/>
    <w:rsid w:val="00093D74"/>
    <w:rsid w:val="0009619D"/>
    <w:rsid w:val="0009641B"/>
    <w:rsid w:val="000973DB"/>
    <w:rsid w:val="000A15A2"/>
    <w:rsid w:val="000A557C"/>
    <w:rsid w:val="000A6000"/>
    <w:rsid w:val="000A78A5"/>
    <w:rsid w:val="000A79CC"/>
    <w:rsid w:val="000B01DE"/>
    <w:rsid w:val="000B22A2"/>
    <w:rsid w:val="000B24F6"/>
    <w:rsid w:val="000B2DB3"/>
    <w:rsid w:val="000B3656"/>
    <w:rsid w:val="000B3FE0"/>
    <w:rsid w:val="000C2C3A"/>
    <w:rsid w:val="000C3357"/>
    <w:rsid w:val="000C49DE"/>
    <w:rsid w:val="000C5022"/>
    <w:rsid w:val="000C54E3"/>
    <w:rsid w:val="000C6765"/>
    <w:rsid w:val="000D0424"/>
    <w:rsid w:val="000D0C09"/>
    <w:rsid w:val="000D21E3"/>
    <w:rsid w:val="000D3ADD"/>
    <w:rsid w:val="000D55BE"/>
    <w:rsid w:val="000D7A7F"/>
    <w:rsid w:val="000E0FE2"/>
    <w:rsid w:val="000E4D9E"/>
    <w:rsid w:val="000E75D9"/>
    <w:rsid w:val="000E7B31"/>
    <w:rsid w:val="000E7D89"/>
    <w:rsid w:val="000F0350"/>
    <w:rsid w:val="000F2904"/>
    <w:rsid w:val="000F7C87"/>
    <w:rsid w:val="001009AF"/>
    <w:rsid w:val="00101C7F"/>
    <w:rsid w:val="00103F40"/>
    <w:rsid w:val="00104485"/>
    <w:rsid w:val="001053D6"/>
    <w:rsid w:val="001056D5"/>
    <w:rsid w:val="0010591A"/>
    <w:rsid w:val="00106D77"/>
    <w:rsid w:val="001102D5"/>
    <w:rsid w:val="0011039D"/>
    <w:rsid w:val="00112375"/>
    <w:rsid w:val="00114620"/>
    <w:rsid w:val="0011651D"/>
    <w:rsid w:val="00124A71"/>
    <w:rsid w:val="00130B3B"/>
    <w:rsid w:val="00132F46"/>
    <w:rsid w:val="001356B9"/>
    <w:rsid w:val="00142A1A"/>
    <w:rsid w:val="00142EE2"/>
    <w:rsid w:val="00147A99"/>
    <w:rsid w:val="00151CE3"/>
    <w:rsid w:val="00152113"/>
    <w:rsid w:val="001521AC"/>
    <w:rsid w:val="00153059"/>
    <w:rsid w:val="00156390"/>
    <w:rsid w:val="00157BC2"/>
    <w:rsid w:val="00160447"/>
    <w:rsid w:val="0016295F"/>
    <w:rsid w:val="00165BFC"/>
    <w:rsid w:val="00166C86"/>
    <w:rsid w:val="001703A9"/>
    <w:rsid w:val="00171E48"/>
    <w:rsid w:val="00174AA4"/>
    <w:rsid w:val="00174BC0"/>
    <w:rsid w:val="00177643"/>
    <w:rsid w:val="00180936"/>
    <w:rsid w:val="00180A65"/>
    <w:rsid w:val="0018189D"/>
    <w:rsid w:val="00185F19"/>
    <w:rsid w:val="00190BA3"/>
    <w:rsid w:val="00191EB3"/>
    <w:rsid w:val="00191F0D"/>
    <w:rsid w:val="00196F5C"/>
    <w:rsid w:val="00197361"/>
    <w:rsid w:val="001A0A03"/>
    <w:rsid w:val="001A1ABB"/>
    <w:rsid w:val="001A1ADB"/>
    <w:rsid w:val="001A20B6"/>
    <w:rsid w:val="001A522A"/>
    <w:rsid w:val="001A5FAD"/>
    <w:rsid w:val="001A7B6A"/>
    <w:rsid w:val="001A7C44"/>
    <w:rsid w:val="001B01C6"/>
    <w:rsid w:val="001B0E1B"/>
    <w:rsid w:val="001B1420"/>
    <w:rsid w:val="001B45DE"/>
    <w:rsid w:val="001B63F7"/>
    <w:rsid w:val="001B6955"/>
    <w:rsid w:val="001C0CF5"/>
    <w:rsid w:val="001C2866"/>
    <w:rsid w:val="001C2D8A"/>
    <w:rsid w:val="001C2DB0"/>
    <w:rsid w:val="001C3639"/>
    <w:rsid w:val="001C4AC4"/>
    <w:rsid w:val="001C53EF"/>
    <w:rsid w:val="001C756F"/>
    <w:rsid w:val="001C7DED"/>
    <w:rsid w:val="001D0414"/>
    <w:rsid w:val="001D05CF"/>
    <w:rsid w:val="001D0F2C"/>
    <w:rsid w:val="001D2B55"/>
    <w:rsid w:val="001D3A6D"/>
    <w:rsid w:val="001D7307"/>
    <w:rsid w:val="001D7BBB"/>
    <w:rsid w:val="001E03AD"/>
    <w:rsid w:val="001E1B01"/>
    <w:rsid w:val="001E30DB"/>
    <w:rsid w:val="001E3BC1"/>
    <w:rsid w:val="001F2C80"/>
    <w:rsid w:val="001F5599"/>
    <w:rsid w:val="001F739D"/>
    <w:rsid w:val="0020226A"/>
    <w:rsid w:val="002057FE"/>
    <w:rsid w:val="002179F6"/>
    <w:rsid w:val="00221096"/>
    <w:rsid w:val="002248C9"/>
    <w:rsid w:val="00227825"/>
    <w:rsid w:val="00230A7A"/>
    <w:rsid w:val="002317AD"/>
    <w:rsid w:val="00231DC0"/>
    <w:rsid w:val="00231FA2"/>
    <w:rsid w:val="0023322B"/>
    <w:rsid w:val="00236C20"/>
    <w:rsid w:val="002377D5"/>
    <w:rsid w:val="00240332"/>
    <w:rsid w:val="00241C9D"/>
    <w:rsid w:val="00242E8D"/>
    <w:rsid w:val="002434F6"/>
    <w:rsid w:val="002469C2"/>
    <w:rsid w:val="00247E89"/>
    <w:rsid w:val="00251847"/>
    <w:rsid w:val="00252BEA"/>
    <w:rsid w:val="00254799"/>
    <w:rsid w:val="00256111"/>
    <w:rsid w:val="002562AA"/>
    <w:rsid w:val="00257B47"/>
    <w:rsid w:val="00261257"/>
    <w:rsid w:val="00261799"/>
    <w:rsid w:val="00263A63"/>
    <w:rsid w:val="0026538A"/>
    <w:rsid w:val="00267C90"/>
    <w:rsid w:val="002745FF"/>
    <w:rsid w:val="00280919"/>
    <w:rsid w:val="002835AF"/>
    <w:rsid w:val="0028400C"/>
    <w:rsid w:val="0028714F"/>
    <w:rsid w:val="00287B52"/>
    <w:rsid w:val="0029233F"/>
    <w:rsid w:val="002957BD"/>
    <w:rsid w:val="002976EA"/>
    <w:rsid w:val="002A09E8"/>
    <w:rsid w:val="002A1BBA"/>
    <w:rsid w:val="002B2FBC"/>
    <w:rsid w:val="002B71C1"/>
    <w:rsid w:val="002B77E1"/>
    <w:rsid w:val="002C0467"/>
    <w:rsid w:val="002C13CF"/>
    <w:rsid w:val="002C3AD8"/>
    <w:rsid w:val="002C6362"/>
    <w:rsid w:val="002C7930"/>
    <w:rsid w:val="002D29D2"/>
    <w:rsid w:val="002D31BE"/>
    <w:rsid w:val="002D3266"/>
    <w:rsid w:val="002D3B00"/>
    <w:rsid w:val="002E2A33"/>
    <w:rsid w:val="002E5B13"/>
    <w:rsid w:val="002E6565"/>
    <w:rsid w:val="002F056A"/>
    <w:rsid w:val="002F0F26"/>
    <w:rsid w:val="002F2901"/>
    <w:rsid w:val="002F4A51"/>
    <w:rsid w:val="002F61A7"/>
    <w:rsid w:val="002F6BAA"/>
    <w:rsid w:val="002F6CE9"/>
    <w:rsid w:val="002F6F1A"/>
    <w:rsid w:val="0030259A"/>
    <w:rsid w:val="00303FB8"/>
    <w:rsid w:val="00305DDB"/>
    <w:rsid w:val="0031151A"/>
    <w:rsid w:val="00312047"/>
    <w:rsid w:val="0031267D"/>
    <w:rsid w:val="00316333"/>
    <w:rsid w:val="00317878"/>
    <w:rsid w:val="00320005"/>
    <w:rsid w:val="0032177B"/>
    <w:rsid w:val="003232AC"/>
    <w:rsid w:val="003238E7"/>
    <w:rsid w:val="00330CF7"/>
    <w:rsid w:val="0033112A"/>
    <w:rsid w:val="003324CA"/>
    <w:rsid w:val="00332AD4"/>
    <w:rsid w:val="00333489"/>
    <w:rsid w:val="003335E6"/>
    <w:rsid w:val="003335FA"/>
    <w:rsid w:val="00334273"/>
    <w:rsid w:val="0033491E"/>
    <w:rsid w:val="003353FC"/>
    <w:rsid w:val="00336995"/>
    <w:rsid w:val="0033723C"/>
    <w:rsid w:val="00341A05"/>
    <w:rsid w:val="00342BEA"/>
    <w:rsid w:val="0034367F"/>
    <w:rsid w:val="0034396D"/>
    <w:rsid w:val="00343D78"/>
    <w:rsid w:val="003464AC"/>
    <w:rsid w:val="00346DB5"/>
    <w:rsid w:val="00355BC8"/>
    <w:rsid w:val="003607DC"/>
    <w:rsid w:val="003668EA"/>
    <w:rsid w:val="0036773E"/>
    <w:rsid w:val="003706F6"/>
    <w:rsid w:val="00370996"/>
    <w:rsid w:val="003718EC"/>
    <w:rsid w:val="00373357"/>
    <w:rsid w:val="00373C0F"/>
    <w:rsid w:val="003743A6"/>
    <w:rsid w:val="00376386"/>
    <w:rsid w:val="00376BBB"/>
    <w:rsid w:val="0038114F"/>
    <w:rsid w:val="003842B3"/>
    <w:rsid w:val="003855D1"/>
    <w:rsid w:val="003877EF"/>
    <w:rsid w:val="00390A8C"/>
    <w:rsid w:val="003926B4"/>
    <w:rsid w:val="003927D7"/>
    <w:rsid w:val="00396DAC"/>
    <w:rsid w:val="003A03FE"/>
    <w:rsid w:val="003A1F23"/>
    <w:rsid w:val="003A37F1"/>
    <w:rsid w:val="003A4E03"/>
    <w:rsid w:val="003A5D60"/>
    <w:rsid w:val="003A6053"/>
    <w:rsid w:val="003B0A61"/>
    <w:rsid w:val="003B1517"/>
    <w:rsid w:val="003B26D8"/>
    <w:rsid w:val="003B3806"/>
    <w:rsid w:val="003B40D4"/>
    <w:rsid w:val="003B41E5"/>
    <w:rsid w:val="003B4837"/>
    <w:rsid w:val="003B4F53"/>
    <w:rsid w:val="003B6F69"/>
    <w:rsid w:val="003C4E0B"/>
    <w:rsid w:val="003C6E14"/>
    <w:rsid w:val="003C7FC9"/>
    <w:rsid w:val="003D1076"/>
    <w:rsid w:val="003D4624"/>
    <w:rsid w:val="003D64B7"/>
    <w:rsid w:val="003D72E9"/>
    <w:rsid w:val="003D755B"/>
    <w:rsid w:val="003D7A2E"/>
    <w:rsid w:val="003E0DB9"/>
    <w:rsid w:val="003E38D5"/>
    <w:rsid w:val="003E53BF"/>
    <w:rsid w:val="003E62CF"/>
    <w:rsid w:val="003E69E8"/>
    <w:rsid w:val="003F0E3D"/>
    <w:rsid w:val="003F141A"/>
    <w:rsid w:val="003F1E20"/>
    <w:rsid w:val="003F2792"/>
    <w:rsid w:val="003F27DD"/>
    <w:rsid w:val="003F2A26"/>
    <w:rsid w:val="003F3F98"/>
    <w:rsid w:val="003F44DF"/>
    <w:rsid w:val="003F4B2B"/>
    <w:rsid w:val="004019B9"/>
    <w:rsid w:val="00401F4E"/>
    <w:rsid w:val="004045DD"/>
    <w:rsid w:val="0041112A"/>
    <w:rsid w:val="004124F3"/>
    <w:rsid w:val="0041674D"/>
    <w:rsid w:val="004173E0"/>
    <w:rsid w:val="00421540"/>
    <w:rsid w:val="004215EA"/>
    <w:rsid w:val="00422C75"/>
    <w:rsid w:val="00422DDB"/>
    <w:rsid w:val="00423580"/>
    <w:rsid w:val="004253AE"/>
    <w:rsid w:val="0042563E"/>
    <w:rsid w:val="004260B3"/>
    <w:rsid w:val="00427C23"/>
    <w:rsid w:val="00431FD8"/>
    <w:rsid w:val="00434054"/>
    <w:rsid w:val="00434086"/>
    <w:rsid w:val="00435C79"/>
    <w:rsid w:val="004378FB"/>
    <w:rsid w:val="00446128"/>
    <w:rsid w:val="00451212"/>
    <w:rsid w:val="004569A5"/>
    <w:rsid w:val="00457131"/>
    <w:rsid w:val="004600C4"/>
    <w:rsid w:val="00462CB6"/>
    <w:rsid w:val="004631EB"/>
    <w:rsid w:val="004655ED"/>
    <w:rsid w:val="0046687E"/>
    <w:rsid w:val="00466E7E"/>
    <w:rsid w:val="00467725"/>
    <w:rsid w:val="00471799"/>
    <w:rsid w:val="00471B97"/>
    <w:rsid w:val="0047259E"/>
    <w:rsid w:val="00472CFA"/>
    <w:rsid w:val="00473225"/>
    <w:rsid w:val="0047599C"/>
    <w:rsid w:val="00480A12"/>
    <w:rsid w:val="0048256A"/>
    <w:rsid w:val="00482612"/>
    <w:rsid w:val="00483454"/>
    <w:rsid w:val="00493364"/>
    <w:rsid w:val="004956ED"/>
    <w:rsid w:val="004970B0"/>
    <w:rsid w:val="004A2D22"/>
    <w:rsid w:val="004A5067"/>
    <w:rsid w:val="004A555F"/>
    <w:rsid w:val="004A5577"/>
    <w:rsid w:val="004A5E4E"/>
    <w:rsid w:val="004B02EF"/>
    <w:rsid w:val="004B2F3E"/>
    <w:rsid w:val="004B38AC"/>
    <w:rsid w:val="004C24EC"/>
    <w:rsid w:val="004C4CD9"/>
    <w:rsid w:val="004C576C"/>
    <w:rsid w:val="004D0AC8"/>
    <w:rsid w:val="004D2935"/>
    <w:rsid w:val="004D5FA0"/>
    <w:rsid w:val="004D73B6"/>
    <w:rsid w:val="004E1D43"/>
    <w:rsid w:val="004E1D8A"/>
    <w:rsid w:val="004E35F4"/>
    <w:rsid w:val="004E49A2"/>
    <w:rsid w:val="004E6CA2"/>
    <w:rsid w:val="004F0B44"/>
    <w:rsid w:val="004F36B9"/>
    <w:rsid w:val="004F5FBA"/>
    <w:rsid w:val="004F7CD6"/>
    <w:rsid w:val="005009C3"/>
    <w:rsid w:val="00502AE2"/>
    <w:rsid w:val="005051F1"/>
    <w:rsid w:val="005072F3"/>
    <w:rsid w:val="00507DE4"/>
    <w:rsid w:val="00510A4E"/>
    <w:rsid w:val="00515964"/>
    <w:rsid w:val="00524093"/>
    <w:rsid w:val="005249F6"/>
    <w:rsid w:val="00524E31"/>
    <w:rsid w:val="0053504A"/>
    <w:rsid w:val="0053669E"/>
    <w:rsid w:val="00537589"/>
    <w:rsid w:val="005410A5"/>
    <w:rsid w:val="00541257"/>
    <w:rsid w:val="0054328F"/>
    <w:rsid w:val="00544282"/>
    <w:rsid w:val="00544951"/>
    <w:rsid w:val="00550FDB"/>
    <w:rsid w:val="00552371"/>
    <w:rsid w:val="00553988"/>
    <w:rsid w:val="00555A08"/>
    <w:rsid w:val="005575DA"/>
    <w:rsid w:val="005576E2"/>
    <w:rsid w:val="00557F91"/>
    <w:rsid w:val="00562B47"/>
    <w:rsid w:val="00564A5C"/>
    <w:rsid w:val="00564B13"/>
    <w:rsid w:val="00565204"/>
    <w:rsid w:val="00565D00"/>
    <w:rsid w:val="00566DA6"/>
    <w:rsid w:val="00567A1F"/>
    <w:rsid w:val="005722FB"/>
    <w:rsid w:val="005731A7"/>
    <w:rsid w:val="00581672"/>
    <w:rsid w:val="00583FA6"/>
    <w:rsid w:val="0058418C"/>
    <w:rsid w:val="00593A94"/>
    <w:rsid w:val="00593BD0"/>
    <w:rsid w:val="005953C5"/>
    <w:rsid w:val="0059588D"/>
    <w:rsid w:val="005974C8"/>
    <w:rsid w:val="005A1B77"/>
    <w:rsid w:val="005A388F"/>
    <w:rsid w:val="005A4374"/>
    <w:rsid w:val="005A4471"/>
    <w:rsid w:val="005A45AD"/>
    <w:rsid w:val="005A5542"/>
    <w:rsid w:val="005A5AEA"/>
    <w:rsid w:val="005A605C"/>
    <w:rsid w:val="005A65A0"/>
    <w:rsid w:val="005B1C76"/>
    <w:rsid w:val="005B22C9"/>
    <w:rsid w:val="005B2C56"/>
    <w:rsid w:val="005B465E"/>
    <w:rsid w:val="005B496B"/>
    <w:rsid w:val="005B4DA7"/>
    <w:rsid w:val="005B6605"/>
    <w:rsid w:val="005C17D5"/>
    <w:rsid w:val="005C1E7E"/>
    <w:rsid w:val="005C5249"/>
    <w:rsid w:val="005C7052"/>
    <w:rsid w:val="005C779D"/>
    <w:rsid w:val="005D00EB"/>
    <w:rsid w:val="005D0788"/>
    <w:rsid w:val="005D1E17"/>
    <w:rsid w:val="005D7AA9"/>
    <w:rsid w:val="005E04BA"/>
    <w:rsid w:val="005E27D4"/>
    <w:rsid w:val="005E4D68"/>
    <w:rsid w:val="005E5A6E"/>
    <w:rsid w:val="005F12A4"/>
    <w:rsid w:val="005F2AD2"/>
    <w:rsid w:val="005F375C"/>
    <w:rsid w:val="00604B91"/>
    <w:rsid w:val="00607492"/>
    <w:rsid w:val="0061150D"/>
    <w:rsid w:val="00614000"/>
    <w:rsid w:val="006149F1"/>
    <w:rsid w:val="00614D99"/>
    <w:rsid w:val="00614E89"/>
    <w:rsid w:val="00616927"/>
    <w:rsid w:val="0061797E"/>
    <w:rsid w:val="006179D4"/>
    <w:rsid w:val="00617C29"/>
    <w:rsid w:val="00621651"/>
    <w:rsid w:val="00621FB1"/>
    <w:rsid w:val="00622EA8"/>
    <w:rsid w:val="00623B7B"/>
    <w:rsid w:val="0062593C"/>
    <w:rsid w:val="00630FD8"/>
    <w:rsid w:val="0063407D"/>
    <w:rsid w:val="00636B20"/>
    <w:rsid w:val="00636ED4"/>
    <w:rsid w:val="0064556E"/>
    <w:rsid w:val="0064559B"/>
    <w:rsid w:val="0064647E"/>
    <w:rsid w:val="0064693B"/>
    <w:rsid w:val="00646F71"/>
    <w:rsid w:val="00647105"/>
    <w:rsid w:val="00651B3C"/>
    <w:rsid w:val="00652113"/>
    <w:rsid w:val="00655828"/>
    <w:rsid w:val="00655F5B"/>
    <w:rsid w:val="006605D1"/>
    <w:rsid w:val="0066105D"/>
    <w:rsid w:val="006610D4"/>
    <w:rsid w:val="00661C50"/>
    <w:rsid w:val="00662D14"/>
    <w:rsid w:val="00664644"/>
    <w:rsid w:val="00665FD2"/>
    <w:rsid w:val="006664E1"/>
    <w:rsid w:val="00670C4F"/>
    <w:rsid w:val="006742E2"/>
    <w:rsid w:val="00676495"/>
    <w:rsid w:val="0067767D"/>
    <w:rsid w:val="006813D0"/>
    <w:rsid w:val="00682FB7"/>
    <w:rsid w:val="0068370C"/>
    <w:rsid w:val="0068534B"/>
    <w:rsid w:val="00686FB8"/>
    <w:rsid w:val="00687D67"/>
    <w:rsid w:val="006908D4"/>
    <w:rsid w:val="00691558"/>
    <w:rsid w:val="00696A36"/>
    <w:rsid w:val="006A0DCB"/>
    <w:rsid w:val="006A2226"/>
    <w:rsid w:val="006A2CB3"/>
    <w:rsid w:val="006A3506"/>
    <w:rsid w:val="006A5530"/>
    <w:rsid w:val="006B09D2"/>
    <w:rsid w:val="006B1267"/>
    <w:rsid w:val="006B1430"/>
    <w:rsid w:val="006B1688"/>
    <w:rsid w:val="006B1DBC"/>
    <w:rsid w:val="006B2C09"/>
    <w:rsid w:val="006B36D1"/>
    <w:rsid w:val="006B4651"/>
    <w:rsid w:val="006C0DED"/>
    <w:rsid w:val="006C278A"/>
    <w:rsid w:val="006C4FA2"/>
    <w:rsid w:val="006D1315"/>
    <w:rsid w:val="006D1491"/>
    <w:rsid w:val="006D21B1"/>
    <w:rsid w:val="006D2FBF"/>
    <w:rsid w:val="006D3E64"/>
    <w:rsid w:val="006D57A0"/>
    <w:rsid w:val="006E02C4"/>
    <w:rsid w:val="006E3E80"/>
    <w:rsid w:val="006E41B8"/>
    <w:rsid w:val="006E49C3"/>
    <w:rsid w:val="006E5391"/>
    <w:rsid w:val="006E7745"/>
    <w:rsid w:val="006F121A"/>
    <w:rsid w:val="006F1D11"/>
    <w:rsid w:val="006F2F7E"/>
    <w:rsid w:val="006F4BE4"/>
    <w:rsid w:val="006F613F"/>
    <w:rsid w:val="007033A7"/>
    <w:rsid w:val="007050E3"/>
    <w:rsid w:val="00705CA3"/>
    <w:rsid w:val="00707F26"/>
    <w:rsid w:val="0071008E"/>
    <w:rsid w:val="007122E6"/>
    <w:rsid w:val="00714C27"/>
    <w:rsid w:val="007171E4"/>
    <w:rsid w:val="0072105B"/>
    <w:rsid w:val="00723332"/>
    <w:rsid w:val="00726F61"/>
    <w:rsid w:val="0073045A"/>
    <w:rsid w:val="007323FB"/>
    <w:rsid w:val="00736110"/>
    <w:rsid w:val="00741F23"/>
    <w:rsid w:val="0074202E"/>
    <w:rsid w:val="00743D3B"/>
    <w:rsid w:val="00744475"/>
    <w:rsid w:val="007449D7"/>
    <w:rsid w:val="00744C59"/>
    <w:rsid w:val="00744F6C"/>
    <w:rsid w:val="00745468"/>
    <w:rsid w:val="00745C54"/>
    <w:rsid w:val="00746694"/>
    <w:rsid w:val="00751214"/>
    <w:rsid w:val="00751F3C"/>
    <w:rsid w:val="0075414B"/>
    <w:rsid w:val="00755D22"/>
    <w:rsid w:val="00760276"/>
    <w:rsid w:val="007623AA"/>
    <w:rsid w:val="00764926"/>
    <w:rsid w:val="0076613E"/>
    <w:rsid w:val="007676B0"/>
    <w:rsid w:val="00781A94"/>
    <w:rsid w:val="00782A7E"/>
    <w:rsid w:val="00782C28"/>
    <w:rsid w:val="0078590B"/>
    <w:rsid w:val="00786C66"/>
    <w:rsid w:val="00787646"/>
    <w:rsid w:val="00787934"/>
    <w:rsid w:val="00790E93"/>
    <w:rsid w:val="00791499"/>
    <w:rsid w:val="00791B02"/>
    <w:rsid w:val="00791F5C"/>
    <w:rsid w:val="0079649A"/>
    <w:rsid w:val="007A0603"/>
    <w:rsid w:val="007A0956"/>
    <w:rsid w:val="007A19BA"/>
    <w:rsid w:val="007A4902"/>
    <w:rsid w:val="007B023D"/>
    <w:rsid w:val="007B046E"/>
    <w:rsid w:val="007B3F53"/>
    <w:rsid w:val="007B53E9"/>
    <w:rsid w:val="007C2DA7"/>
    <w:rsid w:val="007C7A8A"/>
    <w:rsid w:val="007D4BF1"/>
    <w:rsid w:val="007D5C58"/>
    <w:rsid w:val="007E033C"/>
    <w:rsid w:val="007E10F0"/>
    <w:rsid w:val="007E1E9C"/>
    <w:rsid w:val="007E33AC"/>
    <w:rsid w:val="007E50FE"/>
    <w:rsid w:val="007E5353"/>
    <w:rsid w:val="007F2655"/>
    <w:rsid w:val="007F2673"/>
    <w:rsid w:val="007F280C"/>
    <w:rsid w:val="007F2DCB"/>
    <w:rsid w:val="007F30EA"/>
    <w:rsid w:val="00806B42"/>
    <w:rsid w:val="008070E7"/>
    <w:rsid w:val="0081036D"/>
    <w:rsid w:val="00810AF3"/>
    <w:rsid w:val="008145AD"/>
    <w:rsid w:val="008153BB"/>
    <w:rsid w:val="00816B5D"/>
    <w:rsid w:val="00817DB4"/>
    <w:rsid w:val="00817E96"/>
    <w:rsid w:val="00820FD9"/>
    <w:rsid w:val="00821AA9"/>
    <w:rsid w:val="00822E73"/>
    <w:rsid w:val="00827F6C"/>
    <w:rsid w:val="008305A0"/>
    <w:rsid w:val="00831CD8"/>
    <w:rsid w:val="00833087"/>
    <w:rsid w:val="00836C06"/>
    <w:rsid w:val="008411D8"/>
    <w:rsid w:val="008447BC"/>
    <w:rsid w:val="00845165"/>
    <w:rsid w:val="00845765"/>
    <w:rsid w:val="00845E88"/>
    <w:rsid w:val="00846BF1"/>
    <w:rsid w:val="0085241E"/>
    <w:rsid w:val="00853D87"/>
    <w:rsid w:val="00854F78"/>
    <w:rsid w:val="0085548A"/>
    <w:rsid w:val="00857F9E"/>
    <w:rsid w:val="00863666"/>
    <w:rsid w:val="00867D16"/>
    <w:rsid w:val="00870D87"/>
    <w:rsid w:val="008711F3"/>
    <w:rsid w:val="00873C9A"/>
    <w:rsid w:val="00873EEB"/>
    <w:rsid w:val="00874579"/>
    <w:rsid w:val="00874677"/>
    <w:rsid w:val="00882309"/>
    <w:rsid w:val="00882342"/>
    <w:rsid w:val="00882983"/>
    <w:rsid w:val="00885F0C"/>
    <w:rsid w:val="00890504"/>
    <w:rsid w:val="00890D8B"/>
    <w:rsid w:val="00893A65"/>
    <w:rsid w:val="0089458E"/>
    <w:rsid w:val="00895E43"/>
    <w:rsid w:val="0089757F"/>
    <w:rsid w:val="008A19A0"/>
    <w:rsid w:val="008A32D7"/>
    <w:rsid w:val="008A5334"/>
    <w:rsid w:val="008A683B"/>
    <w:rsid w:val="008A7284"/>
    <w:rsid w:val="008B4778"/>
    <w:rsid w:val="008B5962"/>
    <w:rsid w:val="008B66E1"/>
    <w:rsid w:val="008B6F6A"/>
    <w:rsid w:val="008B722C"/>
    <w:rsid w:val="008B79C7"/>
    <w:rsid w:val="008C0B63"/>
    <w:rsid w:val="008C20A0"/>
    <w:rsid w:val="008C6BAE"/>
    <w:rsid w:val="008C6E9B"/>
    <w:rsid w:val="008D0EA5"/>
    <w:rsid w:val="008D193D"/>
    <w:rsid w:val="008D2104"/>
    <w:rsid w:val="008D3BF4"/>
    <w:rsid w:val="008D466C"/>
    <w:rsid w:val="008D7E72"/>
    <w:rsid w:val="008D7EF1"/>
    <w:rsid w:val="008E013F"/>
    <w:rsid w:val="008E19BF"/>
    <w:rsid w:val="008E2451"/>
    <w:rsid w:val="008E37B7"/>
    <w:rsid w:val="008F0213"/>
    <w:rsid w:val="008F0AB9"/>
    <w:rsid w:val="008F3134"/>
    <w:rsid w:val="008F4F09"/>
    <w:rsid w:val="008F5EFD"/>
    <w:rsid w:val="00900359"/>
    <w:rsid w:val="00901DBE"/>
    <w:rsid w:val="00904068"/>
    <w:rsid w:val="0090587C"/>
    <w:rsid w:val="00905EAD"/>
    <w:rsid w:val="009063DF"/>
    <w:rsid w:val="00917AA9"/>
    <w:rsid w:val="0092708D"/>
    <w:rsid w:val="00927933"/>
    <w:rsid w:val="00931AAA"/>
    <w:rsid w:val="00934ED8"/>
    <w:rsid w:val="009356DC"/>
    <w:rsid w:val="009363E9"/>
    <w:rsid w:val="00936EE5"/>
    <w:rsid w:val="00937A7F"/>
    <w:rsid w:val="009406FB"/>
    <w:rsid w:val="00947257"/>
    <w:rsid w:val="00950E40"/>
    <w:rsid w:val="009515E4"/>
    <w:rsid w:val="0095428F"/>
    <w:rsid w:val="0095497E"/>
    <w:rsid w:val="009551DD"/>
    <w:rsid w:val="009567CA"/>
    <w:rsid w:val="00956BC3"/>
    <w:rsid w:val="009601E2"/>
    <w:rsid w:val="0096275C"/>
    <w:rsid w:val="00963F6E"/>
    <w:rsid w:val="00964B64"/>
    <w:rsid w:val="00964C7B"/>
    <w:rsid w:val="00965DFF"/>
    <w:rsid w:val="0096775B"/>
    <w:rsid w:val="00970F59"/>
    <w:rsid w:val="00975E3E"/>
    <w:rsid w:val="009767D7"/>
    <w:rsid w:val="00982606"/>
    <w:rsid w:val="009837B7"/>
    <w:rsid w:val="0098393B"/>
    <w:rsid w:val="009839A1"/>
    <w:rsid w:val="00983BF1"/>
    <w:rsid w:val="009840D3"/>
    <w:rsid w:val="009859D8"/>
    <w:rsid w:val="00986B37"/>
    <w:rsid w:val="00986B65"/>
    <w:rsid w:val="0098783B"/>
    <w:rsid w:val="00987AB7"/>
    <w:rsid w:val="00991255"/>
    <w:rsid w:val="009942C4"/>
    <w:rsid w:val="009946A6"/>
    <w:rsid w:val="00995EBF"/>
    <w:rsid w:val="009A07B8"/>
    <w:rsid w:val="009A1866"/>
    <w:rsid w:val="009A37CA"/>
    <w:rsid w:val="009A5B89"/>
    <w:rsid w:val="009B22C1"/>
    <w:rsid w:val="009B2B14"/>
    <w:rsid w:val="009B4030"/>
    <w:rsid w:val="009B4163"/>
    <w:rsid w:val="009B49C5"/>
    <w:rsid w:val="009B7843"/>
    <w:rsid w:val="009B7E1E"/>
    <w:rsid w:val="009C3DDC"/>
    <w:rsid w:val="009C3FB5"/>
    <w:rsid w:val="009C512D"/>
    <w:rsid w:val="009D0316"/>
    <w:rsid w:val="009D09A0"/>
    <w:rsid w:val="009D09C0"/>
    <w:rsid w:val="009D0D5D"/>
    <w:rsid w:val="009D4AB3"/>
    <w:rsid w:val="009E443C"/>
    <w:rsid w:val="009E4FAE"/>
    <w:rsid w:val="009E559F"/>
    <w:rsid w:val="009F2E12"/>
    <w:rsid w:val="009F38F0"/>
    <w:rsid w:val="009F470B"/>
    <w:rsid w:val="009F52C6"/>
    <w:rsid w:val="009F55EC"/>
    <w:rsid w:val="009F68FA"/>
    <w:rsid w:val="009F7023"/>
    <w:rsid w:val="009F7078"/>
    <w:rsid w:val="009F7AF3"/>
    <w:rsid w:val="00A01630"/>
    <w:rsid w:val="00A020AA"/>
    <w:rsid w:val="00A036CD"/>
    <w:rsid w:val="00A0381B"/>
    <w:rsid w:val="00A064EC"/>
    <w:rsid w:val="00A06E40"/>
    <w:rsid w:val="00A17D17"/>
    <w:rsid w:val="00A21662"/>
    <w:rsid w:val="00A22D0C"/>
    <w:rsid w:val="00A238DD"/>
    <w:rsid w:val="00A239A0"/>
    <w:rsid w:val="00A23C48"/>
    <w:rsid w:val="00A23E53"/>
    <w:rsid w:val="00A2578E"/>
    <w:rsid w:val="00A25C03"/>
    <w:rsid w:val="00A277C4"/>
    <w:rsid w:val="00A277E4"/>
    <w:rsid w:val="00A31F7D"/>
    <w:rsid w:val="00A32E8E"/>
    <w:rsid w:val="00A33370"/>
    <w:rsid w:val="00A349D0"/>
    <w:rsid w:val="00A34E89"/>
    <w:rsid w:val="00A34F12"/>
    <w:rsid w:val="00A352CE"/>
    <w:rsid w:val="00A3540C"/>
    <w:rsid w:val="00A35D9A"/>
    <w:rsid w:val="00A37536"/>
    <w:rsid w:val="00A4094E"/>
    <w:rsid w:val="00A42FAF"/>
    <w:rsid w:val="00A438B1"/>
    <w:rsid w:val="00A4455C"/>
    <w:rsid w:val="00A446CA"/>
    <w:rsid w:val="00A448AD"/>
    <w:rsid w:val="00A51E8B"/>
    <w:rsid w:val="00A521D7"/>
    <w:rsid w:val="00A53464"/>
    <w:rsid w:val="00A538DE"/>
    <w:rsid w:val="00A55269"/>
    <w:rsid w:val="00A55336"/>
    <w:rsid w:val="00A55D24"/>
    <w:rsid w:val="00A63E3D"/>
    <w:rsid w:val="00A648C1"/>
    <w:rsid w:val="00A6637A"/>
    <w:rsid w:val="00A71F91"/>
    <w:rsid w:val="00A743DE"/>
    <w:rsid w:val="00A74954"/>
    <w:rsid w:val="00A76F16"/>
    <w:rsid w:val="00A80695"/>
    <w:rsid w:val="00A849B0"/>
    <w:rsid w:val="00A85C17"/>
    <w:rsid w:val="00A85CE7"/>
    <w:rsid w:val="00A9197E"/>
    <w:rsid w:val="00A964E7"/>
    <w:rsid w:val="00A968AB"/>
    <w:rsid w:val="00A97570"/>
    <w:rsid w:val="00AA24CD"/>
    <w:rsid w:val="00AA2A3A"/>
    <w:rsid w:val="00AA2FEB"/>
    <w:rsid w:val="00AA47F2"/>
    <w:rsid w:val="00AA56EB"/>
    <w:rsid w:val="00AA5C21"/>
    <w:rsid w:val="00AB0FAD"/>
    <w:rsid w:val="00AB17BD"/>
    <w:rsid w:val="00AB5C30"/>
    <w:rsid w:val="00AB7119"/>
    <w:rsid w:val="00AB79DF"/>
    <w:rsid w:val="00AB7F25"/>
    <w:rsid w:val="00AC02D9"/>
    <w:rsid w:val="00AC2167"/>
    <w:rsid w:val="00AC5525"/>
    <w:rsid w:val="00AC7407"/>
    <w:rsid w:val="00AD0830"/>
    <w:rsid w:val="00AD0E9D"/>
    <w:rsid w:val="00AD15F0"/>
    <w:rsid w:val="00AD4190"/>
    <w:rsid w:val="00AD4BF5"/>
    <w:rsid w:val="00AE5F12"/>
    <w:rsid w:val="00AE693F"/>
    <w:rsid w:val="00AE6C32"/>
    <w:rsid w:val="00AE7D02"/>
    <w:rsid w:val="00AF0D79"/>
    <w:rsid w:val="00AF2D89"/>
    <w:rsid w:val="00AF310F"/>
    <w:rsid w:val="00B005CF"/>
    <w:rsid w:val="00B0118A"/>
    <w:rsid w:val="00B0205B"/>
    <w:rsid w:val="00B03B94"/>
    <w:rsid w:val="00B077B3"/>
    <w:rsid w:val="00B10020"/>
    <w:rsid w:val="00B10E5C"/>
    <w:rsid w:val="00B13724"/>
    <w:rsid w:val="00B17508"/>
    <w:rsid w:val="00B200D3"/>
    <w:rsid w:val="00B22699"/>
    <w:rsid w:val="00B2323E"/>
    <w:rsid w:val="00B248BE"/>
    <w:rsid w:val="00B25182"/>
    <w:rsid w:val="00B25AF2"/>
    <w:rsid w:val="00B330B4"/>
    <w:rsid w:val="00B33100"/>
    <w:rsid w:val="00B3522B"/>
    <w:rsid w:val="00B361FB"/>
    <w:rsid w:val="00B371C9"/>
    <w:rsid w:val="00B412C3"/>
    <w:rsid w:val="00B412CF"/>
    <w:rsid w:val="00B41A16"/>
    <w:rsid w:val="00B46296"/>
    <w:rsid w:val="00B475C9"/>
    <w:rsid w:val="00B47A51"/>
    <w:rsid w:val="00B531C4"/>
    <w:rsid w:val="00B55540"/>
    <w:rsid w:val="00B55ECB"/>
    <w:rsid w:val="00B55F8B"/>
    <w:rsid w:val="00B57BF5"/>
    <w:rsid w:val="00B613F0"/>
    <w:rsid w:val="00B65A0E"/>
    <w:rsid w:val="00B65C0E"/>
    <w:rsid w:val="00B66755"/>
    <w:rsid w:val="00B67E3F"/>
    <w:rsid w:val="00B714E3"/>
    <w:rsid w:val="00B716BD"/>
    <w:rsid w:val="00B73F56"/>
    <w:rsid w:val="00B75FC3"/>
    <w:rsid w:val="00B76557"/>
    <w:rsid w:val="00B77A20"/>
    <w:rsid w:val="00B808BC"/>
    <w:rsid w:val="00B83D28"/>
    <w:rsid w:val="00B85969"/>
    <w:rsid w:val="00B86170"/>
    <w:rsid w:val="00B86600"/>
    <w:rsid w:val="00B868CE"/>
    <w:rsid w:val="00B91724"/>
    <w:rsid w:val="00B92CA3"/>
    <w:rsid w:val="00B93773"/>
    <w:rsid w:val="00B93B8E"/>
    <w:rsid w:val="00B93C2F"/>
    <w:rsid w:val="00B96BFC"/>
    <w:rsid w:val="00BA179A"/>
    <w:rsid w:val="00BA1A45"/>
    <w:rsid w:val="00BA5AAD"/>
    <w:rsid w:val="00BA695B"/>
    <w:rsid w:val="00BB0947"/>
    <w:rsid w:val="00BB330B"/>
    <w:rsid w:val="00BB3F87"/>
    <w:rsid w:val="00BB4566"/>
    <w:rsid w:val="00BB6910"/>
    <w:rsid w:val="00BB6AB7"/>
    <w:rsid w:val="00BB7157"/>
    <w:rsid w:val="00BC1731"/>
    <w:rsid w:val="00BC1E38"/>
    <w:rsid w:val="00BC5CD1"/>
    <w:rsid w:val="00BD4165"/>
    <w:rsid w:val="00BD4903"/>
    <w:rsid w:val="00BD4D57"/>
    <w:rsid w:val="00BE3318"/>
    <w:rsid w:val="00BE3F0B"/>
    <w:rsid w:val="00BE489A"/>
    <w:rsid w:val="00BE501F"/>
    <w:rsid w:val="00BE53FF"/>
    <w:rsid w:val="00BE598D"/>
    <w:rsid w:val="00BE7666"/>
    <w:rsid w:val="00BF0392"/>
    <w:rsid w:val="00BF26FC"/>
    <w:rsid w:val="00BF3C6C"/>
    <w:rsid w:val="00BF43B0"/>
    <w:rsid w:val="00BF7FEE"/>
    <w:rsid w:val="00C041EE"/>
    <w:rsid w:val="00C05C2B"/>
    <w:rsid w:val="00C10AB2"/>
    <w:rsid w:val="00C10C90"/>
    <w:rsid w:val="00C119E3"/>
    <w:rsid w:val="00C11E5D"/>
    <w:rsid w:val="00C12976"/>
    <w:rsid w:val="00C14A8A"/>
    <w:rsid w:val="00C15932"/>
    <w:rsid w:val="00C16556"/>
    <w:rsid w:val="00C168AB"/>
    <w:rsid w:val="00C175D4"/>
    <w:rsid w:val="00C17C2B"/>
    <w:rsid w:val="00C22BC0"/>
    <w:rsid w:val="00C24A33"/>
    <w:rsid w:val="00C25058"/>
    <w:rsid w:val="00C26CB3"/>
    <w:rsid w:val="00C35B20"/>
    <w:rsid w:val="00C365FE"/>
    <w:rsid w:val="00C3684A"/>
    <w:rsid w:val="00C42353"/>
    <w:rsid w:val="00C4415A"/>
    <w:rsid w:val="00C44B11"/>
    <w:rsid w:val="00C4530C"/>
    <w:rsid w:val="00C47D73"/>
    <w:rsid w:val="00C5051F"/>
    <w:rsid w:val="00C53541"/>
    <w:rsid w:val="00C541CF"/>
    <w:rsid w:val="00C54421"/>
    <w:rsid w:val="00C5558C"/>
    <w:rsid w:val="00C55E5F"/>
    <w:rsid w:val="00C57540"/>
    <w:rsid w:val="00C6275E"/>
    <w:rsid w:val="00C65A1A"/>
    <w:rsid w:val="00C65D18"/>
    <w:rsid w:val="00C65D4F"/>
    <w:rsid w:val="00C67E06"/>
    <w:rsid w:val="00C70DBA"/>
    <w:rsid w:val="00C71707"/>
    <w:rsid w:val="00C737EC"/>
    <w:rsid w:val="00C8190A"/>
    <w:rsid w:val="00C82BE3"/>
    <w:rsid w:val="00C82BF6"/>
    <w:rsid w:val="00C8542C"/>
    <w:rsid w:val="00C854CC"/>
    <w:rsid w:val="00C86016"/>
    <w:rsid w:val="00C8630C"/>
    <w:rsid w:val="00C931E1"/>
    <w:rsid w:val="00C93222"/>
    <w:rsid w:val="00C952C6"/>
    <w:rsid w:val="00C9552A"/>
    <w:rsid w:val="00C959AD"/>
    <w:rsid w:val="00C960FC"/>
    <w:rsid w:val="00CA1B78"/>
    <w:rsid w:val="00CA4020"/>
    <w:rsid w:val="00CA65E3"/>
    <w:rsid w:val="00CB327F"/>
    <w:rsid w:val="00CB4612"/>
    <w:rsid w:val="00CB56E4"/>
    <w:rsid w:val="00CB7071"/>
    <w:rsid w:val="00CB7929"/>
    <w:rsid w:val="00CC207D"/>
    <w:rsid w:val="00CC3C91"/>
    <w:rsid w:val="00CC503C"/>
    <w:rsid w:val="00CC5823"/>
    <w:rsid w:val="00CD198E"/>
    <w:rsid w:val="00CD6595"/>
    <w:rsid w:val="00CE01B3"/>
    <w:rsid w:val="00CE3C53"/>
    <w:rsid w:val="00CE4CEF"/>
    <w:rsid w:val="00CE751B"/>
    <w:rsid w:val="00CE7DDE"/>
    <w:rsid w:val="00CF2749"/>
    <w:rsid w:val="00D039B3"/>
    <w:rsid w:val="00D044FE"/>
    <w:rsid w:val="00D049C2"/>
    <w:rsid w:val="00D055ED"/>
    <w:rsid w:val="00D107EA"/>
    <w:rsid w:val="00D138C6"/>
    <w:rsid w:val="00D14B57"/>
    <w:rsid w:val="00D161D7"/>
    <w:rsid w:val="00D17809"/>
    <w:rsid w:val="00D179B9"/>
    <w:rsid w:val="00D23C22"/>
    <w:rsid w:val="00D24B5E"/>
    <w:rsid w:val="00D303D4"/>
    <w:rsid w:val="00D3393D"/>
    <w:rsid w:val="00D344F6"/>
    <w:rsid w:val="00D34FC7"/>
    <w:rsid w:val="00D36945"/>
    <w:rsid w:val="00D45FAA"/>
    <w:rsid w:val="00D47F9E"/>
    <w:rsid w:val="00D504F0"/>
    <w:rsid w:val="00D50753"/>
    <w:rsid w:val="00D532AA"/>
    <w:rsid w:val="00D564F1"/>
    <w:rsid w:val="00D56979"/>
    <w:rsid w:val="00D56DAC"/>
    <w:rsid w:val="00D63B07"/>
    <w:rsid w:val="00D64653"/>
    <w:rsid w:val="00D662C0"/>
    <w:rsid w:val="00D667FA"/>
    <w:rsid w:val="00D705C6"/>
    <w:rsid w:val="00D71E9A"/>
    <w:rsid w:val="00D72BE0"/>
    <w:rsid w:val="00D72F1A"/>
    <w:rsid w:val="00D76028"/>
    <w:rsid w:val="00D80ACC"/>
    <w:rsid w:val="00D83878"/>
    <w:rsid w:val="00D86F91"/>
    <w:rsid w:val="00D87F5B"/>
    <w:rsid w:val="00D917CD"/>
    <w:rsid w:val="00D95D48"/>
    <w:rsid w:val="00D9607F"/>
    <w:rsid w:val="00D979D3"/>
    <w:rsid w:val="00D97C4A"/>
    <w:rsid w:val="00DA07D6"/>
    <w:rsid w:val="00DA0F08"/>
    <w:rsid w:val="00DA139B"/>
    <w:rsid w:val="00DA4113"/>
    <w:rsid w:val="00DA43A6"/>
    <w:rsid w:val="00DA49D4"/>
    <w:rsid w:val="00DA4B7D"/>
    <w:rsid w:val="00DB0DA1"/>
    <w:rsid w:val="00DB392C"/>
    <w:rsid w:val="00DB3CF7"/>
    <w:rsid w:val="00DB4431"/>
    <w:rsid w:val="00DB45F9"/>
    <w:rsid w:val="00DB52E1"/>
    <w:rsid w:val="00DB6053"/>
    <w:rsid w:val="00DC1111"/>
    <w:rsid w:val="00DC314F"/>
    <w:rsid w:val="00DC3654"/>
    <w:rsid w:val="00DC45AB"/>
    <w:rsid w:val="00DC6A9E"/>
    <w:rsid w:val="00DD1957"/>
    <w:rsid w:val="00DD2DEC"/>
    <w:rsid w:val="00DD31B2"/>
    <w:rsid w:val="00DD36A4"/>
    <w:rsid w:val="00DD597C"/>
    <w:rsid w:val="00DE2A85"/>
    <w:rsid w:val="00DE471C"/>
    <w:rsid w:val="00DE5100"/>
    <w:rsid w:val="00DE68EB"/>
    <w:rsid w:val="00DE6FD4"/>
    <w:rsid w:val="00DF0250"/>
    <w:rsid w:val="00DF0ED0"/>
    <w:rsid w:val="00DF27CF"/>
    <w:rsid w:val="00DF3C1B"/>
    <w:rsid w:val="00DF4B38"/>
    <w:rsid w:val="00DF6BB8"/>
    <w:rsid w:val="00E019C0"/>
    <w:rsid w:val="00E0363D"/>
    <w:rsid w:val="00E03BF0"/>
    <w:rsid w:val="00E03FA8"/>
    <w:rsid w:val="00E0409F"/>
    <w:rsid w:val="00E059AA"/>
    <w:rsid w:val="00E10E92"/>
    <w:rsid w:val="00E11D1A"/>
    <w:rsid w:val="00E11E57"/>
    <w:rsid w:val="00E1354F"/>
    <w:rsid w:val="00E13716"/>
    <w:rsid w:val="00E14D8C"/>
    <w:rsid w:val="00E1507F"/>
    <w:rsid w:val="00E16031"/>
    <w:rsid w:val="00E16051"/>
    <w:rsid w:val="00E16D3F"/>
    <w:rsid w:val="00E1774D"/>
    <w:rsid w:val="00E209D3"/>
    <w:rsid w:val="00E2195E"/>
    <w:rsid w:val="00E21E0C"/>
    <w:rsid w:val="00E23B10"/>
    <w:rsid w:val="00E23C63"/>
    <w:rsid w:val="00E241A7"/>
    <w:rsid w:val="00E2541D"/>
    <w:rsid w:val="00E256DF"/>
    <w:rsid w:val="00E27B65"/>
    <w:rsid w:val="00E31198"/>
    <w:rsid w:val="00E311A6"/>
    <w:rsid w:val="00E33A0E"/>
    <w:rsid w:val="00E372E7"/>
    <w:rsid w:val="00E4215F"/>
    <w:rsid w:val="00E45B35"/>
    <w:rsid w:val="00E46DF3"/>
    <w:rsid w:val="00E5354A"/>
    <w:rsid w:val="00E53566"/>
    <w:rsid w:val="00E53F2C"/>
    <w:rsid w:val="00E54EA3"/>
    <w:rsid w:val="00E57B09"/>
    <w:rsid w:val="00E627E4"/>
    <w:rsid w:val="00E62953"/>
    <w:rsid w:val="00E6559C"/>
    <w:rsid w:val="00E67B53"/>
    <w:rsid w:val="00E713ED"/>
    <w:rsid w:val="00E7472B"/>
    <w:rsid w:val="00E757DD"/>
    <w:rsid w:val="00E80992"/>
    <w:rsid w:val="00E8110D"/>
    <w:rsid w:val="00E81878"/>
    <w:rsid w:val="00E852D7"/>
    <w:rsid w:val="00E85520"/>
    <w:rsid w:val="00E87AA2"/>
    <w:rsid w:val="00E87E3E"/>
    <w:rsid w:val="00E901CF"/>
    <w:rsid w:val="00E92780"/>
    <w:rsid w:val="00E92798"/>
    <w:rsid w:val="00E92A37"/>
    <w:rsid w:val="00E94AA5"/>
    <w:rsid w:val="00E95AD8"/>
    <w:rsid w:val="00E95C42"/>
    <w:rsid w:val="00E95F27"/>
    <w:rsid w:val="00E96E86"/>
    <w:rsid w:val="00E97423"/>
    <w:rsid w:val="00E978E6"/>
    <w:rsid w:val="00EA0B7F"/>
    <w:rsid w:val="00EA0DF7"/>
    <w:rsid w:val="00EA2C4D"/>
    <w:rsid w:val="00EA3CE2"/>
    <w:rsid w:val="00EA4F49"/>
    <w:rsid w:val="00EA5257"/>
    <w:rsid w:val="00EA5461"/>
    <w:rsid w:val="00EA5D0D"/>
    <w:rsid w:val="00EA603C"/>
    <w:rsid w:val="00EA7BA0"/>
    <w:rsid w:val="00EB1373"/>
    <w:rsid w:val="00EB2748"/>
    <w:rsid w:val="00EB2D19"/>
    <w:rsid w:val="00EB47E2"/>
    <w:rsid w:val="00EC1963"/>
    <w:rsid w:val="00EC1A01"/>
    <w:rsid w:val="00EC228B"/>
    <w:rsid w:val="00EC2DAB"/>
    <w:rsid w:val="00EC6880"/>
    <w:rsid w:val="00EC707F"/>
    <w:rsid w:val="00ED2940"/>
    <w:rsid w:val="00ED3C4C"/>
    <w:rsid w:val="00ED7149"/>
    <w:rsid w:val="00ED7E5A"/>
    <w:rsid w:val="00EE4AC5"/>
    <w:rsid w:val="00EE6927"/>
    <w:rsid w:val="00EF5E3B"/>
    <w:rsid w:val="00EF7335"/>
    <w:rsid w:val="00EF79A1"/>
    <w:rsid w:val="00F02271"/>
    <w:rsid w:val="00F03196"/>
    <w:rsid w:val="00F03653"/>
    <w:rsid w:val="00F05DFA"/>
    <w:rsid w:val="00F05F42"/>
    <w:rsid w:val="00F061AC"/>
    <w:rsid w:val="00F0620D"/>
    <w:rsid w:val="00F07E31"/>
    <w:rsid w:val="00F101F5"/>
    <w:rsid w:val="00F1350B"/>
    <w:rsid w:val="00F13BF4"/>
    <w:rsid w:val="00F141F1"/>
    <w:rsid w:val="00F14E6F"/>
    <w:rsid w:val="00F1741B"/>
    <w:rsid w:val="00F24504"/>
    <w:rsid w:val="00F256BC"/>
    <w:rsid w:val="00F25E2D"/>
    <w:rsid w:val="00F355AA"/>
    <w:rsid w:val="00F40E7D"/>
    <w:rsid w:val="00F45056"/>
    <w:rsid w:val="00F516D0"/>
    <w:rsid w:val="00F51C5D"/>
    <w:rsid w:val="00F52DCB"/>
    <w:rsid w:val="00F56B3B"/>
    <w:rsid w:val="00F570BA"/>
    <w:rsid w:val="00F6262A"/>
    <w:rsid w:val="00F66009"/>
    <w:rsid w:val="00F70D6E"/>
    <w:rsid w:val="00F72FC3"/>
    <w:rsid w:val="00F7658A"/>
    <w:rsid w:val="00F769C7"/>
    <w:rsid w:val="00F77FA4"/>
    <w:rsid w:val="00F80139"/>
    <w:rsid w:val="00F83136"/>
    <w:rsid w:val="00F834E9"/>
    <w:rsid w:val="00F846EA"/>
    <w:rsid w:val="00F8610A"/>
    <w:rsid w:val="00F86AA8"/>
    <w:rsid w:val="00F878BA"/>
    <w:rsid w:val="00F90A98"/>
    <w:rsid w:val="00F918F1"/>
    <w:rsid w:val="00F922A0"/>
    <w:rsid w:val="00F927A0"/>
    <w:rsid w:val="00F93FB1"/>
    <w:rsid w:val="00F94490"/>
    <w:rsid w:val="00F957DA"/>
    <w:rsid w:val="00FA2206"/>
    <w:rsid w:val="00FA4068"/>
    <w:rsid w:val="00FA42FB"/>
    <w:rsid w:val="00FA6D53"/>
    <w:rsid w:val="00FA7E63"/>
    <w:rsid w:val="00FB08D4"/>
    <w:rsid w:val="00FB0A10"/>
    <w:rsid w:val="00FB206E"/>
    <w:rsid w:val="00FB3925"/>
    <w:rsid w:val="00FB3DFD"/>
    <w:rsid w:val="00FB6E26"/>
    <w:rsid w:val="00FB73C3"/>
    <w:rsid w:val="00FC0BF1"/>
    <w:rsid w:val="00FC366C"/>
    <w:rsid w:val="00FC7629"/>
    <w:rsid w:val="00FD0440"/>
    <w:rsid w:val="00FD280D"/>
    <w:rsid w:val="00FD58AF"/>
    <w:rsid w:val="00FE1A8C"/>
    <w:rsid w:val="00FE1CEF"/>
    <w:rsid w:val="00FE2C41"/>
    <w:rsid w:val="00FE4A5F"/>
    <w:rsid w:val="00FE5B9E"/>
    <w:rsid w:val="00FE5C6E"/>
    <w:rsid w:val="00FE65D3"/>
    <w:rsid w:val="00FF0BF7"/>
    <w:rsid w:val="00FF254F"/>
    <w:rsid w:val="00FF40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5D24A3B"/>
  <w15:chartTrackingRefBased/>
  <w15:docId w15:val="{8DDA7E51-B80A-A34D-9364-80CE0640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E72"/>
    <w:pPr>
      <w:spacing w:line="240" w:lineRule="auto"/>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4B02E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 t,ft"/>
    <w:basedOn w:val="Normal"/>
    <w:link w:val="FootnoteTextChar"/>
    <w:uiPriority w:val="99"/>
    <w:unhideWhenUsed/>
    <w:qFormat/>
    <w:rsid w:val="00D14B57"/>
    <w:rPr>
      <w:sz w:val="20"/>
      <w:szCs w:val="20"/>
    </w:rPr>
  </w:style>
  <w:style w:type="character" w:customStyle="1" w:styleId="FootnoteTextChar">
    <w:name w:val="Footnote Text Char"/>
    <w:aliases w:val="f t Char,ft Char"/>
    <w:basedOn w:val="DefaultParagraphFont"/>
    <w:link w:val="FootnoteText"/>
    <w:uiPriority w:val="99"/>
    <w:rsid w:val="00D14B57"/>
    <w:rPr>
      <w:sz w:val="20"/>
      <w:szCs w:val="20"/>
    </w:rPr>
  </w:style>
  <w:style w:type="character" w:styleId="FootnoteReference">
    <w:name w:val="footnote reference"/>
    <w:basedOn w:val="DefaultParagraphFont"/>
    <w:uiPriority w:val="99"/>
    <w:unhideWhenUsed/>
    <w:rsid w:val="00D14B57"/>
    <w:rPr>
      <w:vertAlign w:val="superscript"/>
    </w:rPr>
  </w:style>
  <w:style w:type="character" w:styleId="Hyperlink">
    <w:name w:val="Hyperlink"/>
    <w:basedOn w:val="DefaultParagraphFont"/>
    <w:uiPriority w:val="99"/>
    <w:unhideWhenUsed/>
    <w:rsid w:val="00EC1963"/>
    <w:rPr>
      <w:color w:val="0000FF"/>
      <w:u w:val="single"/>
    </w:rPr>
  </w:style>
  <w:style w:type="character" w:customStyle="1" w:styleId="Heading1Char">
    <w:name w:val="Heading 1 Char"/>
    <w:basedOn w:val="DefaultParagraphFont"/>
    <w:link w:val="Heading1"/>
    <w:uiPriority w:val="9"/>
    <w:rsid w:val="004B02EF"/>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B02EF"/>
    <w:rPr>
      <w:color w:val="605E5C"/>
      <w:shd w:val="clear" w:color="auto" w:fill="E1DFDD"/>
    </w:rPr>
  </w:style>
  <w:style w:type="paragraph" w:customStyle="1" w:styleId="I8Quote">
    <w:name w:val="I8_Quote"/>
    <w:basedOn w:val="Normal"/>
    <w:next w:val="Normal"/>
    <w:uiPriority w:val="30"/>
    <w:qFormat/>
    <w:rsid w:val="000E7D89"/>
    <w:pPr>
      <w:spacing w:before="255" w:after="255" w:line="240" w:lineRule="atLeast"/>
      <w:ind w:left="284"/>
      <w:contextualSpacing/>
      <w:jc w:val="both"/>
    </w:pPr>
    <w:rPr>
      <w:rFonts w:cs="MinionPro-Regular"/>
      <w:color w:val="000000"/>
      <w:sz w:val="18"/>
      <w:szCs w:val="18"/>
      <w:lang w:val="en-GB" w:eastAsia="nl-BE"/>
    </w:rPr>
  </w:style>
  <w:style w:type="paragraph" w:styleId="HTMLPreformatted">
    <w:name w:val="HTML Preformatted"/>
    <w:basedOn w:val="Normal"/>
    <w:link w:val="HTMLPreformattedChar"/>
    <w:uiPriority w:val="99"/>
    <w:semiHidden/>
    <w:unhideWhenUsed/>
    <w:rsid w:val="00FA6D5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A6D53"/>
    <w:rPr>
      <w:rFonts w:ascii="Consolas" w:eastAsia="Times New Roman" w:hAnsi="Consolas" w:cs="Consolas"/>
      <w:sz w:val="20"/>
      <w:szCs w:val="20"/>
    </w:rPr>
  </w:style>
  <w:style w:type="character" w:styleId="FollowedHyperlink">
    <w:name w:val="FollowedHyperlink"/>
    <w:basedOn w:val="DefaultParagraphFont"/>
    <w:uiPriority w:val="99"/>
    <w:semiHidden/>
    <w:unhideWhenUsed/>
    <w:rsid w:val="00A06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524">
      <w:bodyDiv w:val="1"/>
      <w:marLeft w:val="0"/>
      <w:marRight w:val="0"/>
      <w:marTop w:val="0"/>
      <w:marBottom w:val="0"/>
      <w:divBdr>
        <w:top w:val="none" w:sz="0" w:space="0" w:color="auto"/>
        <w:left w:val="none" w:sz="0" w:space="0" w:color="auto"/>
        <w:bottom w:val="none" w:sz="0" w:space="0" w:color="auto"/>
        <w:right w:val="none" w:sz="0" w:space="0" w:color="auto"/>
      </w:divBdr>
    </w:div>
    <w:div w:id="10570539">
      <w:bodyDiv w:val="1"/>
      <w:marLeft w:val="0"/>
      <w:marRight w:val="0"/>
      <w:marTop w:val="0"/>
      <w:marBottom w:val="0"/>
      <w:divBdr>
        <w:top w:val="none" w:sz="0" w:space="0" w:color="auto"/>
        <w:left w:val="none" w:sz="0" w:space="0" w:color="auto"/>
        <w:bottom w:val="none" w:sz="0" w:space="0" w:color="auto"/>
        <w:right w:val="none" w:sz="0" w:space="0" w:color="auto"/>
      </w:divBdr>
    </w:div>
    <w:div w:id="11877821">
      <w:bodyDiv w:val="1"/>
      <w:marLeft w:val="0"/>
      <w:marRight w:val="0"/>
      <w:marTop w:val="0"/>
      <w:marBottom w:val="0"/>
      <w:divBdr>
        <w:top w:val="none" w:sz="0" w:space="0" w:color="auto"/>
        <w:left w:val="none" w:sz="0" w:space="0" w:color="auto"/>
        <w:bottom w:val="none" w:sz="0" w:space="0" w:color="auto"/>
        <w:right w:val="none" w:sz="0" w:space="0" w:color="auto"/>
      </w:divBdr>
    </w:div>
    <w:div w:id="55590201">
      <w:bodyDiv w:val="1"/>
      <w:marLeft w:val="0"/>
      <w:marRight w:val="0"/>
      <w:marTop w:val="0"/>
      <w:marBottom w:val="0"/>
      <w:divBdr>
        <w:top w:val="none" w:sz="0" w:space="0" w:color="auto"/>
        <w:left w:val="none" w:sz="0" w:space="0" w:color="auto"/>
        <w:bottom w:val="none" w:sz="0" w:space="0" w:color="auto"/>
        <w:right w:val="none" w:sz="0" w:space="0" w:color="auto"/>
      </w:divBdr>
    </w:div>
    <w:div w:id="86780667">
      <w:bodyDiv w:val="1"/>
      <w:marLeft w:val="0"/>
      <w:marRight w:val="0"/>
      <w:marTop w:val="0"/>
      <w:marBottom w:val="0"/>
      <w:divBdr>
        <w:top w:val="none" w:sz="0" w:space="0" w:color="auto"/>
        <w:left w:val="none" w:sz="0" w:space="0" w:color="auto"/>
        <w:bottom w:val="none" w:sz="0" w:space="0" w:color="auto"/>
        <w:right w:val="none" w:sz="0" w:space="0" w:color="auto"/>
      </w:divBdr>
    </w:div>
    <w:div w:id="118181543">
      <w:bodyDiv w:val="1"/>
      <w:marLeft w:val="0"/>
      <w:marRight w:val="0"/>
      <w:marTop w:val="0"/>
      <w:marBottom w:val="0"/>
      <w:divBdr>
        <w:top w:val="none" w:sz="0" w:space="0" w:color="auto"/>
        <w:left w:val="none" w:sz="0" w:space="0" w:color="auto"/>
        <w:bottom w:val="none" w:sz="0" w:space="0" w:color="auto"/>
        <w:right w:val="none" w:sz="0" w:space="0" w:color="auto"/>
      </w:divBdr>
    </w:div>
    <w:div w:id="183908896">
      <w:bodyDiv w:val="1"/>
      <w:marLeft w:val="0"/>
      <w:marRight w:val="0"/>
      <w:marTop w:val="0"/>
      <w:marBottom w:val="0"/>
      <w:divBdr>
        <w:top w:val="none" w:sz="0" w:space="0" w:color="auto"/>
        <w:left w:val="none" w:sz="0" w:space="0" w:color="auto"/>
        <w:bottom w:val="none" w:sz="0" w:space="0" w:color="auto"/>
        <w:right w:val="none" w:sz="0" w:space="0" w:color="auto"/>
      </w:divBdr>
    </w:div>
    <w:div w:id="229773156">
      <w:bodyDiv w:val="1"/>
      <w:marLeft w:val="0"/>
      <w:marRight w:val="0"/>
      <w:marTop w:val="0"/>
      <w:marBottom w:val="0"/>
      <w:divBdr>
        <w:top w:val="none" w:sz="0" w:space="0" w:color="auto"/>
        <w:left w:val="none" w:sz="0" w:space="0" w:color="auto"/>
        <w:bottom w:val="none" w:sz="0" w:space="0" w:color="auto"/>
        <w:right w:val="none" w:sz="0" w:space="0" w:color="auto"/>
      </w:divBdr>
    </w:div>
    <w:div w:id="238952828">
      <w:bodyDiv w:val="1"/>
      <w:marLeft w:val="0"/>
      <w:marRight w:val="0"/>
      <w:marTop w:val="0"/>
      <w:marBottom w:val="0"/>
      <w:divBdr>
        <w:top w:val="none" w:sz="0" w:space="0" w:color="auto"/>
        <w:left w:val="none" w:sz="0" w:space="0" w:color="auto"/>
        <w:bottom w:val="none" w:sz="0" w:space="0" w:color="auto"/>
        <w:right w:val="none" w:sz="0" w:space="0" w:color="auto"/>
      </w:divBdr>
    </w:div>
    <w:div w:id="244997054">
      <w:bodyDiv w:val="1"/>
      <w:marLeft w:val="0"/>
      <w:marRight w:val="0"/>
      <w:marTop w:val="0"/>
      <w:marBottom w:val="0"/>
      <w:divBdr>
        <w:top w:val="none" w:sz="0" w:space="0" w:color="auto"/>
        <w:left w:val="none" w:sz="0" w:space="0" w:color="auto"/>
        <w:bottom w:val="none" w:sz="0" w:space="0" w:color="auto"/>
        <w:right w:val="none" w:sz="0" w:space="0" w:color="auto"/>
      </w:divBdr>
    </w:div>
    <w:div w:id="254945029">
      <w:bodyDiv w:val="1"/>
      <w:marLeft w:val="0"/>
      <w:marRight w:val="0"/>
      <w:marTop w:val="0"/>
      <w:marBottom w:val="0"/>
      <w:divBdr>
        <w:top w:val="none" w:sz="0" w:space="0" w:color="auto"/>
        <w:left w:val="none" w:sz="0" w:space="0" w:color="auto"/>
        <w:bottom w:val="none" w:sz="0" w:space="0" w:color="auto"/>
        <w:right w:val="none" w:sz="0" w:space="0" w:color="auto"/>
      </w:divBdr>
    </w:div>
    <w:div w:id="321852230">
      <w:bodyDiv w:val="1"/>
      <w:marLeft w:val="0"/>
      <w:marRight w:val="0"/>
      <w:marTop w:val="0"/>
      <w:marBottom w:val="0"/>
      <w:divBdr>
        <w:top w:val="none" w:sz="0" w:space="0" w:color="auto"/>
        <w:left w:val="none" w:sz="0" w:space="0" w:color="auto"/>
        <w:bottom w:val="none" w:sz="0" w:space="0" w:color="auto"/>
        <w:right w:val="none" w:sz="0" w:space="0" w:color="auto"/>
      </w:divBdr>
    </w:div>
    <w:div w:id="384447032">
      <w:bodyDiv w:val="1"/>
      <w:marLeft w:val="0"/>
      <w:marRight w:val="0"/>
      <w:marTop w:val="0"/>
      <w:marBottom w:val="0"/>
      <w:divBdr>
        <w:top w:val="none" w:sz="0" w:space="0" w:color="auto"/>
        <w:left w:val="none" w:sz="0" w:space="0" w:color="auto"/>
        <w:bottom w:val="none" w:sz="0" w:space="0" w:color="auto"/>
        <w:right w:val="none" w:sz="0" w:space="0" w:color="auto"/>
      </w:divBdr>
    </w:div>
    <w:div w:id="390665189">
      <w:bodyDiv w:val="1"/>
      <w:marLeft w:val="0"/>
      <w:marRight w:val="0"/>
      <w:marTop w:val="0"/>
      <w:marBottom w:val="0"/>
      <w:divBdr>
        <w:top w:val="none" w:sz="0" w:space="0" w:color="auto"/>
        <w:left w:val="none" w:sz="0" w:space="0" w:color="auto"/>
        <w:bottom w:val="none" w:sz="0" w:space="0" w:color="auto"/>
        <w:right w:val="none" w:sz="0" w:space="0" w:color="auto"/>
      </w:divBdr>
    </w:div>
    <w:div w:id="391734998">
      <w:bodyDiv w:val="1"/>
      <w:marLeft w:val="0"/>
      <w:marRight w:val="0"/>
      <w:marTop w:val="0"/>
      <w:marBottom w:val="0"/>
      <w:divBdr>
        <w:top w:val="none" w:sz="0" w:space="0" w:color="auto"/>
        <w:left w:val="none" w:sz="0" w:space="0" w:color="auto"/>
        <w:bottom w:val="none" w:sz="0" w:space="0" w:color="auto"/>
        <w:right w:val="none" w:sz="0" w:space="0" w:color="auto"/>
      </w:divBdr>
    </w:div>
    <w:div w:id="393551419">
      <w:bodyDiv w:val="1"/>
      <w:marLeft w:val="0"/>
      <w:marRight w:val="0"/>
      <w:marTop w:val="0"/>
      <w:marBottom w:val="0"/>
      <w:divBdr>
        <w:top w:val="none" w:sz="0" w:space="0" w:color="auto"/>
        <w:left w:val="none" w:sz="0" w:space="0" w:color="auto"/>
        <w:bottom w:val="none" w:sz="0" w:space="0" w:color="auto"/>
        <w:right w:val="none" w:sz="0" w:space="0" w:color="auto"/>
      </w:divBdr>
    </w:div>
    <w:div w:id="401606773">
      <w:bodyDiv w:val="1"/>
      <w:marLeft w:val="0"/>
      <w:marRight w:val="0"/>
      <w:marTop w:val="0"/>
      <w:marBottom w:val="0"/>
      <w:divBdr>
        <w:top w:val="none" w:sz="0" w:space="0" w:color="auto"/>
        <w:left w:val="none" w:sz="0" w:space="0" w:color="auto"/>
        <w:bottom w:val="none" w:sz="0" w:space="0" w:color="auto"/>
        <w:right w:val="none" w:sz="0" w:space="0" w:color="auto"/>
      </w:divBdr>
    </w:div>
    <w:div w:id="522669804">
      <w:bodyDiv w:val="1"/>
      <w:marLeft w:val="0"/>
      <w:marRight w:val="0"/>
      <w:marTop w:val="0"/>
      <w:marBottom w:val="0"/>
      <w:divBdr>
        <w:top w:val="none" w:sz="0" w:space="0" w:color="auto"/>
        <w:left w:val="none" w:sz="0" w:space="0" w:color="auto"/>
        <w:bottom w:val="none" w:sz="0" w:space="0" w:color="auto"/>
        <w:right w:val="none" w:sz="0" w:space="0" w:color="auto"/>
      </w:divBdr>
    </w:div>
    <w:div w:id="553854558">
      <w:bodyDiv w:val="1"/>
      <w:marLeft w:val="0"/>
      <w:marRight w:val="0"/>
      <w:marTop w:val="0"/>
      <w:marBottom w:val="0"/>
      <w:divBdr>
        <w:top w:val="none" w:sz="0" w:space="0" w:color="auto"/>
        <w:left w:val="none" w:sz="0" w:space="0" w:color="auto"/>
        <w:bottom w:val="none" w:sz="0" w:space="0" w:color="auto"/>
        <w:right w:val="none" w:sz="0" w:space="0" w:color="auto"/>
      </w:divBdr>
    </w:div>
    <w:div w:id="564536232">
      <w:bodyDiv w:val="1"/>
      <w:marLeft w:val="0"/>
      <w:marRight w:val="0"/>
      <w:marTop w:val="0"/>
      <w:marBottom w:val="0"/>
      <w:divBdr>
        <w:top w:val="none" w:sz="0" w:space="0" w:color="auto"/>
        <w:left w:val="none" w:sz="0" w:space="0" w:color="auto"/>
        <w:bottom w:val="none" w:sz="0" w:space="0" w:color="auto"/>
        <w:right w:val="none" w:sz="0" w:space="0" w:color="auto"/>
      </w:divBdr>
    </w:div>
    <w:div w:id="656345592">
      <w:bodyDiv w:val="1"/>
      <w:marLeft w:val="0"/>
      <w:marRight w:val="0"/>
      <w:marTop w:val="0"/>
      <w:marBottom w:val="0"/>
      <w:divBdr>
        <w:top w:val="none" w:sz="0" w:space="0" w:color="auto"/>
        <w:left w:val="none" w:sz="0" w:space="0" w:color="auto"/>
        <w:bottom w:val="none" w:sz="0" w:space="0" w:color="auto"/>
        <w:right w:val="none" w:sz="0" w:space="0" w:color="auto"/>
      </w:divBdr>
    </w:div>
    <w:div w:id="679552079">
      <w:bodyDiv w:val="1"/>
      <w:marLeft w:val="0"/>
      <w:marRight w:val="0"/>
      <w:marTop w:val="0"/>
      <w:marBottom w:val="0"/>
      <w:divBdr>
        <w:top w:val="none" w:sz="0" w:space="0" w:color="auto"/>
        <w:left w:val="none" w:sz="0" w:space="0" w:color="auto"/>
        <w:bottom w:val="none" w:sz="0" w:space="0" w:color="auto"/>
        <w:right w:val="none" w:sz="0" w:space="0" w:color="auto"/>
      </w:divBdr>
    </w:div>
    <w:div w:id="705063436">
      <w:bodyDiv w:val="1"/>
      <w:marLeft w:val="0"/>
      <w:marRight w:val="0"/>
      <w:marTop w:val="0"/>
      <w:marBottom w:val="0"/>
      <w:divBdr>
        <w:top w:val="none" w:sz="0" w:space="0" w:color="auto"/>
        <w:left w:val="none" w:sz="0" w:space="0" w:color="auto"/>
        <w:bottom w:val="none" w:sz="0" w:space="0" w:color="auto"/>
        <w:right w:val="none" w:sz="0" w:space="0" w:color="auto"/>
      </w:divBdr>
    </w:div>
    <w:div w:id="728111543">
      <w:bodyDiv w:val="1"/>
      <w:marLeft w:val="0"/>
      <w:marRight w:val="0"/>
      <w:marTop w:val="0"/>
      <w:marBottom w:val="0"/>
      <w:divBdr>
        <w:top w:val="none" w:sz="0" w:space="0" w:color="auto"/>
        <w:left w:val="none" w:sz="0" w:space="0" w:color="auto"/>
        <w:bottom w:val="none" w:sz="0" w:space="0" w:color="auto"/>
        <w:right w:val="none" w:sz="0" w:space="0" w:color="auto"/>
      </w:divBdr>
    </w:div>
    <w:div w:id="742990449">
      <w:bodyDiv w:val="1"/>
      <w:marLeft w:val="0"/>
      <w:marRight w:val="0"/>
      <w:marTop w:val="0"/>
      <w:marBottom w:val="0"/>
      <w:divBdr>
        <w:top w:val="none" w:sz="0" w:space="0" w:color="auto"/>
        <w:left w:val="none" w:sz="0" w:space="0" w:color="auto"/>
        <w:bottom w:val="none" w:sz="0" w:space="0" w:color="auto"/>
        <w:right w:val="none" w:sz="0" w:space="0" w:color="auto"/>
      </w:divBdr>
    </w:div>
    <w:div w:id="762914280">
      <w:bodyDiv w:val="1"/>
      <w:marLeft w:val="0"/>
      <w:marRight w:val="0"/>
      <w:marTop w:val="0"/>
      <w:marBottom w:val="0"/>
      <w:divBdr>
        <w:top w:val="none" w:sz="0" w:space="0" w:color="auto"/>
        <w:left w:val="none" w:sz="0" w:space="0" w:color="auto"/>
        <w:bottom w:val="none" w:sz="0" w:space="0" w:color="auto"/>
        <w:right w:val="none" w:sz="0" w:space="0" w:color="auto"/>
      </w:divBdr>
    </w:div>
    <w:div w:id="765610942">
      <w:bodyDiv w:val="1"/>
      <w:marLeft w:val="0"/>
      <w:marRight w:val="0"/>
      <w:marTop w:val="0"/>
      <w:marBottom w:val="0"/>
      <w:divBdr>
        <w:top w:val="none" w:sz="0" w:space="0" w:color="auto"/>
        <w:left w:val="none" w:sz="0" w:space="0" w:color="auto"/>
        <w:bottom w:val="none" w:sz="0" w:space="0" w:color="auto"/>
        <w:right w:val="none" w:sz="0" w:space="0" w:color="auto"/>
      </w:divBdr>
    </w:div>
    <w:div w:id="799954423">
      <w:bodyDiv w:val="1"/>
      <w:marLeft w:val="0"/>
      <w:marRight w:val="0"/>
      <w:marTop w:val="0"/>
      <w:marBottom w:val="0"/>
      <w:divBdr>
        <w:top w:val="none" w:sz="0" w:space="0" w:color="auto"/>
        <w:left w:val="none" w:sz="0" w:space="0" w:color="auto"/>
        <w:bottom w:val="none" w:sz="0" w:space="0" w:color="auto"/>
        <w:right w:val="none" w:sz="0" w:space="0" w:color="auto"/>
      </w:divBdr>
    </w:div>
    <w:div w:id="830758493">
      <w:bodyDiv w:val="1"/>
      <w:marLeft w:val="0"/>
      <w:marRight w:val="0"/>
      <w:marTop w:val="0"/>
      <w:marBottom w:val="0"/>
      <w:divBdr>
        <w:top w:val="none" w:sz="0" w:space="0" w:color="auto"/>
        <w:left w:val="none" w:sz="0" w:space="0" w:color="auto"/>
        <w:bottom w:val="none" w:sz="0" w:space="0" w:color="auto"/>
        <w:right w:val="none" w:sz="0" w:space="0" w:color="auto"/>
      </w:divBdr>
    </w:div>
    <w:div w:id="911811101">
      <w:bodyDiv w:val="1"/>
      <w:marLeft w:val="0"/>
      <w:marRight w:val="0"/>
      <w:marTop w:val="0"/>
      <w:marBottom w:val="0"/>
      <w:divBdr>
        <w:top w:val="none" w:sz="0" w:space="0" w:color="auto"/>
        <w:left w:val="none" w:sz="0" w:space="0" w:color="auto"/>
        <w:bottom w:val="none" w:sz="0" w:space="0" w:color="auto"/>
        <w:right w:val="none" w:sz="0" w:space="0" w:color="auto"/>
      </w:divBdr>
    </w:div>
    <w:div w:id="934559150">
      <w:bodyDiv w:val="1"/>
      <w:marLeft w:val="0"/>
      <w:marRight w:val="0"/>
      <w:marTop w:val="0"/>
      <w:marBottom w:val="0"/>
      <w:divBdr>
        <w:top w:val="none" w:sz="0" w:space="0" w:color="auto"/>
        <w:left w:val="none" w:sz="0" w:space="0" w:color="auto"/>
        <w:bottom w:val="none" w:sz="0" w:space="0" w:color="auto"/>
        <w:right w:val="none" w:sz="0" w:space="0" w:color="auto"/>
      </w:divBdr>
    </w:div>
    <w:div w:id="981035764">
      <w:bodyDiv w:val="1"/>
      <w:marLeft w:val="0"/>
      <w:marRight w:val="0"/>
      <w:marTop w:val="0"/>
      <w:marBottom w:val="0"/>
      <w:divBdr>
        <w:top w:val="none" w:sz="0" w:space="0" w:color="auto"/>
        <w:left w:val="none" w:sz="0" w:space="0" w:color="auto"/>
        <w:bottom w:val="none" w:sz="0" w:space="0" w:color="auto"/>
        <w:right w:val="none" w:sz="0" w:space="0" w:color="auto"/>
      </w:divBdr>
    </w:div>
    <w:div w:id="1008214655">
      <w:bodyDiv w:val="1"/>
      <w:marLeft w:val="0"/>
      <w:marRight w:val="0"/>
      <w:marTop w:val="0"/>
      <w:marBottom w:val="0"/>
      <w:divBdr>
        <w:top w:val="none" w:sz="0" w:space="0" w:color="auto"/>
        <w:left w:val="none" w:sz="0" w:space="0" w:color="auto"/>
        <w:bottom w:val="none" w:sz="0" w:space="0" w:color="auto"/>
        <w:right w:val="none" w:sz="0" w:space="0" w:color="auto"/>
      </w:divBdr>
    </w:div>
    <w:div w:id="1062870733">
      <w:bodyDiv w:val="1"/>
      <w:marLeft w:val="0"/>
      <w:marRight w:val="0"/>
      <w:marTop w:val="0"/>
      <w:marBottom w:val="0"/>
      <w:divBdr>
        <w:top w:val="none" w:sz="0" w:space="0" w:color="auto"/>
        <w:left w:val="none" w:sz="0" w:space="0" w:color="auto"/>
        <w:bottom w:val="none" w:sz="0" w:space="0" w:color="auto"/>
        <w:right w:val="none" w:sz="0" w:space="0" w:color="auto"/>
      </w:divBdr>
    </w:div>
    <w:div w:id="1071198426">
      <w:bodyDiv w:val="1"/>
      <w:marLeft w:val="0"/>
      <w:marRight w:val="0"/>
      <w:marTop w:val="0"/>
      <w:marBottom w:val="0"/>
      <w:divBdr>
        <w:top w:val="none" w:sz="0" w:space="0" w:color="auto"/>
        <w:left w:val="none" w:sz="0" w:space="0" w:color="auto"/>
        <w:bottom w:val="none" w:sz="0" w:space="0" w:color="auto"/>
        <w:right w:val="none" w:sz="0" w:space="0" w:color="auto"/>
      </w:divBdr>
    </w:div>
    <w:div w:id="1116484269">
      <w:bodyDiv w:val="1"/>
      <w:marLeft w:val="0"/>
      <w:marRight w:val="0"/>
      <w:marTop w:val="0"/>
      <w:marBottom w:val="0"/>
      <w:divBdr>
        <w:top w:val="none" w:sz="0" w:space="0" w:color="auto"/>
        <w:left w:val="none" w:sz="0" w:space="0" w:color="auto"/>
        <w:bottom w:val="none" w:sz="0" w:space="0" w:color="auto"/>
        <w:right w:val="none" w:sz="0" w:space="0" w:color="auto"/>
      </w:divBdr>
    </w:div>
    <w:div w:id="1167401331">
      <w:bodyDiv w:val="1"/>
      <w:marLeft w:val="0"/>
      <w:marRight w:val="0"/>
      <w:marTop w:val="0"/>
      <w:marBottom w:val="0"/>
      <w:divBdr>
        <w:top w:val="none" w:sz="0" w:space="0" w:color="auto"/>
        <w:left w:val="none" w:sz="0" w:space="0" w:color="auto"/>
        <w:bottom w:val="none" w:sz="0" w:space="0" w:color="auto"/>
        <w:right w:val="none" w:sz="0" w:space="0" w:color="auto"/>
      </w:divBdr>
    </w:div>
    <w:div w:id="1182469795">
      <w:bodyDiv w:val="1"/>
      <w:marLeft w:val="0"/>
      <w:marRight w:val="0"/>
      <w:marTop w:val="0"/>
      <w:marBottom w:val="0"/>
      <w:divBdr>
        <w:top w:val="none" w:sz="0" w:space="0" w:color="auto"/>
        <w:left w:val="none" w:sz="0" w:space="0" w:color="auto"/>
        <w:bottom w:val="none" w:sz="0" w:space="0" w:color="auto"/>
        <w:right w:val="none" w:sz="0" w:space="0" w:color="auto"/>
      </w:divBdr>
    </w:div>
    <w:div w:id="1218318937">
      <w:bodyDiv w:val="1"/>
      <w:marLeft w:val="0"/>
      <w:marRight w:val="0"/>
      <w:marTop w:val="0"/>
      <w:marBottom w:val="0"/>
      <w:divBdr>
        <w:top w:val="none" w:sz="0" w:space="0" w:color="auto"/>
        <w:left w:val="none" w:sz="0" w:space="0" w:color="auto"/>
        <w:bottom w:val="none" w:sz="0" w:space="0" w:color="auto"/>
        <w:right w:val="none" w:sz="0" w:space="0" w:color="auto"/>
      </w:divBdr>
    </w:div>
    <w:div w:id="1229849890">
      <w:bodyDiv w:val="1"/>
      <w:marLeft w:val="0"/>
      <w:marRight w:val="0"/>
      <w:marTop w:val="0"/>
      <w:marBottom w:val="0"/>
      <w:divBdr>
        <w:top w:val="none" w:sz="0" w:space="0" w:color="auto"/>
        <w:left w:val="none" w:sz="0" w:space="0" w:color="auto"/>
        <w:bottom w:val="none" w:sz="0" w:space="0" w:color="auto"/>
        <w:right w:val="none" w:sz="0" w:space="0" w:color="auto"/>
      </w:divBdr>
    </w:div>
    <w:div w:id="1252005480">
      <w:bodyDiv w:val="1"/>
      <w:marLeft w:val="0"/>
      <w:marRight w:val="0"/>
      <w:marTop w:val="0"/>
      <w:marBottom w:val="0"/>
      <w:divBdr>
        <w:top w:val="none" w:sz="0" w:space="0" w:color="auto"/>
        <w:left w:val="none" w:sz="0" w:space="0" w:color="auto"/>
        <w:bottom w:val="none" w:sz="0" w:space="0" w:color="auto"/>
        <w:right w:val="none" w:sz="0" w:space="0" w:color="auto"/>
      </w:divBdr>
    </w:div>
    <w:div w:id="1334183636">
      <w:bodyDiv w:val="1"/>
      <w:marLeft w:val="0"/>
      <w:marRight w:val="0"/>
      <w:marTop w:val="0"/>
      <w:marBottom w:val="0"/>
      <w:divBdr>
        <w:top w:val="none" w:sz="0" w:space="0" w:color="auto"/>
        <w:left w:val="none" w:sz="0" w:space="0" w:color="auto"/>
        <w:bottom w:val="none" w:sz="0" w:space="0" w:color="auto"/>
        <w:right w:val="none" w:sz="0" w:space="0" w:color="auto"/>
      </w:divBdr>
    </w:div>
    <w:div w:id="1411660291">
      <w:bodyDiv w:val="1"/>
      <w:marLeft w:val="0"/>
      <w:marRight w:val="0"/>
      <w:marTop w:val="0"/>
      <w:marBottom w:val="0"/>
      <w:divBdr>
        <w:top w:val="none" w:sz="0" w:space="0" w:color="auto"/>
        <w:left w:val="none" w:sz="0" w:space="0" w:color="auto"/>
        <w:bottom w:val="none" w:sz="0" w:space="0" w:color="auto"/>
        <w:right w:val="none" w:sz="0" w:space="0" w:color="auto"/>
      </w:divBdr>
    </w:div>
    <w:div w:id="1438521192">
      <w:bodyDiv w:val="1"/>
      <w:marLeft w:val="0"/>
      <w:marRight w:val="0"/>
      <w:marTop w:val="0"/>
      <w:marBottom w:val="0"/>
      <w:divBdr>
        <w:top w:val="none" w:sz="0" w:space="0" w:color="auto"/>
        <w:left w:val="none" w:sz="0" w:space="0" w:color="auto"/>
        <w:bottom w:val="none" w:sz="0" w:space="0" w:color="auto"/>
        <w:right w:val="none" w:sz="0" w:space="0" w:color="auto"/>
      </w:divBdr>
    </w:div>
    <w:div w:id="1460220631">
      <w:bodyDiv w:val="1"/>
      <w:marLeft w:val="0"/>
      <w:marRight w:val="0"/>
      <w:marTop w:val="0"/>
      <w:marBottom w:val="0"/>
      <w:divBdr>
        <w:top w:val="none" w:sz="0" w:space="0" w:color="auto"/>
        <w:left w:val="none" w:sz="0" w:space="0" w:color="auto"/>
        <w:bottom w:val="none" w:sz="0" w:space="0" w:color="auto"/>
        <w:right w:val="none" w:sz="0" w:space="0" w:color="auto"/>
      </w:divBdr>
    </w:div>
    <w:div w:id="1503665077">
      <w:bodyDiv w:val="1"/>
      <w:marLeft w:val="0"/>
      <w:marRight w:val="0"/>
      <w:marTop w:val="0"/>
      <w:marBottom w:val="0"/>
      <w:divBdr>
        <w:top w:val="none" w:sz="0" w:space="0" w:color="auto"/>
        <w:left w:val="none" w:sz="0" w:space="0" w:color="auto"/>
        <w:bottom w:val="none" w:sz="0" w:space="0" w:color="auto"/>
        <w:right w:val="none" w:sz="0" w:space="0" w:color="auto"/>
      </w:divBdr>
    </w:div>
    <w:div w:id="1609774112">
      <w:bodyDiv w:val="1"/>
      <w:marLeft w:val="0"/>
      <w:marRight w:val="0"/>
      <w:marTop w:val="0"/>
      <w:marBottom w:val="0"/>
      <w:divBdr>
        <w:top w:val="none" w:sz="0" w:space="0" w:color="auto"/>
        <w:left w:val="none" w:sz="0" w:space="0" w:color="auto"/>
        <w:bottom w:val="none" w:sz="0" w:space="0" w:color="auto"/>
        <w:right w:val="none" w:sz="0" w:space="0" w:color="auto"/>
      </w:divBdr>
    </w:div>
    <w:div w:id="1633293617">
      <w:bodyDiv w:val="1"/>
      <w:marLeft w:val="0"/>
      <w:marRight w:val="0"/>
      <w:marTop w:val="0"/>
      <w:marBottom w:val="0"/>
      <w:divBdr>
        <w:top w:val="none" w:sz="0" w:space="0" w:color="auto"/>
        <w:left w:val="none" w:sz="0" w:space="0" w:color="auto"/>
        <w:bottom w:val="none" w:sz="0" w:space="0" w:color="auto"/>
        <w:right w:val="none" w:sz="0" w:space="0" w:color="auto"/>
      </w:divBdr>
    </w:div>
    <w:div w:id="1665938277">
      <w:bodyDiv w:val="1"/>
      <w:marLeft w:val="0"/>
      <w:marRight w:val="0"/>
      <w:marTop w:val="0"/>
      <w:marBottom w:val="0"/>
      <w:divBdr>
        <w:top w:val="none" w:sz="0" w:space="0" w:color="auto"/>
        <w:left w:val="none" w:sz="0" w:space="0" w:color="auto"/>
        <w:bottom w:val="none" w:sz="0" w:space="0" w:color="auto"/>
        <w:right w:val="none" w:sz="0" w:space="0" w:color="auto"/>
      </w:divBdr>
    </w:div>
    <w:div w:id="1831209166">
      <w:bodyDiv w:val="1"/>
      <w:marLeft w:val="0"/>
      <w:marRight w:val="0"/>
      <w:marTop w:val="0"/>
      <w:marBottom w:val="0"/>
      <w:divBdr>
        <w:top w:val="none" w:sz="0" w:space="0" w:color="auto"/>
        <w:left w:val="none" w:sz="0" w:space="0" w:color="auto"/>
        <w:bottom w:val="none" w:sz="0" w:space="0" w:color="auto"/>
        <w:right w:val="none" w:sz="0" w:space="0" w:color="auto"/>
      </w:divBdr>
    </w:div>
    <w:div w:id="1833443246">
      <w:bodyDiv w:val="1"/>
      <w:marLeft w:val="0"/>
      <w:marRight w:val="0"/>
      <w:marTop w:val="0"/>
      <w:marBottom w:val="0"/>
      <w:divBdr>
        <w:top w:val="none" w:sz="0" w:space="0" w:color="auto"/>
        <w:left w:val="none" w:sz="0" w:space="0" w:color="auto"/>
        <w:bottom w:val="none" w:sz="0" w:space="0" w:color="auto"/>
        <w:right w:val="none" w:sz="0" w:space="0" w:color="auto"/>
      </w:divBdr>
    </w:div>
    <w:div w:id="1836728960">
      <w:bodyDiv w:val="1"/>
      <w:marLeft w:val="0"/>
      <w:marRight w:val="0"/>
      <w:marTop w:val="0"/>
      <w:marBottom w:val="0"/>
      <w:divBdr>
        <w:top w:val="none" w:sz="0" w:space="0" w:color="auto"/>
        <w:left w:val="none" w:sz="0" w:space="0" w:color="auto"/>
        <w:bottom w:val="none" w:sz="0" w:space="0" w:color="auto"/>
        <w:right w:val="none" w:sz="0" w:space="0" w:color="auto"/>
      </w:divBdr>
    </w:div>
    <w:div w:id="1877037203">
      <w:bodyDiv w:val="1"/>
      <w:marLeft w:val="0"/>
      <w:marRight w:val="0"/>
      <w:marTop w:val="0"/>
      <w:marBottom w:val="0"/>
      <w:divBdr>
        <w:top w:val="none" w:sz="0" w:space="0" w:color="auto"/>
        <w:left w:val="none" w:sz="0" w:space="0" w:color="auto"/>
        <w:bottom w:val="none" w:sz="0" w:space="0" w:color="auto"/>
        <w:right w:val="none" w:sz="0" w:space="0" w:color="auto"/>
      </w:divBdr>
    </w:div>
    <w:div w:id="1934778501">
      <w:bodyDiv w:val="1"/>
      <w:marLeft w:val="0"/>
      <w:marRight w:val="0"/>
      <w:marTop w:val="0"/>
      <w:marBottom w:val="0"/>
      <w:divBdr>
        <w:top w:val="none" w:sz="0" w:space="0" w:color="auto"/>
        <w:left w:val="none" w:sz="0" w:space="0" w:color="auto"/>
        <w:bottom w:val="none" w:sz="0" w:space="0" w:color="auto"/>
        <w:right w:val="none" w:sz="0" w:space="0" w:color="auto"/>
      </w:divBdr>
    </w:div>
    <w:div w:id="1944654914">
      <w:bodyDiv w:val="1"/>
      <w:marLeft w:val="0"/>
      <w:marRight w:val="0"/>
      <w:marTop w:val="0"/>
      <w:marBottom w:val="0"/>
      <w:divBdr>
        <w:top w:val="none" w:sz="0" w:space="0" w:color="auto"/>
        <w:left w:val="none" w:sz="0" w:space="0" w:color="auto"/>
        <w:bottom w:val="none" w:sz="0" w:space="0" w:color="auto"/>
        <w:right w:val="none" w:sz="0" w:space="0" w:color="auto"/>
      </w:divBdr>
    </w:div>
    <w:div w:id="2009865791">
      <w:bodyDiv w:val="1"/>
      <w:marLeft w:val="0"/>
      <w:marRight w:val="0"/>
      <w:marTop w:val="0"/>
      <w:marBottom w:val="0"/>
      <w:divBdr>
        <w:top w:val="none" w:sz="0" w:space="0" w:color="auto"/>
        <w:left w:val="none" w:sz="0" w:space="0" w:color="auto"/>
        <w:bottom w:val="none" w:sz="0" w:space="0" w:color="auto"/>
        <w:right w:val="none" w:sz="0" w:space="0" w:color="auto"/>
      </w:divBdr>
    </w:div>
    <w:div w:id="2077703768">
      <w:bodyDiv w:val="1"/>
      <w:marLeft w:val="0"/>
      <w:marRight w:val="0"/>
      <w:marTop w:val="0"/>
      <w:marBottom w:val="0"/>
      <w:divBdr>
        <w:top w:val="none" w:sz="0" w:space="0" w:color="auto"/>
        <w:left w:val="none" w:sz="0" w:space="0" w:color="auto"/>
        <w:bottom w:val="none" w:sz="0" w:space="0" w:color="auto"/>
        <w:right w:val="none" w:sz="0" w:space="0" w:color="auto"/>
      </w:divBdr>
    </w:div>
    <w:div w:id="2088845692">
      <w:bodyDiv w:val="1"/>
      <w:marLeft w:val="0"/>
      <w:marRight w:val="0"/>
      <w:marTop w:val="0"/>
      <w:marBottom w:val="0"/>
      <w:divBdr>
        <w:top w:val="none" w:sz="0" w:space="0" w:color="auto"/>
        <w:left w:val="none" w:sz="0" w:space="0" w:color="auto"/>
        <w:bottom w:val="none" w:sz="0" w:space="0" w:color="auto"/>
        <w:right w:val="none" w:sz="0" w:space="0" w:color="auto"/>
      </w:divBdr>
    </w:div>
    <w:div w:id="2097363896">
      <w:bodyDiv w:val="1"/>
      <w:marLeft w:val="0"/>
      <w:marRight w:val="0"/>
      <w:marTop w:val="0"/>
      <w:marBottom w:val="0"/>
      <w:divBdr>
        <w:top w:val="none" w:sz="0" w:space="0" w:color="auto"/>
        <w:left w:val="none" w:sz="0" w:space="0" w:color="auto"/>
        <w:bottom w:val="none" w:sz="0" w:space="0" w:color="auto"/>
        <w:right w:val="none" w:sz="0" w:space="0" w:color="auto"/>
      </w:divBdr>
    </w:div>
    <w:div w:id="213948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otworldtoday.com/2022/03/10/japan-is-one-step-closer-to-launching-driverless-vehicles/" TargetMode="External"/><Relationship Id="rId13" Type="http://schemas.openxmlformats.org/officeDocument/2006/relationships/hyperlink" Target="https://economictimes.indiatimes.com/industry/driverless-cars-wont-be-allowed-in-india-nitin-gadkari/articleshow/59744519.cms" TargetMode="External"/><Relationship Id="rId18" Type="http://schemas.openxmlformats.org/officeDocument/2006/relationships/hyperlink" Target="https://doi.org/10.1515/gj-2021-0025" TargetMode="External"/><Relationship Id="rId3" Type="http://schemas.openxmlformats.org/officeDocument/2006/relationships/hyperlink" Target="https://www.bbc.com/future/article/20211126-how-driverless-cars-will-change-our-world" TargetMode="External"/><Relationship Id="rId7" Type="http://schemas.openxmlformats.org/officeDocument/2006/relationships/hyperlink" Target="https://www.globaltimes.cn/page/202201/1246248.shtml" TargetMode="External"/><Relationship Id="rId12" Type="http://schemas.openxmlformats.org/officeDocument/2006/relationships/hyperlink" Target="https://www.legifrance.gouv.fr/jorf/id/JORFTEXT000043729532" TargetMode="External"/><Relationship Id="rId17" Type="http://schemas.openxmlformats.org/officeDocument/2006/relationships/hyperlink" Target="https://www.unece.org/fileadmin/DAM/trans/doc/2017/wp1/ECE-TRANS-WP1-157e.pdf" TargetMode="External"/><Relationship Id="rId2" Type="http://schemas.openxmlformats.org/officeDocument/2006/relationships/hyperlink" Target="https://techcrunch.com/2022/02/28/waymo-to-begin-charging-for-robotaxi-rides-in-san-francisco/" TargetMode="External"/><Relationship Id="rId16" Type="http://schemas.openxmlformats.org/officeDocument/2006/relationships/hyperlink" Target="https://treaties.un.org/doc/Treaties/1977/05/19770524%2000-13%20AM/Ch_XI_B_19.pdf" TargetMode="External"/><Relationship Id="rId1" Type="http://schemas.openxmlformats.org/officeDocument/2006/relationships/hyperlink" Target="https://techcrunch.com/2021/08/24/waymo-launches-robotaxi-service-in-san-francisco/" TargetMode="External"/><Relationship Id="rId6" Type="http://schemas.openxmlformats.org/officeDocument/2006/relationships/hyperlink" Target="https://www.ndtv.com/world-news/autonomous-robotaxis-debut-on-china-streets-2626066" TargetMode="External"/><Relationship Id="rId11" Type="http://schemas.openxmlformats.org/officeDocument/2006/relationships/hyperlink" Target="https://www.theverge.com/2019/6/12/18662626/uber-volvo-self-driving-car-safety-autonomous-factory-level" TargetMode="External"/><Relationship Id="rId5" Type="http://schemas.openxmlformats.org/officeDocument/2006/relationships/hyperlink" Target="https://www.dw.com/en/germany-aims-to-get-self-driving-cars-on-the-roads-in-2022/a-57629028" TargetMode="External"/><Relationship Id="rId15" Type="http://schemas.openxmlformats.org/officeDocument/2006/relationships/hyperlink" Target="https://treaties.un.org/doc/Treaties/1952/03/19520326%2003-36%20PM/Ch_XI_B_1_2_3.pdf" TargetMode="External"/><Relationship Id="rId10" Type="http://schemas.openxmlformats.org/officeDocument/2006/relationships/hyperlink" Target="https://www.forbes.com/sites/bradtempleton/2019/05/21/tesla-autopilot-repeats-fatal-crash-do-they-learn-from-past-mistakes/" TargetMode="External"/><Relationship Id="rId4" Type="http://schemas.openxmlformats.org/officeDocument/2006/relationships/hyperlink" Target="https://www.smartcitiesworld.net/news/news/driverless-passenger-shuttle-launched-in-paris-ile-de-france-6262" TargetMode="External"/><Relationship Id="rId9" Type="http://schemas.openxmlformats.org/officeDocument/2006/relationships/hyperlink" Target="https://techcrunch.com/2019/05/01/tesla-sued-in-wrongful-death-lawsuit-that-alleges-autopilot-caused-crash/" TargetMode="External"/><Relationship Id="rId14" Type="http://schemas.openxmlformats.org/officeDocument/2006/relationships/hyperlink" Target="https://assets.kpmg/content/dam/kpmg/xx/pdf/2020/07/2020-autonomous-vehicles-readiness-inde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EE368B-5A5D-2341-AF4F-6D2E85DE27FC}">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5A17B-3216-3A41-A5FC-A335FA87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8474</TotalTime>
  <Pages>35</Pages>
  <Words>11052</Words>
  <Characters>62999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1311</cp:revision>
  <dcterms:created xsi:type="dcterms:W3CDTF">2022-02-25T05:19:00Z</dcterms:created>
  <dcterms:modified xsi:type="dcterms:W3CDTF">2022-04-28T05:26:00Z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documentId_5771</vt:lpwstr>
  </property>
  <property fmtid="{D5CDD505-2E9C-101B-9397-08002B2CF9AE}" pid="3" name="grammarly_documentContext">
    <vt:lpwstr>{"goals":[],"domain":"general","emotions":[],"dialect":"british"}</vt:lpwstr>
  </property>
</Properties>
</file>