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C8" w:rsidRPr="009516C9" w:rsidRDefault="00E772C8" w:rsidP="00E772C8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9516C9">
        <w:rPr>
          <w:b/>
        </w:rPr>
        <w:t>Supplemental Table 1</w:t>
      </w:r>
    </w:p>
    <w:p w:rsidR="00E772C8" w:rsidRDefault="00E772C8" w:rsidP="00E772C8">
      <w:pPr>
        <w:spacing w:line="240" w:lineRule="auto"/>
        <w:contextualSpacing/>
        <w:jc w:val="center"/>
        <w:rPr>
          <w:rFonts w:cstheme="minorHAnsi"/>
          <w:b/>
        </w:rPr>
      </w:pPr>
      <w:r w:rsidRPr="009516C9">
        <w:rPr>
          <w:rFonts w:cstheme="minorHAnsi"/>
          <w:b/>
        </w:rPr>
        <w:t>The mos</w:t>
      </w:r>
      <w:r>
        <w:rPr>
          <w:rFonts w:cstheme="minorHAnsi"/>
          <w:b/>
        </w:rPr>
        <w:t xml:space="preserve">t influential </w:t>
      </w:r>
      <w:r w:rsidRPr="0009235D">
        <w:rPr>
          <w:rFonts w:cstheme="minorHAnsi"/>
          <w:b/>
        </w:rPr>
        <w:t>articles published in th</w:t>
      </w:r>
      <w:r>
        <w:rPr>
          <w:rFonts w:cstheme="minorHAnsi"/>
          <w:b/>
        </w:rPr>
        <w:t xml:space="preserve">e </w:t>
      </w:r>
      <w:r w:rsidRPr="0086621C">
        <w:rPr>
          <w:rFonts w:cstheme="minorHAnsi"/>
          <w:b/>
          <w:i/>
        </w:rPr>
        <w:t>Journal of Perinatal Medicine</w:t>
      </w:r>
      <w:r>
        <w:rPr>
          <w:rFonts w:cstheme="minorHAnsi"/>
          <w:b/>
        </w:rPr>
        <w:t xml:space="preserve"> </w:t>
      </w:r>
    </w:p>
    <w:p w:rsidR="00E772C8" w:rsidRDefault="00E772C8" w:rsidP="00E772C8">
      <w:pPr>
        <w:spacing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by three metrics of research influence, 1973-2022</w:t>
      </w:r>
    </w:p>
    <w:p w:rsidR="00E772C8" w:rsidRDefault="00E772C8" w:rsidP="00E772C8">
      <w:pPr>
        <w:spacing w:line="240" w:lineRule="auto"/>
        <w:contextualSpacing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6"/>
        <w:gridCol w:w="659"/>
        <w:gridCol w:w="650"/>
        <w:gridCol w:w="4572"/>
        <w:gridCol w:w="666"/>
        <w:gridCol w:w="720"/>
        <w:gridCol w:w="728"/>
        <w:gridCol w:w="639"/>
      </w:tblGrid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Top-Cited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Top-RCR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Top-AAS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Article Title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Cites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RCR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AAS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roles of long-chain polyunsaturated fatty acids in pregnancy, lactation and infancy: review of current knowledge and consensus recommendations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13.91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Normal values of pulsatility index from fetal vessels – a cross sectional study on </w:t>
            </w: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1556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healthy fetuses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16.84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Placental lesions associated with maternal underperfusion are more frequent in early-onset than in late-onset preeclampsia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Listeriosis in human pregnancy: a systematic review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5.72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Markers of risk for preterm delivery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4.44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Psychosocial stress in pregnancy and preterm birth: associations and mechanisms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7.77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8000 – computerized antenatal FRH analysis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1991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6.84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TNF, IL-1, IL-6, IL-8 and soluble TNF receptors in relation to chorioamnionitis and premature labor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4.47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Clinical chorioamnionitis at term I: microbiology of the amniotic cavity using cultivation and molecular techniques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7.99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A sonographic short cervix as the only clinical manifestation of intra-amniotic infection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4.59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Intrauterine restriction (IUGR)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4.62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Cerebral palsy and fetal inflammatory response syndrome: a review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3.39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Fetal growth restriction - from observation to intervention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5.46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Multifactorial study of risk of prematurity at 32 weeks of gestation. 1. Study of frequency of 30 predictive characteristics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1974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Genes and the preeclampsia a syndrome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3.43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Characterization of the myometrial transcriptome and biological pathways of spontaneous human labor at term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3.49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 the fetal heart non-invasively: a review of methods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3.39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Maturation of the autonomic nervous system: differences in heart rate variability in premature vs. term infants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3.59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Epigenetic malprogramming of the insulin receptor promoter due to developmental overfeeding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3.01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Mid-trimester preterm premature rupture of membranes (PPROM): etiology, diagnosis, </w:t>
            </w: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classification, international recommendations of treatment options and outcome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9.58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Optimization of human milk fortification for preterm infants: new concepts and recommendations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4.38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Detection of ureaplasmas by the polymerase chain reaction in the amniotic fluid of patients with cervical insufficiency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3.97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Is treatment with vaginal pessaries an option in patients with a sonographically detected short cervix?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3.36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A kick from within - fetal movement counting and the cancelled progress in antenatal care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3.49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Midtrimester amniotic fluid concentrations of interleukin-6 and interferon-gamma-inducible protein-10: evidence for heterogeneity of intra-amniotic inflammation and associations with spontaneous early (&lt; 32 weeks) and late (&gt; 32 weeks) preterm delivery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5.04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Fetal congestive heart failure: correlation of Tei-Index and Cardiovascular-Score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3.22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Normal and abnormal transformation of the spiral arteries during pregnancy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3.16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European consensus guidelines on the management of neonatal respiratory distress syndrome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2.53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Ultrasonographic fetal weight estimation: accuracy of formulas and accuracy of examiners by birth weight from 500 to 5000 g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MMP/TIMP imbalance in amniotic fluid during PROM: an indirect support for endogenous pathway to membrane rupture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3.02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Changes in the cervical extracellular matrix during pregnancy and parturition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2.68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Perinatal brain injury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2.12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Perinatal outcomes and the use of oral hypoglycemic agents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2.69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Bedside functional imaging of the premature infant brain during passive motor activation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2.33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Outcomes from birth to 6 months of publicly insured infants born to mothers with severe acute respiratory syndrome coronavirus 2 infection in the United States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405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Risk factors associated with adverse fetal outcomes in pregnancies affected by Coronavirus disease 2019 (COVID-19): a secondary analysis of the WAPM study on COVID-19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9.93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154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Complete spontaneous resolution of severe nonimmunological hydrops fetalis with unknown etiology in the second trimester - a case report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Underlying causes of neonatal deaths in term singleton pregnancies: home births versus hospital births in the United States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impact of psychological distress during pregnancy on the developing fetus: biological mechanisms and the potential benefits of mindfulness interventions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1.65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Women with high plasma levels of PBDE-47 are at increased risk of preterm birth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Iron supplementation in pregnancy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0.67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Presence of human milk bank is associated with elevated rate of exclusive breastfeeding in VLBW infants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3.44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relation between cigarette smoking with delivery outcomes. An evaluation of a database of more than nine million deliveries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that intra-amniotic infections are often the result of an ascending invasion - a molecular microbiological study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6.83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Physical exercise in pregnancy: benefits, risks and prescription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2.77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First trimester beta-hCG and estradiol levels in singleton and twin pregnancies after assisted reproduction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Pregnancy in incarcerated women: need for national legislation to standardize care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Professionally responsible counseling about birth location during the COVID-19 pandemic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2.32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Intrapartal fetal decapitation after shoulder dystocia - a forensically acceptable or unacceptable complication?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Taurine and taurine-deficiency in the perinatal period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1.83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Premature rupture of membranes at term in low risk women: how long should we wait in the latent phase?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0.6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Survival and major disability rate in infant born at 22-25 weeks of gestation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Preterm labor and bacterial vaginosis-associated bacteria among urban women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Limit of viability in Japan: ethical consideration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Prenatal and perinatal risk factors for autism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2.47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Out-of-hospital births in the United States 2009-2014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Is 5-methyltetrahydrofolate an alternative to folic acid for the prevention of neural tube defects?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1.95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Waterbirths compared with landbirths: an observational study of nine years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1.82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use of antenatal corticosteroids for fetal maturation: clinical practice guideline by the WAPM-World Association of Perinatal Medicine and the PMF-Perinatal Medicine foundation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Risk factors of uterine rupture with a special interest to uterine fundal pressure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2.05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effect of attending a prenatal childbirth preparedness course on labor duration and outcomes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0.92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Academic tweeting in #ObGyn. Where do we stand?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0.49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Guttus, tiralatte and teterelle: a history of breast pumps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0.31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Music devices for the fetus? An evaluation of pregnancy music belts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How useful is 3D and 4D ultrasound in perinatal medicine?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1.65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Tokophobia (fear of childbirth): prevalence and risk factors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4.51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potential of 4D sonography in the assessment of fetal neurobehavior - multicentric study in high-risk pregnancies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4.48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Mycoplasma/Ureaplasma infection in pregnancy: to screen or not to screen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4.42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Anxiety and depression symptoms in the same pregnant women before and during the COVID-19 pandemic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COVID-19 during pregnancy: an overview of maternal characteristics, clinical symptoms, maternal and neonatal outcomes of 10,996 cases described in 15 countries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6.18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care of pregnant women during the COVID-19 pandemic - response of a large health system in metropolitan New York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Early postpartum discharge during the COVID-19 pandemic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4.82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Effects of coronavirus 19 pandemic on maternal anxiety during pregnancy: a prospectic observational study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19.25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impact of the COVID-19 pandemic on the perinatal mental health of women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8.29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frequency and type of placental histologic lesions in term pregnancies with normal outcome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7.92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Clinical chorioamnionitis at term II: the intra-amniotic inflammatory response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COVID-19 vaccine hesitancy in perinatal women: a cross sectional survey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Comparison between antenatal neurodevelopmental test and fetal Doppler in the assessment of fetal well being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5.12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urther study of the inhibition of premature labor by indomethacin. 2. Double blind study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1984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4.86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Diagnosis and assessment of fetal malformations and abnormalities by ultrasound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4.79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of an ultrasonic system for 3-dimensional reconstruction of the fetus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1989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Ultrasound measurements of umbilical blood-flow in normal and complicated pregnancies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1982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4.48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772C8" w:rsidRPr="009516C9" w:rsidTr="00D1387D">
        <w:tc>
          <w:tcPr>
            <w:tcW w:w="684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0" w:type="dxa"/>
            <w:vAlign w:val="bottom"/>
          </w:tcPr>
          <w:p w:rsidR="00E772C8" w:rsidRPr="009516C9" w:rsidRDefault="00E772C8" w:rsidP="00D138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45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Nonquantitative estimation of amniotic-fluid volume in suspected prolonged pregnancy</w:t>
            </w:r>
          </w:p>
        </w:tc>
        <w:tc>
          <w:tcPr>
            <w:tcW w:w="666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720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28" w:type="dxa"/>
            <w:vAlign w:val="bottom"/>
          </w:tcPr>
          <w:p w:rsidR="00E772C8" w:rsidRPr="009516C9" w:rsidRDefault="00E772C8" w:rsidP="00D1387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4.41</w:t>
            </w:r>
          </w:p>
        </w:tc>
        <w:tc>
          <w:tcPr>
            <w:tcW w:w="617" w:type="dxa"/>
            <w:vAlign w:val="bottom"/>
          </w:tcPr>
          <w:p w:rsidR="00E772C8" w:rsidRPr="009516C9" w:rsidRDefault="00E772C8" w:rsidP="00D138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C9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772C8" w:rsidRPr="005C0D1F" w:rsidRDefault="00E772C8" w:rsidP="00E772C8">
      <w:pPr>
        <w:spacing w:line="240" w:lineRule="auto"/>
        <w:contextualSpacing/>
      </w:pPr>
    </w:p>
    <w:p w:rsidR="00CE5FCE" w:rsidRDefault="00CE5FCE"/>
    <w:sectPr w:rsidR="00CE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C8"/>
    <w:rsid w:val="00CE5FCE"/>
    <w:rsid w:val="00E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4814-5F5E-4FBA-A6D7-1A362505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2C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72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1</cp:revision>
  <dcterms:created xsi:type="dcterms:W3CDTF">2022-10-13T15:02:00Z</dcterms:created>
  <dcterms:modified xsi:type="dcterms:W3CDTF">2022-10-13T15:02:00Z</dcterms:modified>
</cp:coreProperties>
</file>