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6C8" w:rsidRDefault="000C16C8" w:rsidP="00BF0791">
      <w:pPr>
        <w:spacing w:line="276" w:lineRule="auto"/>
        <w:rPr>
          <w:rFonts w:ascii="Arial" w:eastAsia="Calibri" w:hAnsi="Arial" w:cs="Arial"/>
          <w:b/>
          <w:sz w:val="20"/>
          <w:szCs w:val="20"/>
          <w:lang w:val="en-US"/>
        </w:rPr>
      </w:pPr>
      <w:r w:rsidRPr="00BF0791">
        <w:rPr>
          <w:rFonts w:ascii="Arial" w:eastAsia="Calibri" w:hAnsi="Arial" w:cs="Arial"/>
          <w:b/>
          <w:sz w:val="20"/>
          <w:szCs w:val="20"/>
          <w:lang w:val="en-US"/>
        </w:rPr>
        <w:t xml:space="preserve">Sensitivity analysis: Impact of potential selection bias from excluding missing data </w:t>
      </w:r>
    </w:p>
    <w:p w:rsidR="00BF0791" w:rsidRPr="00BF0791" w:rsidRDefault="00BF0791" w:rsidP="00BF0791">
      <w:pPr>
        <w:spacing w:line="276" w:lineRule="auto"/>
        <w:rPr>
          <w:rFonts w:ascii="Arial" w:eastAsia="Calibri" w:hAnsi="Arial" w:cs="Arial"/>
          <w:b/>
          <w:sz w:val="20"/>
          <w:szCs w:val="20"/>
          <w:lang w:val="en-US"/>
        </w:rPr>
      </w:pPr>
    </w:p>
    <w:p w:rsidR="000C16C8" w:rsidRDefault="000C16C8" w:rsidP="00BF0791">
      <w:pPr>
        <w:spacing w:line="276" w:lineRule="auto"/>
        <w:rPr>
          <w:rFonts w:ascii="Arial" w:eastAsia="Calibri" w:hAnsi="Arial" w:cs="Arial"/>
          <w:sz w:val="20"/>
          <w:szCs w:val="20"/>
          <w:lang w:val="en-US"/>
        </w:rPr>
      </w:pPr>
      <w:r w:rsidRPr="00BF0791">
        <w:rPr>
          <w:rFonts w:ascii="Arial" w:eastAsia="Calibri" w:hAnsi="Arial" w:cs="Arial"/>
          <w:sz w:val="20"/>
          <w:szCs w:val="20"/>
          <w:lang w:val="en-US"/>
        </w:rPr>
        <w:t>In our analysis, observations with missing data on the exposure</w:t>
      </w:r>
      <w:r w:rsidR="00BF0791" w:rsidRPr="00BF0791">
        <w:rPr>
          <w:rFonts w:ascii="Arial" w:eastAsia="Calibri" w:hAnsi="Arial" w:cs="Arial"/>
          <w:sz w:val="20"/>
          <w:szCs w:val="20"/>
          <w:lang w:val="en-US"/>
        </w:rPr>
        <w:t xml:space="preserve"> (race)</w:t>
      </w:r>
      <w:r w:rsidRPr="00BF0791">
        <w:rPr>
          <w:rFonts w:ascii="Arial" w:eastAsia="Calibri" w:hAnsi="Arial" w:cs="Arial"/>
          <w:sz w:val="20"/>
          <w:szCs w:val="20"/>
          <w:lang w:val="en-US"/>
        </w:rPr>
        <w:t>, outcome</w:t>
      </w:r>
      <w:r w:rsidR="00BF0791" w:rsidRPr="00BF0791">
        <w:rPr>
          <w:rFonts w:ascii="Arial" w:eastAsia="Calibri" w:hAnsi="Arial" w:cs="Arial"/>
          <w:sz w:val="20"/>
          <w:szCs w:val="20"/>
          <w:lang w:val="en-US"/>
        </w:rPr>
        <w:t xml:space="preserve"> (preterm birth)</w:t>
      </w:r>
      <w:r w:rsidRPr="00BF0791">
        <w:rPr>
          <w:rFonts w:ascii="Arial" w:eastAsia="Calibri" w:hAnsi="Arial" w:cs="Arial"/>
          <w:sz w:val="20"/>
          <w:szCs w:val="20"/>
          <w:lang w:val="en-US"/>
        </w:rPr>
        <w:t>, or mediator</w:t>
      </w:r>
      <w:r w:rsidR="00BF0791" w:rsidRPr="00BF0791">
        <w:rPr>
          <w:rFonts w:ascii="Arial" w:eastAsia="Calibri" w:hAnsi="Arial" w:cs="Arial"/>
          <w:sz w:val="20"/>
          <w:szCs w:val="20"/>
          <w:lang w:val="en-US"/>
        </w:rPr>
        <w:t xml:space="preserve"> (trimester of prenatal care entry)</w:t>
      </w:r>
      <w:r w:rsidRPr="00BF0791">
        <w:rPr>
          <w:rFonts w:ascii="Arial" w:eastAsia="Calibri" w:hAnsi="Arial" w:cs="Arial"/>
          <w:sz w:val="20"/>
          <w:szCs w:val="20"/>
          <w:lang w:val="en-US"/>
        </w:rPr>
        <w:t xml:space="preserve"> were excluded: 2.2% of deliveries had missing data on race, </w:t>
      </w:r>
      <w:r w:rsidR="00BF0791" w:rsidRPr="00BF0791">
        <w:rPr>
          <w:rFonts w:ascii="Arial" w:eastAsia="Calibri" w:hAnsi="Arial" w:cs="Arial"/>
          <w:sz w:val="20"/>
          <w:szCs w:val="20"/>
          <w:lang w:val="en-US"/>
        </w:rPr>
        <w:t xml:space="preserve">0.3% had missing data on gestational age (from which the outcome, preterm birth delivery was calculated), and </w:t>
      </w:r>
      <w:r w:rsidRPr="00BF0791">
        <w:rPr>
          <w:rFonts w:ascii="Arial" w:eastAsia="Calibri" w:hAnsi="Arial" w:cs="Arial"/>
          <w:sz w:val="20"/>
          <w:szCs w:val="20"/>
          <w:lang w:val="en-US"/>
        </w:rPr>
        <w:t xml:space="preserve">3.1% had missing data on </w:t>
      </w:r>
      <w:r w:rsidR="00BF0791" w:rsidRPr="00BF0791">
        <w:rPr>
          <w:rFonts w:ascii="Arial" w:eastAsia="Calibri" w:hAnsi="Arial" w:cs="Arial"/>
          <w:sz w:val="20"/>
          <w:szCs w:val="20"/>
          <w:lang w:val="en-US"/>
        </w:rPr>
        <w:t xml:space="preserve">date of prenatal care entry (which, along with gestational age, is how the mediator, trimester of prenatal care entry, was calculated). As a result, a total of 37,298 deliveries were excluded. </w:t>
      </w:r>
    </w:p>
    <w:p w:rsidR="00BF0791" w:rsidRPr="00BF0791" w:rsidRDefault="00BF0791" w:rsidP="00BF0791">
      <w:pPr>
        <w:spacing w:line="276" w:lineRule="auto"/>
        <w:rPr>
          <w:rFonts w:ascii="Arial" w:eastAsia="Calibri" w:hAnsi="Arial" w:cs="Arial"/>
          <w:sz w:val="20"/>
          <w:szCs w:val="20"/>
          <w:lang w:val="en-US"/>
        </w:rPr>
      </w:pPr>
    </w:p>
    <w:p w:rsidR="00BF0791" w:rsidRPr="00BF0791" w:rsidRDefault="006222FE" w:rsidP="00BF0791">
      <w:pPr>
        <w:spacing w:line="276" w:lineRule="auto"/>
        <w:rPr>
          <w:rFonts w:ascii="Arial" w:eastAsia="Calibri" w:hAnsi="Arial" w:cs="Arial"/>
          <w:sz w:val="20"/>
          <w:szCs w:val="20"/>
          <w:lang w:val="en-US"/>
        </w:rPr>
      </w:pPr>
      <w:r w:rsidRPr="00BF0791">
        <w:rPr>
          <w:rFonts w:ascii="Arial" w:eastAsia="Calibri" w:hAnsi="Arial" w:cs="Arial"/>
          <w:sz w:val="20"/>
          <w:szCs w:val="20"/>
          <w:lang w:val="en-US"/>
        </w:rPr>
        <w:t>Deterministic</w:t>
      </w:r>
      <w:r w:rsidR="00FC56BA" w:rsidRPr="00BF0791">
        <w:rPr>
          <w:rFonts w:ascii="Arial" w:eastAsia="Calibri" w:hAnsi="Arial" w:cs="Arial"/>
          <w:sz w:val="20"/>
          <w:szCs w:val="20"/>
          <w:lang w:val="en-US"/>
        </w:rPr>
        <w:t xml:space="preserve"> imputation</w:t>
      </w:r>
      <w:r w:rsidR="00657A19">
        <w:rPr>
          <w:rFonts w:ascii="Arial" w:eastAsia="Calibri" w:hAnsi="Arial" w:cs="Arial"/>
          <w:sz w:val="20"/>
          <w:szCs w:val="20"/>
          <w:lang w:val="en-US"/>
        </w:rPr>
        <w:t xml:space="preserve"> was used</w:t>
      </w:r>
      <w:r w:rsidR="00FC56BA" w:rsidRPr="00BF0791">
        <w:rPr>
          <w:rFonts w:ascii="Arial" w:eastAsia="Calibri" w:hAnsi="Arial" w:cs="Arial"/>
          <w:sz w:val="20"/>
          <w:szCs w:val="20"/>
          <w:lang w:val="en-US"/>
        </w:rPr>
        <w:t xml:space="preserve"> to</w:t>
      </w:r>
      <w:r w:rsidR="00BF0791">
        <w:rPr>
          <w:rFonts w:ascii="Arial" w:eastAsia="Calibri" w:hAnsi="Arial" w:cs="Arial"/>
          <w:sz w:val="20"/>
          <w:szCs w:val="20"/>
          <w:lang w:val="en-US"/>
        </w:rPr>
        <w:t xml:space="preserve"> assign values for the missing data based on</w:t>
      </w:r>
      <w:r w:rsidR="00FC56BA" w:rsidRPr="00BF0791">
        <w:rPr>
          <w:rFonts w:ascii="Arial" w:eastAsia="Calibri" w:hAnsi="Arial" w:cs="Arial"/>
          <w:sz w:val="20"/>
          <w:szCs w:val="20"/>
          <w:lang w:val="en-US"/>
        </w:rPr>
        <w:t xml:space="preserve"> three</w:t>
      </w:r>
      <w:r w:rsidR="00BF0791">
        <w:rPr>
          <w:rFonts w:ascii="Arial" w:eastAsia="Calibri" w:hAnsi="Arial" w:cs="Arial"/>
          <w:sz w:val="20"/>
          <w:szCs w:val="20"/>
          <w:lang w:val="en-US"/>
        </w:rPr>
        <w:t xml:space="preserve"> potential</w:t>
      </w:r>
      <w:r w:rsidR="00FC56BA" w:rsidRPr="00BF0791">
        <w:rPr>
          <w:rFonts w:ascii="Arial" w:eastAsia="Calibri" w:hAnsi="Arial" w:cs="Arial"/>
          <w:sz w:val="20"/>
          <w:szCs w:val="20"/>
          <w:lang w:val="en-US"/>
        </w:rPr>
        <w:t xml:space="preserve"> scenarios</w:t>
      </w:r>
      <w:r w:rsidR="00BF0791">
        <w:rPr>
          <w:rFonts w:ascii="Arial" w:eastAsia="Calibri" w:hAnsi="Arial" w:cs="Arial"/>
          <w:sz w:val="20"/>
          <w:szCs w:val="20"/>
          <w:lang w:val="en-US"/>
        </w:rPr>
        <w:t>. For each scenario, we re-ran the mediation analysis</w:t>
      </w:r>
      <w:r w:rsidR="00C33208">
        <w:rPr>
          <w:rFonts w:ascii="Arial" w:eastAsia="Calibri" w:hAnsi="Arial" w:cs="Arial"/>
          <w:sz w:val="20"/>
          <w:szCs w:val="20"/>
          <w:lang w:val="en-US"/>
        </w:rPr>
        <w:t xml:space="preserve"> on our primary outcome (total preterm birth)</w:t>
      </w:r>
      <w:r w:rsidR="00BF0791">
        <w:rPr>
          <w:rFonts w:ascii="Arial" w:eastAsia="Calibri" w:hAnsi="Arial" w:cs="Arial"/>
          <w:sz w:val="20"/>
          <w:szCs w:val="20"/>
          <w:lang w:val="en-US"/>
        </w:rPr>
        <w:t xml:space="preserve"> to assess the impact of each scenario on our findings</w:t>
      </w:r>
      <w:r w:rsidR="00631BF4">
        <w:rPr>
          <w:rFonts w:ascii="Arial" w:eastAsia="Calibri" w:hAnsi="Arial" w:cs="Arial"/>
          <w:sz w:val="20"/>
          <w:szCs w:val="20"/>
          <w:lang w:val="en-US"/>
        </w:rPr>
        <w:t>:</w:t>
      </w:r>
    </w:p>
    <w:p w:rsidR="006222FE" w:rsidRPr="00BF0791" w:rsidRDefault="00FC56BA" w:rsidP="00BF0791">
      <w:pPr>
        <w:spacing w:line="276" w:lineRule="auto"/>
        <w:rPr>
          <w:rFonts w:ascii="Arial" w:eastAsia="Calibri" w:hAnsi="Arial" w:cs="Arial"/>
          <w:sz w:val="20"/>
          <w:szCs w:val="20"/>
          <w:lang w:val="en-US"/>
        </w:rPr>
      </w:pPr>
      <w:r w:rsidRPr="00BF0791">
        <w:rPr>
          <w:rFonts w:ascii="Arial" w:eastAsia="Calibri" w:hAnsi="Arial" w:cs="Arial"/>
          <w:sz w:val="20"/>
          <w:szCs w:val="20"/>
          <w:lang w:val="en-US"/>
        </w:rPr>
        <w:t xml:space="preserve">1) </w:t>
      </w:r>
      <w:r w:rsidR="00631BF4">
        <w:rPr>
          <w:rFonts w:ascii="Arial" w:eastAsia="Calibri" w:hAnsi="Arial" w:cs="Arial"/>
          <w:sz w:val="20"/>
          <w:szCs w:val="20"/>
          <w:lang w:val="en-US"/>
        </w:rPr>
        <w:t xml:space="preserve">The first scenario assumed </w:t>
      </w:r>
      <w:r w:rsidRPr="00BF0791">
        <w:rPr>
          <w:rFonts w:ascii="Arial" w:eastAsia="Calibri" w:hAnsi="Arial" w:cs="Arial"/>
          <w:sz w:val="20"/>
          <w:szCs w:val="20"/>
          <w:lang w:val="en-US"/>
        </w:rPr>
        <w:t>a "worst" case scenario where all observations missing data on the exposure (race) were Black non-Hispanic, missing data on the mediator (</w:t>
      </w:r>
      <w:r w:rsidR="006222FE" w:rsidRPr="00BF0791">
        <w:rPr>
          <w:rFonts w:ascii="Arial" w:eastAsia="Calibri" w:hAnsi="Arial" w:cs="Arial"/>
          <w:sz w:val="20"/>
          <w:szCs w:val="20"/>
          <w:lang w:val="en-US"/>
        </w:rPr>
        <w:t>timing of prenatal care entry</w:t>
      </w:r>
      <w:r w:rsidRPr="00BF0791">
        <w:rPr>
          <w:rFonts w:ascii="Arial" w:eastAsia="Calibri" w:hAnsi="Arial" w:cs="Arial"/>
          <w:sz w:val="20"/>
          <w:szCs w:val="20"/>
          <w:lang w:val="en-US"/>
        </w:rPr>
        <w:t>) were those with inadequate care, and missing data on the outcome (preterm birth) were those who experienced the outcome,</w:t>
      </w:r>
    </w:p>
    <w:p w:rsidR="006222FE" w:rsidRPr="00BF0791" w:rsidRDefault="00FC56BA" w:rsidP="00BF0791">
      <w:pPr>
        <w:spacing w:line="276" w:lineRule="auto"/>
        <w:rPr>
          <w:rFonts w:ascii="Arial" w:eastAsia="Calibri" w:hAnsi="Arial" w:cs="Arial"/>
          <w:sz w:val="20"/>
          <w:szCs w:val="20"/>
          <w:lang w:val="en-US"/>
        </w:rPr>
      </w:pPr>
      <w:r w:rsidRPr="00BF0791">
        <w:rPr>
          <w:rFonts w:ascii="Arial" w:eastAsia="Calibri" w:hAnsi="Arial" w:cs="Arial"/>
          <w:sz w:val="20"/>
          <w:szCs w:val="20"/>
          <w:lang w:val="en-US"/>
        </w:rPr>
        <w:t xml:space="preserve">2) </w:t>
      </w:r>
      <w:r w:rsidR="00631BF4">
        <w:rPr>
          <w:rFonts w:ascii="Arial" w:eastAsia="Calibri" w:hAnsi="Arial" w:cs="Arial"/>
          <w:sz w:val="20"/>
          <w:szCs w:val="20"/>
          <w:lang w:val="en-US"/>
        </w:rPr>
        <w:t xml:space="preserve">The second scenario assumed </w:t>
      </w:r>
      <w:r w:rsidRPr="00BF0791">
        <w:rPr>
          <w:rFonts w:ascii="Arial" w:eastAsia="Calibri" w:hAnsi="Arial" w:cs="Arial"/>
          <w:sz w:val="20"/>
          <w:szCs w:val="20"/>
          <w:lang w:val="en-US"/>
        </w:rPr>
        <w:t xml:space="preserve">an </w:t>
      </w:r>
      <w:r w:rsidR="00631BF4">
        <w:rPr>
          <w:rFonts w:ascii="Arial" w:eastAsia="Calibri" w:hAnsi="Arial" w:cs="Arial"/>
          <w:sz w:val="20"/>
          <w:szCs w:val="20"/>
          <w:lang w:val="en-US"/>
        </w:rPr>
        <w:t>“</w:t>
      </w:r>
      <w:r w:rsidRPr="00BF0791">
        <w:rPr>
          <w:rFonts w:ascii="Arial" w:eastAsia="Calibri" w:hAnsi="Arial" w:cs="Arial"/>
          <w:sz w:val="20"/>
          <w:szCs w:val="20"/>
          <w:lang w:val="en-US"/>
        </w:rPr>
        <w:t>intermediate</w:t>
      </w:r>
      <w:r w:rsidR="00631BF4">
        <w:rPr>
          <w:rFonts w:ascii="Arial" w:eastAsia="Calibri" w:hAnsi="Arial" w:cs="Arial"/>
          <w:sz w:val="20"/>
          <w:szCs w:val="20"/>
          <w:lang w:val="en-US"/>
        </w:rPr>
        <w:t>”</w:t>
      </w:r>
      <w:r w:rsidRPr="00BF0791">
        <w:rPr>
          <w:rFonts w:ascii="Arial" w:eastAsia="Calibri" w:hAnsi="Arial" w:cs="Arial"/>
          <w:sz w:val="20"/>
          <w:szCs w:val="20"/>
          <w:lang w:val="en-US"/>
        </w:rPr>
        <w:t xml:space="preserve"> case scenario where all observations missing data on exposure (race) were Hispanic, and missing data on the mediator and outcome were treated in the same way as in scenario 1, and </w:t>
      </w:r>
    </w:p>
    <w:p w:rsidR="00D26C16" w:rsidRDefault="00FC56BA" w:rsidP="00BF0791">
      <w:pPr>
        <w:spacing w:line="276" w:lineRule="auto"/>
        <w:rPr>
          <w:rFonts w:ascii="Arial" w:eastAsia="Calibri" w:hAnsi="Arial" w:cs="Arial"/>
          <w:sz w:val="20"/>
          <w:szCs w:val="20"/>
          <w:lang w:val="en-US"/>
        </w:rPr>
      </w:pPr>
      <w:r w:rsidRPr="00BF0791">
        <w:rPr>
          <w:rFonts w:ascii="Arial" w:eastAsia="Calibri" w:hAnsi="Arial" w:cs="Arial"/>
          <w:sz w:val="20"/>
          <w:szCs w:val="20"/>
          <w:lang w:val="en-US"/>
        </w:rPr>
        <w:t xml:space="preserve">3) </w:t>
      </w:r>
      <w:r w:rsidR="00631BF4">
        <w:rPr>
          <w:rFonts w:ascii="Arial" w:eastAsia="Calibri" w:hAnsi="Arial" w:cs="Arial"/>
          <w:sz w:val="20"/>
          <w:szCs w:val="20"/>
          <w:lang w:val="en-US"/>
        </w:rPr>
        <w:t xml:space="preserve">The third scenario assumed </w:t>
      </w:r>
      <w:r w:rsidRPr="00BF0791">
        <w:rPr>
          <w:rFonts w:ascii="Arial" w:eastAsia="Calibri" w:hAnsi="Arial" w:cs="Arial"/>
          <w:sz w:val="20"/>
          <w:szCs w:val="20"/>
          <w:lang w:val="en-US"/>
        </w:rPr>
        <w:t xml:space="preserve">a "best" case scenario where all observations missing data on the exposure (race) were White non-Hispanic, missing data on the mediator (adequacy of prenatal care) were those with adequate care, and missing data on the outcome (preterm birth) were those who did not experience the outcome. </w:t>
      </w:r>
    </w:p>
    <w:p w:rsidR="00BF0791" w:rsidRDefault="00BF0791" w:rsidP="00BF0791">
      <w:pPr>
        <w:spacing w:line="276" w:lineRule="auto"/>
        <w:rPr>
          <w:rFonts w:ascii="Arial" w:eastAsia="Calibri" w:hAnsi="Arial" w:cs="Arial"/>
          <w:sz w:val="20"/>
          <w:szCs w:val="20"/>
          <w:lang w:val="en-US"/>
        </w:rPr>
      </w:pPr>
    </w:p>
    <w:p w:rsidR="00BF0791" w:rsidRPr="00BF0791" w:rsidRDefault="00BF0791" w:rsidP="00BF0791">
      <w:pPr>
        <w:spacing w:line="276" w:lineRule="auto"/>
        <w:rPr>
          <w:rFonts w:ascii="Arial" w:eastAsia="Calibri" w:hAnsi="Arial" w:cs="Arial"/>
          <w:sz w:val="20"/>
          <w:szCs w:val="20"/>
          <w:lang w:val="en-US"/>
        </w:rPr>
      </w:pPr>
      <w:r>
        <w:rPr>
          <w:rFonts w:ascii="Arial" w:eastAsia="Calibri" w:hAnsi="Arial" w:cs="Arial"/>
          <w:sz w:val="20"/>
          <w:szCs w:val="20"/>
          <w:lang w:val="en-US"/>
        </w:rPr>
        <w:t>Supplementary tables 1, 2, and 3 below shows the results of each of the scenarios. The sensitivity analysis shows that the various scenarios slightly exaggerate</w:t>
      </w:r>
      <w:r w:rsidR="00C60B51">
        <w:rPr>
          <w:rFonts w:ascii="Arial" w:eastAsia="Calibri" w:hAnsi="Arial" w:cs="Arial"/>
          <w:sz w:val="20"/>
          <w:szCs w:val="20"/>
          <w:lang w:val="en-US"/>
        </w:rPr>
        <w:t>d</w:t>
      </w:r>
      <w:r>
        <w:rPr>
          <w:rFonts w:ascii="Arial" w:eastAsia="Calibri" w:hAnsi="Arial" w:cs="Arial"/>
          <w:sz w:val="20"/>
          <w:szCs w:val="20"/>
          <w:lang w:val="en-US"/>
        </w:rPr>
        <w:t xml:space="preserve"> or attenuate</w:t>
      </w:r>
      <w:r w:rsidR="00C60B51">
        <w:rPr>
          <w:rFonts w:ascii="Arial" w:eastAsia="Calibri" w:hAnsi="Arial" w:cs="Arial"/>
          <w:sz w:val="20"/>
          <w:szCs w:val="20"/>
          <w:lang w:val="en-US"/>
        </w:rPr>
        <w:t>d</w:t>
      </w:r>
      <w:r>
        <w:rPr>
          <w:rFonts w:ascii="Arial" w:eastAsia="Calibri" w:hAnsi="Arial" w:cs="Arial"/>
          <w:sz w:val="20"/>
          <w:szCs w:val="20"/>
          <w:lang w:val="en-US"/>
        </w:rPr>
        <w:t xml:space="preserve"> the % mediated, but overall, excluding the missing data did not introduce significant bias to our results. </w:t>
      </w:r>
    </w:p>
    <w:p w:rsidR="00D26C16" w:rsidRPr="00BF0791" w:rsidRDefault="00D26C16" w:rsidP="00BF0791">
      <w:pPr>
        <w:spacing w:line="276" w:lineRule="auto"/>
        <w:rPr>
          <w:rFonts w:ascii="Arial" w:eastAsia="Calibri" w:hAnsi="Arial" w:cs="Arial"/>
          <w:sz w:val="20"/>
          <w:szCs w:val="20"/>
          <w:lang w:val="en-US"/>
        </w:rPr>
      </w:pPr>
    </w:p>
    <w:p w:rsidR="00D26C16" w:rsidRPr="00BF0791" w:rsidRDefault="00BF0791" w:rsidP="00BF0791">
      <w:pPr>
        <w:spacing w:line="276" w:lineRule="auto"/>
        <w:rPr>
          <w:rFonts w:ascii="Arial" w:hAnsi="Arial" w:cs="Arial"/>
          <w:sz w:val="20"/>
          <w:szCs w:val="20"/>
        </w:rPr>
      </w:pPr>
      <w:r>
        <w:rPr>
          <w:rFonts w:ascii="Arial" w:hAnsi="Arial" w:cs="Arial"/>
          <w:sz w:val="20"/>
          <w:szCs w:val="20"/>
        </w:rPr>
        <w:t>Supplementary t</w:t>
      </w:r>
      <w:r w:rsidR="00D26C16" w:rsidRPr="00BF0791">
        <w:rPr>
          <w:rFonts w:ascii="Arial" w:hAnsi="Arial" w:cs="Arial"/>
          <w:sz w:val="20"/>
          <w:szCs w:val="20"/>
        </w:rPr>
        <w:t>able 1. “</w:t>
      </w:r>
      <w:r>
        <w:rPr>
          <w:rFonts w:ascii="Arial" w:hAnsi="Arial" w:cs="Arial"/>
          <w:sz w:val="20"/>
          <w:szCs w:val="20"/>
        </w:rPr>
        <w:t>Worst”</w:t>
      </w:r>
      <w:r w:rsidR="00D26C16" w:rsidRPr="00BF0791">
        <w:rPr>
          <w:rFonts w:ascii="Arial" w:hAnsi="Arial" w:cs="Arial"/>
          <w:sz w:val="20"/>
          <w:szCs w:val="20"/>
        </w:rPr>
        <w:t xml:space="preserve"> Case </w:t>
      </w:r>
      <w:r w:rsidR="003157DD">
        <w:rPr>
          <w:rFonts w:ascii="Arial" w:hAnsi="Arial" w:cs="Arial"/>
          <w:sz w:val="20"/>
          <w:szCs w:val="20"/>
        </w:rPr>
        <w:t>Scenario</w:t>
      </w:r>
      <w:r w:rsidR="00D26C16" w:rsidRPr="00BF0791">
        <w:rPr>
          <w:rFonts w:ascii="Arial" w:hAnsi="Arial" w:cs="Arial"/>
          <w:sz w:val="20"/>
          <w:szCs w:val="20"/>
        </w:rPr>
        <w:t xml:space="preserve"> </w:t>
      </w:r>
    </w:p>
    <w:tbl>
      <w:tblPr>
        <w:tblStyle w:val="TableGrid"/>
        <w:tblW w:w="9009" w:type="dxa"/>
        <w:tblBorders>
          <w:insideH w:val="none" w:sz="0" w:space="0" w:color="auto"/>
          <w:insideV w:val="none" w:sz="0" w:space="0" w:color="auto"/>
        </w:tblBorders>
        <w:tblLook w:val="04A0" w:firstRow="1" w:lastRow="0" w:firstColumn="1" w:lastColumn="0" w:noHBand="0" w:noVBand="1"/>
      </w:tblPr>
      <w:tblGrid>
        <w:gridCol w:w="1696"/>
        <w:gridCol w:w="2410"/>
        <w:gridCol w:w="2410"/>
        <w:gridCol w:w="2493"/>
      </w:tblGrid>
      <w:tr w:rsidR="00D26C16" w:rsidRPr="00BF0791" w:rsidTr="00631BF4">
        <w:trPr>
          <w:trHeight w:val="368"/>
        </w:trPr>
        <w:tc>
          <w:tcPr>
            <w:tcW w:w="1696"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p>
        </w:tc>
        <w:tc>
          <w:tcPr>
            <w:tcW w:w="2410"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sidRPr="00BF0791">
              <w:rPr>
                <w:rFonts w:ascii="Arial" w:hAnsi="Arial" w:cs="Arial"/>
                <w:b/>
                <w:bCs/>
                <w:color w:val="000000"/>
                <w:sz w:val="20"/>
                <w:szCs w:val="20"/>
              </w:rPr>
              <w:t>Black non-Hispanic</w:t>
            </w:r>
          </w:p>
          <w:p w:rsidR="00D26C16" w:rsidRPr="00BF0791" w:rsidRDefault="00BF0791"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Pr>
                <w:rFonts w:ascii="Arial" w:hAnsi="Arial" w:cs="Arial"/>
                <w:color w:val="000000"/>
                <w:sz w:val="20"/>
                <w:szCs w:val="20"/>
              </w:rPr>
              <w:t>R</w:t>
            </w:r>
            <w:r w:rsidR="00D26C16" w:rsidRPr="00BF0791">
              <w:rPr>
                <w:rFonts w:ascii="Arial" w:hAnsi="Arial" w:cs="Arial"/>
                <w:color w:val="000000"/>
                <w:sz w:val="20"/>
                <w:szCs w:val="20"/>
              </w:rPr>
              <w:t>R (95% CI)</w:t>
            </w:r>
          </w:p>
        </w:tc>
        <w:tc>
          <w:tcPr>
            <w:tcW w:w="2410"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sidRPr="00BF0791">
              <w:rPr>
                <w:rFonts w:ascii="Arial" w:hAnsi="Arial" w:cs="Arial"/>
                <w:b/>
                <w:bCs/>
                <w:color w:val="000000"/>
                <w:sz w:val="20"/>
                <w:szCs w:val="20"/>
              </w:rPr>
              <w:t>Hispanic</w:t>
            </w:r>
          </w:p>
          <w:p w:rsidR="00D26C16" w:rsidRPr="00BF0791" w:rsidRDefault="00BF0791"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Pr>
                <w:rFonts w:ascii="Arial" w:hAnsi="Arial" w:cs="Arial"/>
                <w:color w:val="000000"/>
                <w:sz w:val="20"/>
                <w:szCs w:val="20"/>
              </w:rPr>
              <w:t>R</w:t>
            </w:r>
            <w:r w:rsidR="00D26C16" w:rsidRPr="00BF0791">
              <w:rPr>
                <w:rFonts w:ascii="Arial" w:hAnsi="Arial" w:cs="Arial"/>
                <w:color w:val="000000"/>
                <w:sz w:val="20"/>
                <w:szCs w:val="20"/>
              </w:rPr>
              <w:t>R (95% CI)</w:t>
            </w:r>
          </w:p>
        </w:tc>
        <w:tc>
          <w:tcPr>
            <w:tcW w:w="2493"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sidRPr="00BF0791">
              <w:rPr>
                <w:rFonts w:ascii="Arial" w:hAnsi="Arial" w:cs="Arial"/>
                <w:b/>
                <w:bCs/>
                <w:color w:val="000000"/>
                <w:sz w:val="20"/>
                <w:szCs w:val="20"/>
              </w:rPr>
              <w:t>Other</w:t>
            </w:r>
          </w:p>
          <w:p w:rsidR="00D26C16" w:rsidRPr="00BF0791" w:rsidRDefault="00BF0791"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Pr>
                <w:rFonts w:ascii="Arial" w:hAnsi="Arial" w:cs="Arial"/>
                <w:color w:val="000000"/>
                <w:sz w:val="20"/>
                <w:szCs w:val="20"/>
              </w:rPr>
              <w:t>R</w:t>
            </w:r>
            <w:r w:rsidR="00D26C16" w:rsidRPr="00BF0791">
              <w:rPr>
                <w:rFonts w:ascii="Arial" w:hAnsi="Arial" w:cs="Arial"/>
                <w:color w:val="000000"/>
                <w:sz w:val="20"/>
                <w:szCs w:val="20"/>
              </w:rPr>
              <w:t>R (95% CI)</w:t>
            </w:r>
          </w:p>
        </w:tc>
      </w:tr>
      <w:tr w:rsidR="00D26C16" w:rsidRPr="00BF0791" w:rsidTr="00DA7859">
        <w:trPr>
          <w:trHeight w:val="368"/>
        </w:trPr>
        <w:tc>
          <w:tcPr>
            <w:tcW w:w="9009" w:type="dxa"/>
            <w:gridSpan w:val="4"/>
            <w:tcBorders>
              <w:top w:val="single" w:sz="4" w:space="0" w:color="auto"/>
            </w:tcBorders>
          </w:tcPr>
          <w:p w:rsidR="00D26C16" w:rsidRPr="00BF0791" w:rsidRDefault="001C6ADA" w:rsidP="00BF0791">
            <w:pPr>
              <w:widowControl w:val="0"/>
              <w:tabs>
                <w:tab w:val="left" w:pos="220"/>
                <w:tab w:val="left" w:pos="720"/>
              </w:tabs>
              <w:autoSpaceDE w:val="0"/>
              <w:autoSpaceDN w:val="0"/>
              <w:adjustRightInd w:val="0"/>
              <w:spacing w:line="276" w:lineRule="auto"/>
              <w:rPr>
                <w:rFonts w:ascii="Arial" w:hAnsi="Arial" w:cs="Arial"/>
                <w:color w:val="000000" w:themeColor="text1"/>
                <w:sz w:val="20"/>
                <w:szCs w:val="20"/>
                <w:lang w:val="en-CA"/>
              </w:rPr>
            </w:pPr>
            <w:r w:rsidRPr="00BF0791">
              <w:rPr>
                <w:rFonts w:ascii="Arial" w:hAnsi="Arial" w:cs="Arial"/>
                <w:b/>
                <w:color w:val="000000"/>
                <w:sz w:val="20"/>
                <w:szCs w:val="20"/>
              </w:rPr>
              <w:t>Preterm Birth &lt;37 Weeks</w:t>
            </w:r>
          </w:p>
        </w:tc>
      </w:tr>
      <w:tr w:rsidR="00D26C16" w:rsidRPr="00BF0791" w:rsidTr="00631BF4">
        <w:trPr>
          <w:trHeight w:val="368"/>
        </w:trPr>
        <w:tc>
          <w:tcPr>
            <w:tcW w:w="1696" w:type="dxa"/>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791">
              <w:rPr>
                <w:rFonts w:ascii="Arial" w:hAnsi="Arial" w:cs="Arial"/>
                <w:color w:val="000000"/>
                <w:sz w:val="20"/>
                <w:szCs w:val="20"/>
              </w:rPr>
              <w:t>Direct Effect</w:t>
            </w:r>
          </w:p>
        </w:tc>
        <w:tc>
          <w:tcPr>
            <w:tcW w:w="2410" w:type="dxa"/>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1.0361 (1.0295, 1.0429)</w:t>
            </w:r>
          </w:p>
        </w:tc>
        <w:tc>
          <w:tcPr>
            <w:tcW w:w="2410" w:type="dxa"/>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1.0739 (1.0601, 1.0879)</w:t>
            </w:r>
          </w:p>
        </w:tc>
        <w:tc>
          <w:tcPr>
            <w:tcW w:w="2493" w:type="dxa"/>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1.1134 (1.0919, 1.1353)</w:t>
            </w:r>
          </w:p>
        </w:tc>
      </w:tr>
      <w:tr w:rsidR="00D26C16" w:rsidRPr="00BF0791" w:rsidTr="00631BF4">
        <w:trPr>
          <w:trHeight w:val="336"/>
        </w:trPr>
        <w:tc>
          <w:tcPr>
            <w:tcW w:w="1696" w:type="dxa"/>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791">
              <w:rPr>
                <w:rFonts w:ascii="Arial" w:hAnsi="Arial" w:cs="Arial"/>
                <w:color w:val="000000"/>
                <w:sz w:val="20"/>
                <w:szCs w:val="20"/>
              </w:rPr>
              <w:t>Indirect Effect</w:t>
            </w:r>
          </w:p>
        </w:tc>
        <w:tc>
          <w:tcPr>
            <w:tcW w:w="2410" w:type="dxa"/>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1.0084 (1.0077, 1.0090)</w:t>
            </w:r>
          </w:p>
        </w:tc>
        <w:tc>
          <w:tcPr>
            <w:tcW w:w="2410" w:type="dxa"/>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1.0136 (1.0116, 1.0156)</w:t>
            </w:r>
          </w:p>
        </w:tc>
        <w:tc>
          <w:tcPr>
            <w:tcW w:w="2493" w:type="dxa"/>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1.0153 (1.0106, 1.0201)</w:t>
            </w:r>
          </w:p>
        </w:tc>
      </w:tr>
      <w:tr w:rsidR="00D26C16" w:rsidRPr="00BF0791" w:rsidTr="00631BF4">
        <w:trPr>
          <w:trHeight w:val="336"/>
        </w:trPr>
        <w:tc>
          <w:tcPr>
            <w:tcW w:w="1696" w:type="dxa"/>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791">
              <w:rPr>
                <w:rFonts w:ascii="Arial" w:hAnsi="Arial" w:cs="Arial"/>
                <w:color w:val="000000"/>
                <w:sz w:val="20"/>
                <w:szCs w:val="20"/>
              </w:rPr>
              <w:t>Total Effect</w:t>
            </w:r>
          </w:p>
        </w:tc>
        <w:tc>
          <w:tcPr>
            <w:tcW w:w="2410" w:type="dxa"/>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1.0448 (1.0381, 1.0515)</w:t>
            </w:r>
          </w:p>
        </w:tc>
        <w:tc>
          <w:tcPr>
            <w:tcW w:w="2410" w:type="dxa"/>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1.0885 (1.0747, 1.1026)</w:t>
            </w:r>
          </w:p>
        </w:tc>
        <w:tc>
          <w:tcPr>
            <w:tcW w:w="2493" w:type="dxa"/>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1.1305 (1.1088, 1.1526)</w:t>
            </w:r>
          </w:p>
        </w:tc>
      </w:tr>
      <w:tr w:rsidR="00D26C16" w:rsidRPr="00BF0791" w:rsidTr="00631BF4">
        <w:trPr>
          <w:trHeight w:val="336"/>
        </w:trPr>
        <w:tc>
          <w:tcPr>
            <w:tcW w:w="1696"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791">
              <w:rPr>
                <w:rFonts w:ascii="Arial" w:hAnsi="Arial" w:cs="Arial"/>
                <w:color w:val="000000"/>
                <w:sz w:val="20"/>
                <w:szCs w:val="20"/>
              </w:rPr>
              <w:t>% Mediated</w:t>
            </w:r>
          </w:p>
        </w:tc>
        <w:tc>
          <w:tcPr>
            <w:tcW w:w="2410" w:type="dxa"/>
            <w:tcBorders>
              <w:bottom w:val="single" w:sz="4" w:space="0" w:color="auto"/>
            </w:tcBorders>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19.4</w:t>
            </w:r>
          </w:p>
        </w:tc>
        <w:tc>
          <w:tcPr>
            <w:tcW w:w="2410" w:type="dxa"/>
            <w:tcBorders>
              <w:bottom w:val="single" w:sz="4" w:space="0" w:color="auto"/>
            </w:tcBorders>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16.5</w:t>
            </w:r>
          </w:p>
        </w:tc>
        <w:tc>
          <w:tcPr>
            <w:tcW w:w="2493" w:type="dxa"/>
            <w:tcBorders>
              <w:bottom w:val="single" w:sz="4" w:space="0" w:color="auto"/>
            </w:tcBorders>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13.1</w:t>
            </w:r>
          </w:p>
        </w:tc>
      </w:tr>
    </w:tbl>
    <w:p w:rsidR="00036B1B" w:rsidRPr="00BF0791" w:rsidRDefault="003E7551" w:rsidP="00BF0791">
      <w:pPr>
        <w:spacing w:line="276" w:lineRule="auto"/>
        <w:rPr>
          <w:rFonts w:ascii="Arial" w:hAnsi="Arial" w:cs="Arial"/>
          <w:sz w:val="20"/>
          <w:szCs w:val="20"/>
        </w:rPr>
      </w:pPr>
    </w:p>
    <w:p w:rsidR="00D26C16" w:rsidRPr="00BF0791" w:rsidRDefault="00BF0791" w:rsidP="00BF0791">
      <w:pPr>
        <w:spacing w:line="276" w:lineRule="auto"/>
        <w:rPr>
          <w:rFonts w:ascii="Arial" w:hAnsi="Arial" w:cs="Arial"/>
          <w:sz w:val="20"/>
          <w:szCs w:val="20"/>
        </w:rPr>
      </w:pPr>
      <w:r>
        <w:rPr>
          <w:rFonts w:ascii="Arial" w:hAnsi="Arial" w:cs="Arial"/>
          <w:sz w:val="20"/>
          <w:szCs w:val="20"/>
        </w:rPr>
        <w:t>Supplementary t</w:t>
      </w:r>
      <w:r w:rsidR="00D26C16" w:rsidRPr="00BF0791">
        <w:rPr>
          <w:rFonts w:ascii="Arial" w:hAnsi="Arial" w:cs="Arial"/>
          <w:sz w:val="20"/>
          <w:szCs w:val="20"/>
        </w:rPr>
        <w:t xml:space="preserve">able 2. “Intermediate” Case </w:t>
      </w:r>
      <w:r w:rsidR="003157DD">
        <w:rPr>
          <w:rFonts w:ascii="Arial" w:hAnsi="Arial" w:cs="Arial"/>
          <w:sz w:val="20"/>
          <w:szCs w:val="20"/>
        </w:rPr>
        <w:t>Scenario</w:t>
      </w:r>
    </w:p>
    <w:tbl>
      <w:tblPr>
        <w:tblStyle w:val="TableGrid"/>
        <w:tblW w:w="9009" w:type="dxa"/>
        <w:tblBorders>
          <w:insideH w:val="none" w:sz="0" w:space="0" w:color="auto"/>
          <w:insideV w:val="none" w:sz="0" w:space="0" w:color="auto"/>
        </w:tblBorders>
        <w:tblLook w:val="04A0" w:firstRow="1" w:lastRow="0" w:firstColumn="1" w:lastColumn="0" w:noHBand="0" w:noVBand="1"/>
      </w:tblPr>
      <w:tblGrid>
        <w:gridCol w:w="1696"/>
        <w:gridCol w:w="2410"/>
        <w:gridCol w:w="2410"/>
        <w:gridCol w:w="2493"/>
      </w:tblGrid>
      <w:tr w:rsidR="00D26C16" w:rsidRPr="00BF0791" w:rsidTr="00631BF4">
        <w:trPr>
          <w:trHeight w:val="368"/>
        </w:trPr>
        <w:tc>
          <w:tcPr>
            <w:tcW w:w="1696"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p>
        </w:tc>
        <w:tc>
          <w:tcPr>
            <w:tcW w:w="2410"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sidRPr="00BF0791">
              <w:rPr>
                <w:rFonts w:ascii="Arial" w:hAnsi="Arial" w:cs="Arial"/>
                <w:b/>
                <w:bCs/>
                <w:color w:val="000000"/>
                <w:sz w:val="20"/>
                <w:szCs w:val="20"/>
              </w:rPr>
              <w:t>Black non-Hispanic</w:t>
            </w:r>
          </w:p>
          <w:p w:rsidR="00D26C16" w:rsidRPr="00BF0791" w:rsidRDefault="00BF0791"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Pr>
                <w:rFonts w:ascii="Arial" w:hAnsi="Arial" w:cs="Arial"/>
                <w:color w:val="000000"/>
                <w:sz w:val="20"/>
                <w:szCs w:val="20"/>
              </w:rPr>
              <w:t>R</w:t>
            </w:r>
            <w:r w:rsidR="00D26C16" w:rsidRPr="00BF0791">
              <w:rPr>
                <w:rFonts w:ascii="Arial" w:hAnsi="Arial" w:cs="Arial"/>
                <w:color w:val="000000"/>
                <w:sz w:val="20"/>
                <w:szCs w:val="20"/>
              </w:rPr>
              <w:t>R (95% CI)</w:t>
            </w:r>
          </w:p>
        </w:tc>
        <w:tc>
          <w:tcPr>
            <w:tcW w:w="2410"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sidRPr="00BF0791">
              <w:rPr>
                <w:rFonts w:ascii="Arial" w:hAnsi="Arial" w:cs="Arial"/>
                <w:b/>
                <w:bCs/>
                <w:color w:val="000000"/>
                <w:sz w:val="20"/>
                <w:szCs w:val="20"/>
              </w:rPr>
              <w:t>Hispanic</w:t>
            </w:r>
          </w:p>
          <w:p w:rsidR="00D26C16" w:rsidRPr="00BF0791" w:rsidRDefault="00BF0791"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Pr>
                <w:rFonts w:ascii="Arial" w:hAnsi="Arial" w:cs="Arial"/>
                <w:color w:val="000000"/>
                <w:sz w:val="20"/>
                <w:szCs w:val="20"/>
              </w:rPr>
              <w:t>R</w:t>
            </w:r>
            <w:r w:rsidR="00D26C16" w:rsidRPr="00BF0791">
              <w:rPr>
                <w:rFonts w:ascii="Arial" w:hAnsi="Arial" w:cs="Arial"/>
                <w:color w:val="000000"/>
                <w:sz w:val="20"/>
                <w:szCs w:val="20"/>
              </w:rPr>
              <w:t>R (95% CI)</w:t>
            </w:r>
          </w:p>
        </w:tc>
        <w:tc>
          <w:tcPr>
            <w:tcW w:w="2493"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sidRPr="00BF0791">
              <w:rPr>
                <w:rFonts w:ascii="Arial" w:hAnsi="Arial" w:cs="Arial"/>
                <w:b/>
                <w:bCs/>
                <w:color w:val="000000"/>
                <w:sz w:val="20"/>
                <w:szCs w:val="20"/>
              </w:rPr>
              <w:t>Other</w:t>
            </w:r>
          </w:p>
          <w:p w:rsidR="00D26C16" w:rsidRPr="00BF0791" w:rsidRDefault="00BF0791"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Pr>
                <w:rFonts w:ascii="Arial" w:hAnsi="Arial" w:cs="Arial"/>
                <w:color w:val="000000"/>
                <w:sz w:val="20"/>
                <w:szCs w:val="20"/>
              </w:rPr>
              <w:t>R</w:t>
            </w:r>
            <w:r w:rsidR="00D26C16" w:rsidRPr="00BF0791">
              <w:rPr>
                <w:rFonts w:ascii="Arial" w:hAnsi="Arial" w:cs="Arial"/>
                <w:color w:val="000000"/>
                <w:sz w:val="20"/>
                <w:szCs w:val="20"/>
              </w:rPr>
              <w:t>R (95% CI)</w:t>
            </w:r>
          </w:p>
        </w:tc>
      </w:tr>
      <w:tr w:rsidR="00D26C16" w:rsidRPr="00BF0791" w:rsidTr="00DA7859">
        <w:trPr>
          <w:trHeight w:val="368"/>
        </w:trPr>
        <w:tc>
          <w:tcPr>
            <w:tcW w:w="9009" w:type="dxa"/>
            <w:gridSpan w:val="4"/>
            <w:tcBorders>
              <w:top w:val="single" w:sz="4" w:space="0" w:color="auto"/>
            </w:tcBorders>
          </w:tcPr>
          <w:p w:rsidR="00D26C16" w:rsidRPr="00F471F7" w:rsidRDefault="001C6ADA" w:rsidP="00BF0791">
            <w:pPr>
              <w:widowControl w:val="0"/>
              <w:tabs>
                <w:tab w:val="left" w:pos="220"/>
                <w:tab w:val="left" w:pos="720"/>
              </w:tabs>
              <w:autoSpaceDE w:val="0"/>
              <w:autoSpaceDN w:val="0"/>
              <w:adjustRightInd w:val="0"/>
              <w:spacing w:line="276" w:lineRule="auto"/>
              <w:rPr>
                <w:rFonts w:ascii="Arial" w:hAnsi="Arial" w:cs="Arial"/>
                <w:b/>
                <w:color w:val="000000" w:themeColor="text1"/>
                <w:sz w:val="20"/>
                <w:szCs w:val="20"/>
                <w:lang w:val="en-CA"/>
              </w:rPr>
            </w:pPr>
            <w:r w:rsidRPr="00F471F7">
              <w:rPr>
                <w:rFonts w:ascii="Arial" w:hAnsi="Arial" w:cs="Arial"/>
                <w:b/>
                <w:color w:val="000000" w:themeColor="text1"/>
                <w:sz w:val="20"/>
                <w:szCs w:val="20"/>
                <w:lang w:val="en-CA"/>
              </w:rPr>
              <w:t>Preterm Birth &lt;37 Weeks</w:t>
            </w:r>
          </w:p>
        </w:tc>
      </w:tr>
      <w:tr w:rsidR="00D26C16" w:rsidRPr="00BF0791" w:rsidTr="00631BF4">
        <w:trPr>
          <w:trHeight w:val="368"/>
        </w:trPr>
        <w:tc>
          <w:tcPr>
            <w:tcW w:w="1696" w:type="dxa"/>
          </w:tcPr>
          <w:p w:rsidR="00D26C16" w:rsidRPr="00F471F7"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F471F7">
              <w:rPr>
                <w:rFonts w:ascii="Arial" w:hAnsi="Arial" w:cs="Arial"/>
                <w:color w:val="000000"/>
                <w:sz w:val="20"/>
                <w:szCs w:val="20"/>
              </w:rPr>
              <w:t>Direct Effect</w:t>
            </w:r>
          </w:p>
        </w:tc>
        <w:tc>
          <w:tcPr>
            <w:tcW w:w="2410" w:type="dxa"/>
          </w:tcPr>
          <w:p w:rsidR="00D26C16" w:rsidRPr="003E7551" w:rsidRDefault="003E7551"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1.0373 (1.0304, 1.0442)</w:t>
            </w:r>
          </w:p>
        </w:tc>
        <w:tc>
          <w:tcPr>
            <w:tcW w:w="2410" w:type="dxa"/>
          </w:tcPr>
          <w:p w:rsidR="00D26C16" w:rsidRPr="00BF0524" w:rsidRDefault="00BF0524"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524">
              <w:rPr>
                <w:rFonts w:ascii="Arial" w:hAnsi="Arial" w:cs="Arial"/>
                <w:color w:val="000000"/>
                <w:sz w:val="20"/>
                <w:szCs w:val="20"/>
              </w:rPr>
              <w:t>1.0735 (1.0599, 1.0873)</w:t>
            </w:r>
          </w:p>
        </w:tc>
        <w:tc>
          <w:tcPr>
            <w:tcW w:w="2493" w:type="dxa"/>
          </w:tcPr>
          <w:p w:rsidR="00D26C16" w:rsidRPr="00BF0524" w:rsidRDefault="00BF0524"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1.1127 (1.0916, 1.1342)</w:t>
            </w:r>
          </w:p>
        </w:tc>
      </w:tr>
      <w:tr w:rsidR="00D26C16" w:rsidRPr="00BF0791" w:rsidTr="00631BF4">
        <w:trPr>
          <w:trHeight w:val="336"/>
        </w:trPr>
        <w:tc>
          <w:tcPr>
            <w:tcW w:w="1696" w:type="dxa"/>
          </w:tcPr>
          <w:p w:rsidR="00D26C16" w:rsidRPr="00F471F7"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F471F7">
              <w:rPr>
                <w:rFonts w:ascii="Arial" w:hAnsi="Arial" w:cs="Arial"/>
                <w:color w:val="000000"/>
                <w:sz w:val="20"/>
                <w:szCs w:val="20"/>
              </w:rPr>
              <w:t>Indirect Effect</w:t>
            </w:r>
          </w:p>
        </w:tc>
        <w:tc>
          <w:tcPr>
            <w:tcW w:w="2410" w:type="dxa"/>
          </w:tcPr>
          <w:p w:rsidR="00D26C16" w:rsidRPr="003E7551" w:rsidRDefault="003E7551"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1.0059 (1.0052, 1.0065)</w:t>
            </w:r>
          </w:p>
        </w:tc>
        <w:tc>
          <w:tcPr>
            <w:tcW w:w="2410" w:type="dxa"/>
          </w:tcPr>
          <w:p w:rsidR="00D26C16" w:rsidRPr="00BF0524" w:rsidRDefault="00BF0524"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524">
              <w:rPr>
                <w:rFonts w:ascii="Arial" w:hAnsi="Arial" w:cs="Arial"/>
                <w:color w:val="000000"/>
                <w:sz w:val="20"/>
                <w:szCs w:val="20"/>
              </w:rPr>
              <w:t>1.0140 (1.0120, 1.0159)</w:t>
            </w:r>
          </w:p>
        </w:tc>
        <w:tc>
          <w:tcPr>
            <w:tcW w:w="2493" w:type="dxa"/>
          </w:tcPr>
          <w:p w:rsidR="00D26C16" w:rsidRPr="00BF0524" w:rsidRDefault="00BF0524"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524">
              <w:rPr>
                <w:rFonts w:ascii="Arial" w:hAnsi="Arial" w:cs="Arial"/>
                <w:color w:val="000000"/>
                <w:sz w:val="20"/>
                <w:szCs w:val="20"/>
              </w:rPr>
              <w:t>1.0165 (1.0119, 1.0211)</w:t>
            </w:r>
          </w:p>
        </w:tc>
      </w:tr>
      <w:tr w:rsidR="00D26C16" w:rsidRPr="00BF0791" w:rsidTr="00631BF4">
        <w:trPr>
          <w:trHeight w:val="336"/>
        </w:trPr>
        <w:tc>
          <w:tcPr>
            <w:tcW w:w="1696" w:type="dxa"/>
          </w:tcPr>
          <w:p w:rsidR="00D26C16" w:rsidRPr="00F471F7"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F471F7">
              <w:rPr>
                <w:rFonts w:ascii="Arial" w:hAnsi="Arial" w:cs="Arial"/>
                <w:color w:val="000000"/>
                <w:sz w:val="20"/>
                <w:szCs w:val="20"/>
              </w:rPr>
              <w:t>Total Effect</w:t>
            </w:r>
          </w:p>
        </w:tc>
        <w:tc>
          <w:tcPr>
            <w:tcW w:w="2410" w:type="dxa"/>
          </w:tcPr>
          <w:p w:rsidR="00D26C16" w:rsidRPr="003E7551" w:rsidRDefault="003E7551"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1.0434 (1.0364, 1.0503)</w:t>
            </w:r>
          </w:p>
        </w:tc>
        <w:tc>
          <w:tcPr>
            <w:tcW w:w="2410" w:type="dxa"/>
          </w:tcPr>
          <w:p w:rsidR="00D26C16" w:rsidRPr="00BF0524" w:rsidRDefault="00BF0524"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524">
              <w:rPr>
                <w:rFonts w:ascii="Arial" w:hAnsi="Arial" w:cs="Arial"/>
                <w:color w:val="000000"/>
                <w:sz w:val="20"/>
                <w:szCs w:val="20"/>
              </w:rPr>
              <w:t>1.0885 (1.0748, 1.1023)</w:t>
            </w:r>
          </w:p>
        </w:tc>
        <w:tc>
          <w:tcPr>
            <w:tcW w:w="2493" w:type="dxa"/>
          </w:tcPr>
          <w:p w:rsidR="00D26C16" w:rsidRPr="00BF0524" w:rsidRDefault="00BF0524"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524">
              <w:rPr>
                <w:rFonts w:ascii="Arial" w:hAnsi="Arial" w:cs="Arial"/>
                <w:color w:val="000000"/>
                <w:sz w:val="20"/>
                <w:szCs w:val="20"/>
              </w:rPr>
              <w:t>1.1310 (1.1097, 1.1528)</w:t>
            </w:r>
          </w:p>
        </w:tc>
      </w:tr>
      <w:tr w:rsidR="00D26C16" w:rsidRPr="00BF0791" w:rsidTr="00631BF4">
        <w:trPr>
          <w:trHeight w:val="336"/>
        </w:trPr>
        <w:tc>
          <w:tcPr>
            <w:tcW w:w="1696" w:type="dxa"/>
            <w:tcBorders>
              <w:bottom w:val="single" w:sz="4" w:space="0" w:color="auto"/>
            </w:tcBorders>
          </w:tcPr>
          <w:p w:rsidR="00D26C16" w:rsidRPr="00F471F7"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F471F7">
              <w:rPr>
                <w:rFonts w:ascii="Arial" w:hAnsi="Arial" w:cs="Arial"/>
                <w:color w:val="000000"/>
                <w:sz w:val="20"/>
                <w:szCs w:val="20"/>
              </w:rPr>
              <w:t>% Mediated</w:t>
            </w:r>
          </w:p>
        </w:tc>
        <w:tc>
          <w:tcPr>
            <w:tcW w:w="2410" w:type="dxa"/>
            <w:tcBorders>
              <w:bottom w:val="single" w:sz="4" w:space="0" w:color="auto"/>
            </w:tcBorders>
          </w:tcPr>
          <w:p w:rsidR="00D26C16" w:rsidRPr="003E7551" w:rsidRDefault="003E7551"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14.1</w:t>
            </w:r>
            <w:bookmarkStart w:id="0" w:name="_GoBack"/>
            <w:bookmarkEnd w:id="0"/>
          </w:p>
        </w:tc>
        <w:tc>
          <w:tcPr>
            <w:tcW w:w="2410" w:type="dxa"/>
            <w:tcBorders>
              <w:bottom w:val="single" w:sz="4" w:space="0" w:color="auto"/>
            </w:tcBorders>
          </w:tcPr>
          <w:p w:rsidR="00D26C16" w:rsidRPr="00BF0524" w:rsidRDefault="00BF0524"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524">
              <w:rPr>
                <w:rFonts w:ascii="Arial" w:hAnsi="Arial" w:cs="Arial"/>
                <w:color w:val="000000"/>
                <w:sz w:val="20"/>
                <w:szCs w:val="20"/>
              </w:rPr>
              <w:t>16.9</w:t>
            </w:r>
          </w:p>
        </w:tc>
        <w:tc>
          <w:tcPr>
            <w:tcW w:w="2493" w:type="dxa"/>
            <w:tcBorders>
              <w:bottom w:val="single" w:sz="4" w:space="0" w:color="auto"/>
            </w:tcBorders>
          </w:tcPr>
          <w:p w:rsidR="00D26C16" w:rsidRPr="00BF0524" w:rsidRDefault="00BF0524"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524">
              <w:rPr>
                <w:rFonts w:ascii="Arial" w:hAnsi="Arial" w:cs="Arial"/>
                <w:color w:val="000000"/>
                <w:sz w:val="20"/>
                <w:szCs w:val="20"/>
              </w:rPr>
              <w:t>14.0</w:t>
            </w:r>
          </w:p>
        </w:tc>
      </w:tr>
    </w:tbl>
    <w:p w:rsidR="00D26C16" w:rsidRPr="00BF0791" w:rsidRDefault="00D26C16" w:rsidP="00BF0791">
      <w:pPr>
        <w:spacing w:line="276" w:lineRule="auto"/>
        <w:rPr>
          <w:rFonts w:ascii="Arial" w:hAnsi="Arial" w:cs="Arial"/>
          <w:sz w:val="20"/>
          <w:szCs w:val="20"/>
        </w:rPr>
      </w:pPr>
    </w:p>
    <w:p w:rsidR="00D26C16" w:rsidRPr="00BF0791" w:rsidRDefault="00BF0791" w:rsidP="00BF0791">
      <w:pPr>
        <w:spacing w:line="276" w:lineRule="auto"/>
        <w:rPr>
          <w:rFonts w:ascii="Arial" w:hAnsi="Arial" w:cs="Arial"/>
          <w:sz w:val="20"/>
          <w:szCs w:val="20"/>
        </w:rPr>
      </w:pPr>
      <w:r>
        <w:rPr>
          <w:rFonts w:ascii="Arial" w:hAnsi="Arial" w:cs="Arial"/>
          <w:sz w:val="20"/>
          <w:szCs w:val="20"/>
        </w:rPr>
        <w:t>Supplementary t</w:t>
      </w:r>
      <w:r w:rsidR="00D26C16" w:rsidRPr="00BF0791">
        <w:rPr>
          <w:rFonts w:ascii="Arial" w:hAnsi="Arial" w:cs="Arial"/>
          <w:sz w:val="20"/>
          <w:szCs w:val="20"/>
        </w:rPr>
        <w:t xml:space="preserve">able </w:t>
      </w:r>
      <w:r w:rsidR="006222FE" w:rsidRPr="00BF0791">
        <w:rPr>
          <w:rFonts w:ascii="Arial" w:hAnsi="Arial" w:cs="Arial"/>
          <w:sz w:val="20"/>
          <w:szCs w:val="20"/>
        </w:rPr>
        <w:t>3</w:t>
      </w:r>
      <w:r w:rsidR="00D26C16" w:rsidRPr="00BF0791">
        <w:rPr>
          <w:rFonts w:ascii="Arial" w:hAnsi="Arial" w:cs="Arial"/>
          <w:sz w:val="20"/>
          <w:szCs w:val="20"/>
        </w:rPr>
        <w:t>. “</w:t>
      </w:r>
      <w:r>
        <w:rPr>
          <w:rFonts w:ascii="Arial" w:hAnsi="Arial" w:cs="Arial"/>
          <w:sz w:val="20"/>
          <w:szCs w:val="20"/>
        </w:rPr>
        <w:t>Best</w:t>
      </w:r>
      <w:r w:rsidR="00D26C16" w:rsidRPr="00BF0791">
        <w:rPr>
          <w:rFonts w:ascii="Arial" w:hAnsi="Arial" w:cs="Arial"/>
          <w:sz w:val="20"/>
          <w:szCs w:val="20"/>
        </w:rPr>
        <w:t xml:space="preserve">” Case </w:t>
      </w:r>
      <w:r w:rsidR="003157DD">
        <w:rPr>
          <w:rFonts w:ascii="Arial" w:hAnsi="Arial" w:cs="Arial"/>
          <w:sz w:val="20"/>
          <w:szCs w:val="20"/>
        </w:rPr>
        <w:t>Scenario</w:t>
      </w:r>
      <w:r w:rsidR="00D26C16" w:rsidRPr="00BF0791">
        <w:rPr>
          <w:rFonts w:ascii="Arial" w:hAnsi="Arial" w:cs="Arial"/>
          <w:sz w:val="20"/>
          <w:szCs w:val="20"/>
        </w:rPr>
        <w:t xml:space="preserve"> </w:t>
      </w:r>
    </w:p>
    <w:tbl>
      <w:tblPr>
        <w:tblStyle w:val="TableGrid"/>
        <w:tblW w:w="9009" w:type="dxa"/>
        <w:tblBorders>
          <w:insideH w:val="none" w:sz="0" w:space="0" w:color="auto"/>
          <w:insideV w:val="none" w:sz="0" w:space="0" w:color="auto"/>
        </w:tblBorders>
        <w:tblLook w:val="04A0" w:firstRow="1" w:lastRow="0" w:firstColumn="1" w:lastColumn="0" w:noHBand="0" w:noVBand="1"/>
      </w:tblPr>
      <w:tblGrid>
        <w:gridCol w:w="1696"/>
        <w:gridCol w:w="2410"/>
        <w:gridCol w:w="2410"/>
        <w:gridCol w:w="2493"/>
      </w:tblGrid>
      <w:tr w:rsidR="00D26C16" w:rsidRPr="00BF0791" w:rsidTr="00631BF4">
        <w:trPr>
          <w:trHeight w:val="368"/>
        </w:trPr>
        <w:tc>
          <w:tcPr>
            <w:tcW w:w="1696"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p>
        </w:tc>
        <w:tc>
          <w:tcPr>
            <w:tcW w:w="2410"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sidRPr="00BF0791">
              <w:rPr>
                <w:rFonts w:ascii="Arial" w:hAnsi="Arial" w:cs="Arial"/>
                <w:b/>
                <w:bCs/>
                <w:color w:val="000000"/>
                <w:sz w:val="20"/>
                <w:szCs w:val="20"/>
              </w:rPr>
              <w:t>Black non-Hispanic</w:t>
            </w:r>
          </w:p>
          <w:p w:rsidR="00D26C16" w:rsidRPr="00BF0791" w:rsidRDefault="00BF0791"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Pr>
                <w:rFonts w:ascii="Arial" w:hAnsi="Arial" w:cs="Arial"/>
                <w:color w:val="000000"/>
                <w:sz w:val="20"/>
                <w:szCs w:val="20"/>
              </w:rPr>
              <w:t>R</w:t>
            </w:r>
            <w:r w:rsidR="00D26C16" w:rsidRPr="00BF0791">
              <w:rPr>
                <w:rFonts w:ascii="Arial" w:hAnsi="Arial" w:cs="Arial"/>
                <w:color w:val="000000"/>
                <w:sz w:val="20"/>
                <w:szCs w:val="20"/>
              </w:rPr>
              <w:t>R (95% CI)</w:t>
            </w:r>
          </w:p>
        </w:tc>
        <w:tc>
          <w:tcPr>
            <w:tcW w:w="2410"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sidRPr="00BF0791">
              <w:rPr>
                <w:rFonts w:ascii="Arial" w:hAnsi="Arial" w:cs="Arial"/>
                <w:b/>
                <w:bCs/>
                <w:color w:val="000000"/>
                <w:sz w:val="20"/>
                <w:szCs w:val="20"/>
              </w:rPr>
              <w:t>Hispanic</w:t>
            </w:r>
          </w:p>
          <w:p w:rsidR="00D26C16" w:rsidRPr="00BF0791" w:rsidRDefault="00BF0791"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Pr>
                <w:rFonts w:ascii="Arial" w:hAnsi="Arial" w:cs="Arial"/>
                <w:color w:val="000000"/>
                <w:sz w:val="20"/>
                <w:szCs w:val="20"/>
              </w:rPr>
              <w:t>R</w:t>
            </w:r>
            <w:r w:rsidR="00D26C16" w:rsidRPr="00BF0791">
              <w:rPr>
                <w:rFonts w:ascii="Arial" w:hAnsi="Arial" w:cs="Arial"/>
                <w:color w:val="000000"/>
                <w:sz w:val="20"/>
                <w:szCs w:val="20"/>
              </w:rPr>
              <w:t>R (95% CI)</w:t>
            </w:r>
          </w:p>
        </w:tc>
        <w:tc>
          <w:tcPr>
            <w:tcW w:w="2493"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sidRPr="00BF0791">
              <w:rPr>
                <w:rFonts w:ascii="Arial" w:hAnsi="Arial" w:cs="Arial"/>
                <w:b/>
                <w:bCs/>
                <w:color w:val="000000"/>
                <w:sz w:val="20"/>
                <w:szCs w:val="20"/>
              </w:rPr>
              <w:t>Other</w:t>
            </w:r>
          </w:p>
          <w:p w:rsidR="00D26C16" w:rsidRPr="00BF0791" w:rsidRDefault="00BF0791" w:rsidP="00BF0791">
            <w:pPr>
              <w:widowControl w:val="0"/>
              <w:tabs>
                <w:tab w:val="left" w:pos="220"/>
                <w:tab w:val="left" w:pos="720"/>
              </w:tabs>
              <w:autoSpaceDE w:val="0"/>
              <w:autoSpaceDN w:val="0"/>
              <w:adjustRightInd w:val="0"/>
              <w:spacing w:line="276" w:lineRule="auto"/>
              <w:jc w:val="center"/>
              <w:rPr>
                <w:rFonts w:ascii="Arial" w:hAnsi="Arial" w:cs="Arial"/>
                <w:b/>
                <w:bCs/>
                <w:color w:val="000000"/>
                <w:sz w:val="20"/>
                <w:szCs w:val="20"/>
              </w:rPr>
            </w:pPr>
            <w:r>
              <w:rPr>
                <w:rFonts w:ascii="Arial" w:hAnsi="Arial" w:cs="Arial"/>
                <w:color w:val="000000"/>
                <w:sz w:val="20"/>
                <w:szCs w:val="20"/>
              </w:rPr>
              <w:t>R</w:t>
            </w:r>
            <w:r w:rsidR="00D26C16" w:rsidRPr="00BF0791">
              <w:rPr>
                <w:rFonts w:ascii="Arial" w:hAnsi="Arial" w:cs="Arial"/>
                <w:color w:val="000000"/>
                <w:sz w:val="20"/>
                <w:szCs w:val="20"/>
              </w:rPr>
              <w:t>R (95% CI)</w:t>
            </w:r>
          </w:p>
        </w:tc>
      </w:tr>
      <w:tr w:rsidR="00D26C16" w:rsidRPr="00BF0791" w:rsidTr="00DA7859">
        <w:trPr>
          <w:trHeight w:val="368"/>
        </w:trPr>
        <w:tc>
          <w:tcPr>
            <w:tcW w:w="9009" w:type="dxa"/>
            <w:gridSpan w:val="4"/>
            <w:tcBorders>
              <w:top w:val="single" w:sz="4" w:space="0" w:color="auto"/>
            </w:tcBorders>
          </w:tcPr>
          <w:p w:rsidR="00D26C16" w:rsidRPr="00BF0791" w:rsidRDefault="001C6ADA" w:rsidP="00BF0791">
            <w:pPr>
              <w:widowControl w:val="0"/>
              <w:tabs>
                <w:tab w:val="left" w:pos="220"/>
                <w:tab w:val="left" w:pos="720"/>
              </w:tabs>
              <w:autoSpaceDE w:val="0"/>
              <w:autoSpaceDN w:val="0"/>
              <w:adjustRightInd w:val="0"/>
              <w:spacing w:line="276" w:lineRule="auto"/>
              <w:rPr>
                <w:rFonts w:ascii="Arial" w:hAnsi="Arial" w:cs="Arial"/>
                <w:color w:val="000000" w:themeColor="text1"/>
                <w:sz w:val="20"/>
                <w:szCs w:val="20"/>
                <w:lang w:val="en-CA"/>
              </w:rPr>
            </w:pPr>
            <w:r w:rsidRPr="00BF0791">
              <w:rPr>
                <w:rFonts w:ascii="Arial" w:hAnsi="Arial" w:cs="Arial"/>
                <w:b/>
                <w:color w:val="000000"/>
                <w:sz w:val="20"/>
                <w:szCs w:val="20"/>
              </w:rPr>
              <w:t>Preterm Birth &lt;37 Weeks</w:t>
            </w:r>
          </w:p>
        </w:tc>
      </w:tr>
      <w:tr w:rsidR="00BF0524" w:rsidRPr="00BF0791" w:rsidTr="00631BF4">
        <w:trPr>
          <w:trHeight w:val="368"/>
        </w:trPr>
        <w:tc>
          <w:tcPr>
            <w:tcW w:w="1696" w:type="dxa"/>
          </w:tcPr>
          <w:p w:rsidR="00BF0524" w:rsidRPr="00BF0791" w:rsidRDefault="00BF0524" w:rsidP="00BF0524">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791">
              <w:rPr>
                <w:rFonts w:ascii="Arial" w:hAnsi="Arial" w:cs="Arial"/>
                <w:color w:val="000000"/>
                <w:sz w:val="20"/>
                <w:szCs w:val="20"/>
              </w:rPr>
              <w:t>Direct Effect</w:t>
            </w:r>
          </w:p>
        </w:tc>
        <w:tc>
          <w:tcPr>
            <w:tcW w:w="2410" w:type="dxa"/>
          </w:tcPr>
          <w:p w:rsidR="00BF0524" w:rsidRPr="00BF0791" w:rsidRDefault="00BF0524" w:rsidP="00BF0524">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1.0365 (1.0298, 1.0432)</w:t>
            </w:r>
          </w:p>
        </w:tc>
        <w:tc>
          <w:tcPr>
            <w:tcW w:w="2410" w:type="dxa"/>
          </w:tcPr>
          <w:p w:rsidR="00BF0524" w:rsidRPr="00BF0791" w:rsidRDefault="00BF0524" w:rsidP="00BF0524">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1.0745 (1.0606, 1.0885)</w:t>
            </w:r>
          </w:p>
        </w:tc>
        <w:tc>
          <w:tcPr>
            <w:tcW w:w="2493" w:type="dxa"/>
          </w:tcPr>
          <w:p w:rsidR="00BF0524" w:rsidRPr="00BF0791" w:rsidRDefault="00BF0524" w:rsidP="00BF0524">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1.1141 (1.0926, 1.1360)</w:t>
            </w:r>
          </w:p>
        </w:tc>
      </w:tr>
      <w:tr w:rsidR="00BF0524" w:rsidRPr="00BF0791" w:rsidTr="00631BF4">
        <w:trPr>
          <w:trHeight w:val="336"/>
        </w:trPr>
        <w:tc>
          <w:tcPr>
            <w:tcW w:w="1696" w:type="dxa"/>
          </w:tcPr>
          <w:p w:rsidR="00BF0524" w:rsidRPr="00BF0791" w:rsidRDefault="00BF0524" w:rsidP="00BF0524">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791">
              <w:rPr>
                <w:rFonts w:ascii="Arial" w:hAnsi="Arial" w:cs="Arial"/>
                <w:color w:val="000000"/>
                <w:sz w:val="20"/>
                <w:szCs w:val="20"/>
              </w:rPr>
              <w:t>Indirect Effect</w:t>
            </w:r>
          </w:p>
        </w:tc>
        <w:tc>
          <w:tcPr>
            <w:tcW w:w="2410" w:type="dxa"/>
          </w:tcPr>
          <w:p w:rsidR="00BF0524" w:rsidRPr="00BF0791" w:rsidRDefault="00BF0524" w:rsidP="00BF0524">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1.0044 (1.0038, 1.0050)</w:t>
            </w:r>
          </w:p>
        </w:tc>
        <w:tc>
          <w:tcPr>
            <w:tcW w:w="2410" w:type="dxa"/>
          </w:tcPr>
          <w:p w:rsidR="00BF0524" w:rsidRPr="00BF0791" w:rsidRDefault="00BF0524" w:rsidP="00BF0524">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1.0065 (1.0046, 1.0083)</w:t>
            </w:r>
          </w:p>
        </w:tc>
        <w:tc>
          <w:tcPr>
            <w:tcW w:w="2493" w:type="dxa"/>
          </w:tcPr>
          <w:p w:rsidR="00BF0524" w:rsidRPr="00BF0791" w:rsidRDefault="00BF0524" w:rsidP="00BF0524">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1.0058 (1.0014, 1.0103)</w:t>
            </w:r>
          </w:p>
        </w:tc>
      </w:tr>
      <w:tr w:rsidR="00D26C16" w:rsidRPr="00BF0791" w:rsidTr="00631BF4">
        <w:trPr>
          <w:trHeight w:val="336"/>
        </w:trPr>
        <w:tc>
          <w:tcPr>
            <w:tcW w:w="1696" w:type="dxa"/>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791">
              <w:rPr>
                <w:rFonts w:ascii="Arial" w:hAnsi="Arial" w:cs="Arial"/>
                <w:color w:val="000000"/>
                <w:sz w:val="20"/>
                <w:szCs w:val="20"/>
              </w:rPr>
              <w:t>Total Effect</w:t>
            </w:r>
          </w:p>
        </w:tc>
        <w:tc>
          <w:tcPr>
            <w:tcW w:w="2410" w:type="dxa"/>
          </w:tcPr>
          <w:p w:rsidR="00D26C16" w:rsidRPr="00BF0791" w:rsidRDefault="003157DD" w:rsidP="00BF0524">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w:t>
            </w:r>
            <w:r w:rsidR="00BF0524">
              <w:rPr>
                <w:rFonts w:ascii="Arial" w:hAnsi="Arial" w:cs="Arial"/>
                <w:color w:val="000000"/>
                <w:sz w:val="20"/>
                <w:szCs w:val="20"/>
              </w:rPr>
              <w:t>0410 (1.0343, 1.0478)</w:t>
            </w:r>
          </w:p>
        </w:tc>
        <w:tc>
          <w:tcPr>
            <w:tcW w:w="2410" w:type="dxa"/>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1.0814 (1.0676, 1.0954)</w:t>
            </w:r>
          </w:p>
        </w:tc>
        <w:tc>
          <w:tcPr>
            <w:tcW w:w="2493" w:type="dxa"/>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1.1205 (1.0990, 1.1425)</w:t>
            </w:r>
          </w:p>
        </w:tc>
      </w:tr>
      <w:tr w:rsidR="00D26C16" w:rsidRPr="00BF0791" w:rsidTr="00631BF4">
        <w:trPr>
          <w:trHeight w:val="336"/>
        </w:trPr>
        <w:tc>
          <w:tcPr>
            <w:tcW w:w="1696" w:type="dxa"/>
            <w:tcBorders>
              <w:bottom w:val="single" w:sz="4" w:space="0" w:color="auto"/>
            </w:tcBorders>
          </w:tcPr>
          <w:p w:rsidR="00D26C16" w:rsidRPr="00BF0791" w:rsidRDefault="00D26C16"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sidRPr="00BF0791">
              <w:rPr>
                <w:rFonts w:ascii="Arial" w:hAnsi="Arial" w:cs="Arial"/>
                <w:color w:val="000000"/>
                <w:sz w:val="20"/>
                <w:szCs w:val="20"/>
              </w:rPr>
              <w:t>% Mediated</w:t>
            </w:r>
          </w:p>
        </w:tc>
        <w:tc>
          <w:tcPr>
            <w:tcW w:w="2410" w:type="dxa"/>
            <w:tcBorders>
              <w:bottom w:val="single" w:sz="4" w:space="0" w:color="auto"/>
            </w:tcBorders>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11.1</w:t>
            </w:r>
          </w:p>
        </w:tc>
        <w:tc>
          <w:tcPr>
            <w:tcW w:w="2410" w:type="dxa"/>
            <w:tcBorders>
              <w:bottom w:val="single" w:sz="4" w:space="0" w:color="auto"/>
            </w:tcBorders>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8.5</w:t>
            </w:r>
          </w:p>
        </w:tc>
        <w:tc>
          <w:tcPr>
            <w:tcW w:w="2493" w:type="dxa"/>
            <w:tcBorders>
              <w:bottom w:val="single" w:sz="4" w:space="0" w:color="auto"/>
            </w:tcBorders>
          </w:tcPr>
          <w:p w:rsidR="00D26C16" w:rsidRPr="00BF0791" w:rsidRDefault="003157DD" w:rsidP="00BF0791">
            <w:pPr>
              <w:widowControl w:val="0"/>
              <w:tabs>
                <w:tab w:val="left" w:pos="220"/>
                <w:tab w:val="left" w:pos="720"/>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5.4</w:t>
            </w:r>
          </w:p>
        </w:tc>
      </w:tr>
    </w:tbl>
    <w:p w:rsidR="00D26C16" w:rsidRPr="00BF0791" w:rsidRDefault="00D26C16" w:rsidP="00BF0791">
      <w:pPr>
        <w:spacing w:line="276" w:lineRule="auto"/>
        <w:rPr>
          <w:rFonts w:ascii="Arial" w:hAnsi="Arial" w:cs="Arial"/>
          <w:sz w:val="20"/>
          <w:szCs w:val="20"/>
        </w:rPr>
      </w:pPr>
    </w:p>
    <w:sectPr w:rsidR="00D26C16" w:rsidRPr="00BF0791" w:rsidSect="00B90C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BA"/>
    <w:rsid w:val="000C16C8"/>
    <w:rsid w:val="000D16B5"/>
    <w:rsid w:val="001126C6"/>
    <w:rsid w:val="001C6ADA"/>
    <w:rsid w:val="00220087"/>
    <w:rsid w:val="00236D1A"/>
    <w:rsid w:val="003157DD"/>
    <w:rsid w:val="003E7551"/>
    <w:rsid w:val="004D4583"/>
    <w:rsid w:val="006222FE"/>
    <w:rsid w:val="00627E79"/>
    <w:rsid w:val="00631BF4"/>
    <w:rsid w:val="00652294"/>
    <w:rsid w:val="00657A19"/>
    <w:rsid w:val="006F5AC9"/>
    <w:rsid w:val="007619A8"/>
    <w:rsid w:val="007A63D5"/>
    <w:rsid w:val="00945742"/>
    <w:rsid w:val="00AA3A19"/>
    <w:rsid w:val="00B1026F"/>
    <w:rsid w:val="00B90C84"/>
    <w:rsid w:val="00BF0524"/>
    <w:rsid w:val="00BF0791"/>
    <w:rsid w:val="00C33208"/>
    <w:rsid w:val="00C36CCD"/>
    <w:rsid w:val="00C60B51"/>
    <w:rsid w:val="00D26C16"/>
    <w:rsid w:val="00DB32E0"/>
    <w:rsid w:val="00F2517B"/>
    <w:rsid w:val="00F471F7"/>
    <w:rsid w:val="00FC56BA"/>
    <w:rsid w:val="00FE6A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C7F5"/>
  <w15:chartTrackingRefBased/>
  <w15:docId w15:val="{967474A5-B4BD-8C4A-8C88-FC4B7287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6C1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Khalidha Nasiri</dc:creator>
  <cp:keywords/>
  <dc:description/>
  <cp:lastModifiedBy>Khalidha Nasiri</cp:lastModifiedBy>
  <cp:revision>12</cp:revision>
  <dcterms:created xsi:type="dcterms:W3CDTF">2019-04-12T16:38:00Z</dcterms:created>
  <dcterms:modified xsi:type="dcterms:W3CDTF">2019-11-23T02:35:00Z</dcterms:modified>
</cp:coreProperties>
</file>