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B4F8" w14:textId="77777777" w:rsidR="00DB6E30" w:rsidRPr="00DB6E30" w:rsidRDefault="00DB6E30">
      <w:pPr>
        <w:rPr>
          <w:b/>
        </w:rPr>
      </w:pPr>
      <w:r w:rsidRPr="00DB6E30">
        <w:rPr>
          <w:b/>
        </w:rPr>
        <w:t>Supplemental Table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710"/>
        <w:gridCol w:w="720"/>
        <w:gridCol w:w="720"/>
        <w:gridCol w:w="900"/>
        <w:gridCol w:w="810"/>
        <w:gridCol w:w="1170"/>
        <w:gridCol w:w="990"/>
        <w:gridCol w:w="1350"/>
        <w:gridCol w:w="810"/>
        <w:gridCol w:w="895"/>
      </w:tblGrid>
      <w:tr w:rsidR="007F6515" w:rsidRPr="007C44A0" w14:paraId="716AF154" w14:textId="77777777" w:rsidTr="007C44A0">
        <w:trPr>
          <w:cantSplit/>
          <w:trHeight w:val="620"/>
          <w:tblHeader/>
        </w:trPr>
        <w:tc>
          <w:tcPr>
            <w:tcW w:w="715" w:type="dxa"/>
            <w:shd w:val="clear" w:color="auto" w:fill="auto"/>
            <w:vAlign w:val="bottom"/>
            <w:hideMark/>
          </w:tcPr>
          <w:p w14:paraId="0F334B77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Gene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3DE2BEA4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Variant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B86C13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Proband ID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16EE38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Sex of Proband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EBDA19A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Self-Reported Ethnicity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14:paraId="0BED60D3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Age at Diagnosis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14:paraId="2CA823E5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A1C standardized (max A1C if several, &gt;14 if 14 or higher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4975C63B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BMI Standardized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642AE8F" w14:textId="0CD1F5F9" w:rsidR="007F6515" w:rsidRPr="007C44A0" w:rsidRDefault="007C44A0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A</w:t>
            </w:r>
            <w:r w:rsidR="007F6515"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ntibodies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14:paraId="072F77B9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Antibody negative?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14:paraId="4310AA88" w14:textId="77777777" w:rsidR="007F6515" w:rsidRPr="007C44A0" w:rsidRDefault="007F6515" w:rsidP="007F651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Number of antibodies</w:t>
            </w:r>
          </w:p>
        </w:tc>
      </w:tr>
      <w:tr w:rsidR="00F65184" w:rsidRPr="007C44A0" w14:paraId="4F431E97" w14:textId="77777777" w:rsidTr="009E3CA4">
        <w:trPr>
          <w:trHeight w:val="71"/>
        </w:trPr>
        <w:tc>
          <w:tcPr>
            <w:tcW w:w="715" w:type="dxa"/>
            <w:shd w:val="clear" w:color="auto" w:fill="auto"/>
            <w:vAlign w:val="bottom"/>
          </w:tcPr>
          <w:p w14:paraId="2EB9201F" w14:textId="3921B12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F1221CD" w14:textId="19F9064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2:c.T56A:p.I19N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5A77576" w14:textId="4E84927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d948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520E5A" w14:textId="2344A78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FD6E69" w14:textId="4C0EA08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7817236" w14:textId="2FEF2CC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C0740B6" w14:textId="60841FC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D4A3759" w14:textId="3B11553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33A11C4" w14:textId="378BCCF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insulin, and zinc transporter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5C89480" w14:textId="7C0B114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AF5B58F" w14:textId="3F0B9BB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</w:tr>
      <w:tr w:rsidR="00F65184" w:rsidRPr="007C44A0" w14:paraId="390935C7" w14:textId="77777777" w:rsidTr="009E3CA4">
        <w:trPr>
          <w:trHeight w:val="56"/>
        </w:trPr>
        <w:tc>
          <w:tcPr>
            <w:tcW w:w="715" w:type="dxa"/>
            <w:shd w:val="clear" w:color="auto" w:fill="auto"/>
            <w:vAlign w:val="bottom"/>
          </w:tcPr>
          <w:p w14:paraId="5CF9796B" w14:textId="2773F5F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9B3F3A8" w14:textId="1C997E4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2:c.T122C:p.M41T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797628D" w14:textId="1965ED5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d528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5AC91FD" w14:textId="5DF5A94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697DCA" w14:textId="2F5173E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20B70EB" w14:textId="4524DAE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BF7CC9A" w14:textId="2D1E3BB3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C70F2A3" w14:textId="1E5CB17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418FDA7" w14:textId="6960C3E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 positive, insulin and islet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DC7D07A" w14:textId="0A45385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595A5DE" w14:textId="1C8E926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6C2CF560" w14:textId="77777777" w:rsidTr="009E3CA4">
        <w:trPr>
          <w:trHeight w:val="56"/>
        </w:trPr>
        <w:tc>
          <w:tcPr>
            <w:tcW w:w="715" w:type="dxa"/>
            <w:shd w:val="clear" w:color="auto" w:fill="auto"/>
            <w:vAlign w:val="bottom"/>
          </w:tcPr>
          <w:p w14:paraId="3160DDFF" w14:textId="48B63A0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C315D25" w14:textId="0004C45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2:c.C127A:p.R43S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CCF48A8" w14:textId="697919E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d221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7232461" w14:textId="0654074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3784CB" w14:textId="40257A4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EEE146B" w14:textId="564551F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E92414F" w14:textId="4978F13E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BE057E0" w14:textId="0590C0C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8982708" w14:textId="20F88FE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islet, insulin neg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01E4515" w14:textId="27BD283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144D150B" w14:textId="1EBB7AB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7E62F728" w14:textId="77777777" w:rsidTr="009E3CA4">
        <w:trPr>
          <w:trHeight w:val="224"/>
        </w:trPr>
        <w:tc>
          <w:tcPr>
            <w:tcW w:w="715" w:type="dxa"/>
            <w:shd w:val="clear" w:color="auto" w:fill="auto"/>
            <w:vAlign w:val="bottom"/>
          </w:tcPr>
          <w:p w14:paraId="13CE4E6D" w14:textId="6D97EE7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CA36A76" w14:textId="66052BA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2:c.G130A:p.G44S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43819EA" w14:textId="791DC76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d776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7471954" w14:textId="1F40EE6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A34D88" w14:textId="3B025B2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CE24615" w14:textId="24A70A7E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FA747C7" w14:textId="36BA727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798751" w14:textId="2CC89B3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4490916" w14:textId="091163A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and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0EE88F3" w14:textId="3F57A64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A08CB10" w14:textId="36D502F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2C47034E" w14:textId="77777777" w:rsidTr="009E3CA4">
        <w:trPr>
          <w:trHeight w:val="56"/>
        </w:trPr>
        <w:tc>
          <w:tcPr>
            <w:tcW w:w="715" w:type="dxa"/>
            <w:shd w:val="clear" w:color="auto" w:fill="auto"/>
            <w:vAlign w:val="bottom"/>
          </w:tcPr>
          <w:p w14:paraId="35B0AB46" w14:textId="427E81A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5A76C14" w14:textId="56B1A16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2:c.C148T:p.H50Y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2EA1854" w14:textId="113EE98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d293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B418EC" w14:textId="39AD930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D2CD75F" w14:textId="2CEA6D2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C4F35D9" w14:textId="6FD8301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5D1939C" w14:textId="28F4126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4188FFB" w14:textId="09C17E6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D584E86" w14:textId="077BEEE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1FC94951" w14:textId="70BB31D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080E6BB7" w14:textId="587485C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1BF5DDDC" w14:textId="77777777" w:rsidTr="009E3CA4">
        <w:trPr>
          <w:trHeight w:val="260"/>
        </w:trPr>
        <w:tc>
          <w:tcPr>
            <w:tcW w:w="715" w:type="dxa"/>
            <w:shd w:val="clear" w:color="auto" w:fill="auto"/>
            <w:vAlign w:val="bottom"/>
          </w:tcPr>
          <w:p w14:paraId="3B56872D" w14:textId="33862D2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18C99E6" w14:textId="2CAADB6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2:c.A167C:p.K56T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F8CA26" w14:textId="66528BA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d740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86FD31F" w14:textId="296A943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031DE5" w14:textId="49E053B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39EC347" w14:textId="0A06300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CB65E4C" w14:textId="45463DD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B4C6BD7" w14:textId="6569021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DD1F5F6" w14:textId="22C1246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 and islet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AD5DCEB" w14:textId="528C4C8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79891BA1" w14:textId="6B60FDC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42CABB21" w14:textId="77777777" w:rsidTr="009E3CA4">
        <w:trPr>
          <w:trHeight w:val="98"/>
        </w:trPr>
        <w:tc>
          <w:tcPr>
            <w:tcW w:w="715" w:type="dxa"/>
            <w:shd w:val="clear" w:color="auto" w:fill="auto"/>
            <w:vAlign w:val="bottom"/>
          </w:tcPr>
          <w:p w14:paraId="424D09D4" w14:textId="6028AC2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07ED9BE" w14:textId="7F4EE4C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3:c.290dupG:p.G97fs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D740BB1" w14:textId="3D01094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d746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7F14B96" w14:textId="6D245F4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ED7B80" w14:textId="7FB33C9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7A7DEAE" w14:textId="733E5EA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E167261" w14:textId="5885066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E2EE3C7" w14:textId="7161E1A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obese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7E542E8" w14:textId="29D2420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and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1446A43" w14:textId="6DB7953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8AD7E15" w14:textId="75912F60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365B9094" w14:textId="77777777" w:rsidTr="009E3CA4">
        <w:trPr>
          <w:trHeight w:val="56"/>
        </w:trPr>
        <w:tc>
          <w:tcPr>
            <w:tcW w:w="715" w:type="dxa"/>
            <w:shd w:val="clear" w:color="auto" w:fill="auto"/>
            <w:vAlign w:val="bottom"/>
          </w:tcPr>
          <w:p w14:paraId="7679B01C" w14:textId="155FC3D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5661B2F" w14:textId="1D863F6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3:c.295delT:p.W99fs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2D9B0A" w14:textId="0271611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d930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5A1949D" w14:textId="04364DA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2CF3DE7" w14:textId="06359DB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3868BDA" w14:textId="6D8C631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BB0083A" w14:textId="773BA230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B3897B3" w14:textId="70EB9E6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52086F8" w14:textId="1A0570F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BE6A2DF" w14:textId="78F1262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0A03297F" w14:textId="1737275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0BCACB97" w14:textId="77777777" w:rsidTr="009E3CA4">
        <w:trPr>
          <w:trHeight w:val="332"/>
        </w:trPr>
        <w:tc>
          <w:tcPr>
            <w:tcW w:w="715" w:type="dxa"/>
            <w:shd w:val="clear" w:color="auto" w:fill="auto"/>
            <w:vAlign w:val="bottom"/>
          </w:tcPr>
          <w:p w14:paraId="71C65461" w14:textId="770B241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0A00C8A" w14:textId="7902D2E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4:c.A388G:p.I130V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70DFB59" w14:textId="3C55F05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d346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7070C7" w14:textId="46B424A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AA36E6A" w14:textId="5DAF3F3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two or more races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ACFB68C" w14:textId="5EFCCA5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D9ACAC3" w14:textId="50A18EE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66173A2" w14:textId="030498C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39DCAB3" w14:textId="039B8E8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5775D505" w14:textId="1AD3C75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5E7A1029" w14:textId="372EAF1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5B9D64CF" w14:textId="77777777" w:rsidTr="009E3CA4">
        <w:trPr>
          <w:trHeight w:val="134"/>
        </w:trPr>
        <w:tc>
          <w:tcPr>
            <w:tcW w:w="715" w:type="dxa"/>
            <w:shd w:val="clear" w:color="auto" w:fill="auto"/>
            <w:vAlign w:val="bottom"/>
          </w:tcPr>
          <w:p w14:paraId="7DF11966" w14:textId="308DDE9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5684B14" w14:textId="671210C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4:c.A388G:p.I130V    (Pro29fs)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14FCD5" w14:textId="620D271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D137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934448F" w14:textId="51EC159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36D8E0" w14:textId="6517F17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42AC253" w14:textId="11A907A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76D9F6E" w14:textId="1C97A2CE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89F80E" w14:textId="3A12334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EFE1AA9" w14:textId="61214E8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35519C9D" w14:textId="772184E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16F1F6FF" w14:textId="5BF5C540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58A9A19D" w14:textId="77777777" w:rsidTr="009E3CA4">
        <w:trPr>
          <w:trHeight w:val="215"/>
        </w:trPr>
        <w:tc>
          <w:tcPr>
            <w:tcW w:w="715" w:type="dxa"/>
            <w:shd w:val="clear" w:color="auto" w:fill="auto"/>
            <w:vAlign w:val="bottom"/>
          </w:tcPr>
          <w:p w14:paraId="403140AD" w14:textId="6A5467C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C8B00C5" w14:textId="7D20E0A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4:c.A463G:p.R155G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A949D4" w14:textId="502F5CA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8820FB2" w14:textId="589470A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0A11D04" w14:textId="38FCE51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FE31E3D" w14:textId="3140A44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70BC055" w14:textId="11CAA230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8DE633B" w14:textId="5864811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691ACEC" w14:textId="4C19A43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DA38F15" w14:textId="2094850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6B4FF0F" w14:textId="7CBF7C5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4FC41430" w14:textId="77777777" w:rsidTr="009E3CA4">
        <w:trPr>
          <w:trHeight w:val="98"/>
        </w:trPr>
        <w:tc>
          <w:tcPr>
            <w:tcW w:w="715" w:type="dxa"/>
            <w:shd w:val="clear" w:color="auto" w:fill="auto"/>
            <w:vAlign w:val="bottom"/>
          </w:tcPr>
          <w:p w14:paraId="7EA9E297" w14:textId="3F38F3E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666C3E6" w14:textId="5922EE7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4:c.G478A:p.D160N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F7630F0" w14:textId="68723E0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d911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4402D9F" w14:textId="1D2341F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D22FCB6" w14:textId="68521B4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245A4B0" w14:textId="3D4E252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4CBD439" w14:textId="38BBBCE8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A9951D8" w14:textId="76F5EE1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6E59BB8" w14:textId="4823575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and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193A9ED" w14:textId="478BD5B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8EAB8E6" w14:textId="659A87D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459AA614" w14:textId="77777777" w:rsidTr="009E3CA4">
        <w:trPr>
          <w:trHeight w:val="170"/>
        </w:trPr>
        <w:tc>
          <w:tcPr>
            <w:tcW w:w="715" w:type="dxa"/>
            <w:shd w:val="clear" w:color="auto" w:fill="auto"/>
            <w:vAlign w:val="bottom"/>
          </w:tcPr>
          <w:p w14:paraId="30475DF7" w14:textId="5B7DE5E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CEC8F1E" w14:textId="28AE7B2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5:c.G544A:p.V182M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3B4930" w14:textId="3AE6BFD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d377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F73A7BB" w14:textId="7021577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F67CFD" w14:textId="0B14885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two or more races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525B766" w14:textId="79ECAE2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2F99474" w14:textId="76597C1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C11329" w14:textId="73125F4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908F0BF" w14:textId="19F0279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 negative, rest 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708BBF4" w14:textId="625FD34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51F876A" w14:textId="1139E78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</w:tr>
      <w:tr w:rsidR="00F65184" w:rsidRPr="007C44A0" w14:paraId="7B3F5BAF" w14:textId="77777777" w:rsidTr="009E3CA4">
        <w:trPr>
          <w:trHeight w:val="56"/>
        </w:trPr>
        <w:tc>
          <w:tcPr>
            <w:tcW w:w="715" w:type="dxa"/>
            <w:shd w:val="clear" w:color="auto" w:fill="auto"/>
            <w:vAlign w:val="bottom"/>
          </w:tcPr>
          <w:p w14:paraId="58E22C6C" w14:textId="7405C7A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7CF1F4C" w14:textId="1B2A538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5:c.C556T:p.R186X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F08E4F" w14:textId="6308981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d142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A905587" w14:textId="737DA3A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2DD3F0" w14:textId="12F0826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F288B5C" w14:textId="1A9AA0B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17714ED" w14:textId="7B0042E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6A8D09" w14:textId="18CC5B5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2B149F1" w14:textId="034DA57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566E7AD1" w14:textId="0611059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76A7CB7" w14:textId="560FE438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42EA6FA1" w14:textId="77777777" w:rsidTr="009E3CA4">
        <w:trPr>
          <w:trHeight w:val="56"/>
        </w:trPr>
        <w:tc>
          <w:tcPr>
            <w:tcW w:w="715" w:type="dxa"/>
            <w:shd w:val="clear" w:color="auto" w:fill="auto"/>
            <w:vAlign w:val="bottom"/>
          </w:tcPr>
          <w:p w14:paraId="48AD354C" w14:textId="02772AA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7E26DAA" w14:textId="2FACE87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5:c.565insTATC:p.p.K190YfsTer8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495F06C" w14:textId="08E6EFA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d186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73514A9" w14:textId="346B16D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665E6E" w14:textId="2B7F63A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4415CED" w14:textId="1516590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A96EE6D" w14:textId="6744694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45AEE1" w14:textId="4B9C54A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B52BB10" w14:textId="7AF5B86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FDF4009" w14:textId="70E2329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72A87055" w14:textId="02E4710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7B4EC4DA" w14:textId="77777777" w:rsidTr="009E3CA4">
        <w:trPr>
          <w:trHeight w:val="125"/>
        </w:trPr>
        <w:tc>
          <w:tcPr>
            <w:tcW w:w="715" w:type="dxa"/>
            <w:shd w:val="clear" w:color="auto" w:fill="auto"/>
            <w:vAlign w:val="bottom"/>
          </w:tcPr>
          <w:p w14:paraId="36C94BFB" w14:textId="596F8AB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374A383" w14:textId="7061D8E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5:c.G572A:p.R191Q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B1D5CC" w14:textId="1465DD2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d900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63BA98" w14:textId="649DBBA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FA17A3" w14:textId="70DADB8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6698775" w14:textId="722EB82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97E52AC" w14:textId="055C85D8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E3648AE" w14:textId="6B899CF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38F1DE5" w14:textId="4B82579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insulin, and zinc transporter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47A9622" w14:textId="36A4537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1DDE7C2E" w14:textId="5922B85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</w:tr>
      <w:tr w:rsidR="00F65184" w:rsidRPr="007C44A0" w14:paraId="5372010C" w14:textId="77777777" w:rsidTr="009E3CA4">
        <w:trPr>
          <w:trHeight w:val="98"/>
        </w:trPr>
        <w:tc>
          <w:tcPr>
            <w:tcW w:w="715" w:type="dxa"/>
            <w:shd w:val="clear" w:color="auto" w:fill="auto"/>
            <w:vAlign w:val="bottom"/>
          </w:tcPr>
          <w:p w14:paraId="17E2DEBA" w14:textId="1875B46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5873F0A" w14:textId="1DB853E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6:c.A614G:p.D205G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08A48AF" w14:textId="5E5A526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d823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4134AB3" w14:textId="3A5CD86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32588CC" w14:textId="3BFBAC9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1FDD6CC" w14:textId="7BD2D63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2261E08" w14:textId="44ACEB0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B5B1583" w14:textId="0C6720F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0551F21" w14:textId="31EE4BB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4C97F4FA" w14:textId="7161034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7C9DF94D" w14:textId="31C7F7F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0017EA87" w14:textId="77777777" w:rsidTr="009E3CA4">
        <w:trPr>
          <w:trHeight w:val="170"/>
        </w:trPr>
        <w:tc>
          <w:tcPr>
            <w:tcW w:w="715" w:type="dxa"/>
            <w:shd w:val="clear" w:color="auto" w:fill="auto"/>
            <w:vAlign w:val="bottom"/>
          </w:tcPr>
          <w:p w14:paraId="579F0FC9" w14:textId="03DD34F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C2D777A" w14:textId="7EB9B07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6:c.A625C:p.T209P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74D348C" w14:textId="4F1FBBD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d440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7E5C5A8" w14:textId="56CE4D0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DCC653" w14:textId="7E38B14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4B14793" w14:textId="68BDD583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013C20D" w14:textId="55B4E20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1081291" w14:textId="1245DB0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DBCEDBC" w14:textId="638B9F2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 and islet cell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3F94179" w14:textId="39D03A9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1C519042" w14:textId="0463DDA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42E6361B" w14:textId="77777777" w:rsidTr="009E3CA4">
        <w:trPr>
          <w:trHeight w:val="161"/>
        </w:trPr>
        <w:tc>
          <w:tcPr>
            <w:tcW w:w="715" w:type="dxa"/>
            <w:shd w:val="clear" w:color="auto" w:fill="auto"/>
            <w:vAlign w:val="bottom"/>
          </w:tcPr>
          <w:p w14:paraId="308CF983" w14:textId="34EE2E0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B4CE079" w14:textId="4E998C0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6:c.C626A:p.T209K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F4C46D1" w14:textId="1F15FCD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d736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C4596FD" w14:textId="3031688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BE6AA9" w14:textId="31DE17B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80EADE2" w14:textId="24EA90C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631A4CC" w14:textId="57B4ECE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98BFCF3" w14:textId="786FB98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A73E420" w14:textId="1674CAD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B035E31" w14:textId="494782B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B414AF9" w14:textId="1DE5609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152537B7" w14:textId="77777777" w:rsidTr="009E3CA4">
        <w:trPr>
          <w:trHeight w:val="233"/>
        </w:trPr>
        <w:tc>
          <w:tcPr>
            <w:tcW w:w="715" w:type="dxa"/>
            <w:shd w:val="clear" w:color="auto" w:fill="auto"/>
            <w:vAlign w:val="bottom"/>
          </w:tcPr>
          <w:p w14:paraId="14B68932" w14:textId="56A206B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9B9FF68" w14:textId="06ED30C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6:c.C626T:p.T209M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F88141F" w14:textId="040B1F9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d251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278ACDA" w14:textId="2DCAEAE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8BD487" w14:textId="3A434D7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16514C3" w14:textId="0F96204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DDA4EE3" w14:textId="4147574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B113054" w14:textId="413DF5C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D780CDC" w14:textId="05B40C5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619247FC" w14:textId="4F16816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3E0763F" w14:textId="3A9AA46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524D157B" w14:textId="77777777" w:rsidTr="009E3CA4">
        <w:trPr>
          <w:trHeight w:val="215"/>
        </w:trPr>
        <w:tc>
          <w:tcPr>
            <w:tcW w:w="715" w:type="dxa"/>
            <w:shd w:val="clear" w:color="auto" w:fill="auto"/>
            <w:vAlign w:val="bottom"/>
          </w:tcPr>
          <w:p w14:paraId="4FD71F60" w14:textId="2D45719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ADB930D" w14:textId="6D24ADF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6:c.C645G:p.Y215X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4A4FFCA" w14:textId="6E2B4A0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d699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8F5A659" w14:textId="42A4F80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F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2FB867D" w14:textId="0934B1F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663414C" w14:textId="0B6EAD0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8CD0348" w14:textId="553825F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03D8F7" w14:textId="569A151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AA76694" w14:textId="29105EE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Negative GAD, islet, and insulin 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317165B" w14:textId="7D04252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77C16BAF" w14:textId="693A4D0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13AE6CEA" w14:textId="77777777" w:rsidTr="009E3CA4">
        <w:trPr>
          <w:trHeight w:val="197"/>
        </w:trPr>
        <w:tc>
          <w:tcPr>
            <w:tcW w:w="715" w:type="dxa"/>
            <w:shd w:val="clear" w:color="auto" w:fill="auto"/>
            <w:vAlign w:val="bottom"/>
          </w:tcPr>
          <w:p w14:paraId="723DE1BA" w14:textId="282017B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B0998CD" w14:textId="32D494C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6:c.T658A:p.C220S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A37D09B" w14:textId="2ACA223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d867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4AA5DF" w14:textId="62C440C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CCA3480" w14:textId="6BC17D3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44D0031" w14:textId="547216E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90D5501" w14:textId="2A22EDE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F82F549" w14:textId="5A0431B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E08B6E6" w14:textId="5326BD4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insulin, and islet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F5D9D67" w14:textId="34AA5D0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56C3808" w14:textId="25AF418E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3DF69428" w14:textId="77777777" w:rsidTr="009E3CA4">
        <w:trPr>
          <w:trHeight w:val="278"/>
        </w:trPr>
        <w:tc>
          <w:tcPr>
            <w:tcW w:w="715" w:type="dxa"/>
            <w:shd w:val="clear" w:color="auto" w:fill="auto"/>
            <w:vAlign w:val="bottom"/>
          </w:tcPr>
          <w:p w14:paraId="259516F7" w14:textId="7CFDCFE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39EBFEB" w14:textId="2423257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6:c.C660A:p.C220X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35916E" w14:textId="6CBCAAE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d927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E191ADB" w14:textId="64D81F4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427FAA1" w14:textId="423272B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CC6DFBC" w14:textId="58857F2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48202D8" w14:textId="0448486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AB3E03F" w14:textId="0DD8A45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1AED189" w14:textId="1858C68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0AA97054" w14:textId="2E1B23F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1470E26" w14:textId="20A853F3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05F837FF" w14:textId="77777777" w:rsidTr="009E3CA4">
        <w:trPr>
          <w:trHeight w:val="251"/>
        </w:trPr>
        <w:tc>
          <w:tcPr>
            <w:tcW w:w="715" w:type="dxa"/>
            <w:shd w:val="clear" w:color="auto" w:fill="auto"/>
            <w:vAlign w:val="bottom"/>
          </w:tcPr>
          <w:p w14:paraId="379E9FE5" w14:textId="1F96B11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B68D41B" w14:textId="54B37E8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7:c.C683T:p.T228M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9DE753" w14:textId="791E86F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d638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7C03AFC" w14:textId="6F07292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4A3BB9A" w14:textId="5DFE2FD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860C58F" w14:textId="1386ACA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387C4C9" w14:textId="4505A29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A951197" w14:textId="721ECE7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3D074AC" w14:textId="3631801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islet and GAD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F18A168" w14:textId="7631EE7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EF4F217" w14:textId="7496AF4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640DF4C3" w14:textId="77777777" w:rsidTr="009E3CA4">
        <w:trPr>
          <w:trHeight w:val="56"/>
        </w:trPr>
        <w:tc>
          <w:tcPr>
            <w:tcW w:w="715" w:type="dxa"/>
            <w:shd w:val="clear" w:color="auto" w:fill="auto"/>
            <w:vAlign w:val="bottom"/>
          </w:tcPr>
          <w:p w14:paraId="1E88EABC" w14:textId="7CFD1A5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5A1F183" w14:textId="4689663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7:c.G706A:p.E236K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0BADF72" w14:textId="16AFCF2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d322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1ADC61" w14:textId="1EDBDCA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851F0B" w14:textId="27B2538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704F6D5" w14:textId="1FA01153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47E43BD" w14:textId="636A4BD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AF974F6" w14:textId="2CEC2BE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obese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F08F042" w14:textId="43719AC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74F60D95" w14:textId="6F3EED0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1E7405C4" w14:textId="4C3B232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5C069B76" w14:textId="77777777" w:rsidTr="009E3CA4">
        <w:trPr>
          <w:trHeight w:val="215"/>
        </w:trPr>
        <w:tc>
          <w:tcPr>
            <w:tcW w:w="715" w:type="dxa"/>
            <w:shd w:val="clear" w:color="auto" w:fill="auto"/>
            <w:vAlign w:val="bottom"/>
          </w:tcPr>
          <w:p w14:paraId="0673BE66" w14:textId="051156F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15C1590" w14:textId="6D693ED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7:c.G736A:p.G246R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4B40C3A" w14:textId="20C46DA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d364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A4601E2" w14:textId="7DFC2F6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AC31BC3" w14:textId="5722A57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A0CC774" w14:textId="1158014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74C8F25" w14:textId="38CB77E1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F1C6EC1" w14:textId="78BF830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0D1ED09" w14:textId="5692FC8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and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07F1CC2" w14:textId="54927A8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777EF193" w14:textId="1273E3A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209DC313" w14:textId="77777777" w:rsidTr="009E3CA4">
        <w:trPr>
          <w:trHeight w:val="197"/>
        </w:trPr>
        <w:tc>
          <w:tcPr>
            <w:tcW w:w="715" w:type="dxa"/>
            <w:shd w:val="clear" w:color="auto" w:fill="auto"/>
            <w:vAlign w:val="bottom"/>
          </w:tcPr>
          <w:p w14:paraId="0486D443" w14:textId="69F9E24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389D260" w14:textId="38490F9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7:c.G773A:p.G258D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9588405" w14:textId="088071E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d124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3CD70CE" w14:textId="7114043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B6D897F" w14:textId="2BA9565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4408DF4" w14:textId="2D2070A0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B9281B0" w14:textId="508D6F5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E8611AF" w14:textId="6203C4E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8612AC3" w14:textId="578E11E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62B2398E" w14:textId="30E630E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A56D7B2" w14:textId="09EE77D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18FCC0E9" w14:textId="77777777" w:rsidTr="00F65184">
        <w:trPr>
          <w:trHeight w:val="251"/>
        </w:trPr>
        <w:tc>
          <w:tcPr>
            <w:tcW w:w="715" w:type="dxa"/>
            <w:shd w:val="clear" w:color="auto" w:fill="auto"/>
            <w:vAlign w:val="bottom"/>
          </w:tcPr>
          <w:p w14:paraId="5F516998" w14:textId="2A7AACB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14CE72D" w14:textId="2F71D7B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7:c.G775A:p.A259T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E4D85F6" w14:textId="41D8117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d937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F18F553" w14:textId="6EE4D0B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B884B85" w14:textId="1DFD6B8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two or more races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6C5E30B" w14:textId="3E9D3CB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0A3D989" w14:textId="312FB1D8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8DD53FB" w14:textId="11151A7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DEB9DB9" w14:textId="7B005A3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and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30E9E5F" w14:textId="2C7A7B2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2DE6606" w14:textId="6B75FB7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729737C8" w14:textId="77777777" w:rsidTr="009E3CA4">
        <w:trPr>
          <w:trHeight w:val="260"/>
        </w:trPr>
        <w:tc>
          <w:tcPr>
            <w:tcW w:w="715" w:type="dxa"/>
            <w:shd w:val="clear" w:color="auto" w:fill="auto"/>
            <w:vAlign w:val="bottom"/>
          </w:tcPr>
          <w:p w14:paraId="33815E1F" w14:textId="3EB091D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5049CF0" w14:textId="0AC02DC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7:c.G814T:p.E272X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D055637" w14:textId="4F6BA1A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d388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C94A34" w14:textId="1CCE009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5309F01" w14:textId="4D9CCFA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550DBC7" w14:textId="450D181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A0C4937" w14:textId="126A9D1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461C0B5" w14:textId="3DC60BE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52AD803" w14:textId="1A137C7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7ADD976" w14:textId="6F6CE46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37C4CB3" w14:textId="544E929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07D42FD3" w14:textId="77777777" w:rsidTr="009E3CA4">
        <w:trPr>
          <w:trHeight w:val="152"/>
        </w:trPr>
        <w:tc>
          <w:tcPr>
            <w:tcW w:w="715" w:type="dxa"/>
            <w:shd w:val="clear" w:color="auto" w:fill="auto"/>
            <w:vAlign w:val="bottom"/>
          </w:tcPr>
          <w:p w14:paraId="2E43DBCF" w14:textId="0C17EFA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C545A41" w14:textId="34632C2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7:c.A860C:p.Q287P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B176972" w14:textId="7F1A435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d628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3521BD" w14:textId="58243FF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D5C3C01" w14:textId="5B820D2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676E53A" w14:textId="43589E2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A44CD72" w14:textId="05D1AD9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C8A4D0E" w14:textId="1CDF595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0BAE63B" w14:textId="5C44D3D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2D1F3E9A" w14:textId="45495B0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2B15344" w14:textId="744FB40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65CFE59E" w14:textId="77777777" w:rsidTr="009E3CA4">
        <w:trPr>
          <w:trHeight w:val="134"/>
        </w:trPr>
        <w:tc>
          <w:tcPr>
            <w:tcW w:w="715" w:type="dxa"/>
            <w:shd w:val="clear" w:color="auto" w:fill="auto"/>
            <w:vAlign w:val="bottom"/>
          </w:tcPr>
          <w:p w14:paraId="723B5624" w14:textId="13800CE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9648E86" w14:textId="4657425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000162:c.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860+1G&gt;A; splicing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BC96CD" w14:textId="2173B15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AF2146F" w14:textId="1E65F1F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06B79F" w14:textId="64DFA71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0BF2BAC" w14:textId="3BC182D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0FB4850" w14:textId="00672328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312154E" w14:textId="47D09D8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7C82EEB" w14:textId="637ABEE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55BCE88D" w14:textId="008C861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B325ABD" w14:textId="2A01AF5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1B13488E" w14:textId="77777777" w:rsidTr="009E3CA4">
        <w:trPr>
          <w:trHeight w:val="125"/>
        </w:trPr>
        <w:tc>
          <w:tcPr>
            <w:tcW w:w="715" w:type="dxa"/>
            <w:shd w:val="clear" w:color="auto" w:fill="auto"/>
            <w:vAlign w:val="bottom"/>
          </w:tcPr>
          <w:p w14:paraId="73A8B9E2" w14:textId="43B21F4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AF00AFD" w14:textId="197567E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8:c.A872C:p.K291T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5E2575D" w14:textId="317AFAC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d413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73E6140" w14:textId="1C379D0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25C59D" w14:textId="715F7A1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two or more races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71B116B" w14:textId="5A3B130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4781999" w14:textId="1EEC1A5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E7AF9B8" w14:textId="51271C3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ECADA7E" w14:textId="222A3FF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172CD4AA" w14:textId="3A2BBF8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DE73CC6" w14:textId="46BDB7A0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06AA9B8B" w14:textId="77777777" w:rsidTr="009E3CA4">
        <w:trPr>
          <w:trHeight w:val="107"/>
        </w:trPr>
        <w:tc>
          <w:tcPr>
            <w:tcW w:w="715" w:type="dxa"/>
            <w:shd w:val="clear" w:color="auto" w:fill="auto"/>
            <w:vAlign w:val="bottom"/>
          </w:tcPr>
          <w:p w14:paraId="4DD33425" w14:textId="13C8E1D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A845100" w14:textId="55A5ED6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8:c.A872C:p.K291T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1243383" w14:textId="60C5CAB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d566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4D8D924" w14:textId="5D1EDCF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0F2EE4" w14:textId="7EDFA67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786CCF3" w14:textId="139F239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971644F" w14:textId="4FD611AE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E222954" w14:textId="2923895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F98544E" w14:textId="008F8A5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and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1E7178A" w14:textId="2161049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97EF5DB" w14:textId="0EA9C8D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53D13546" w14:textId="77777777" w:rsidTr="009E3CA4">
        <w:trPr>
          <w:trHeight w:val="179"/>
        </w:trPr>
        <w:tc>
          <w:tcPr>
            <w:tcW w:w="715" w:type="dxa"/>
            <w:shd w:val="clear" w:color="auto" w:fill="auto"/>
            <w:vAlign w:val="bottom"/>
          </w:tcPr>
          <w:p w14:paraId="5A1DD3D3" w14:textId="5418882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5542590" w14:textId="64E7315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8:c.T917C:p.L306P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831CBF8" w14:textId="7679853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d115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6ACDF3" w14:textId="14AA610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6BA97C" w14:textId="40D192C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A51DB75" w14:textId="0ACC7B0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15CD014" w14:textId="2642B39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0A74811" w14:textId="00F1308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obese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C845B84" w14:textId="7445E80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CB7984A" w14:textId="5952632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5A5A4335" w14:textId="11C9BEA8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1BF715F7" w14:textId="77777777" w:rsidTr="009E3CA4">
        <w:trPr>
          <w:trHeight w:val="512"/>
        </w:trPr>
        <w:tc>
          <w:tcPr>
            <w:tcW w:w="715" w:type="dxa"/>
            <w:shd w:val="clear" w:color="auto" w:fill="auto"/>
            <w:vAlign w:val="bottom"/>
          </w:tcPr>
          <w:p w14:paraId="1BF5A349" w14:textId="4392269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985EDBA" w14:textId="0F697BF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8:c.G952A:p.G318R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1FDD9FA" w14:textId="2E72DBA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d926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A02AC1" w14:textId="562140F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5950D46" w14:textId="7EE578C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22B0422" w14:textId="7824C91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74A4DB1" w14:textId="5F94A470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89341C3" w14:textId="0012C6B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44EB41B" w14:textId="0A937A8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islet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A601040" w14:textId="0F1CB66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25C5A0B" w14:textId="1854953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</w:tr>
      <w:tr w:rsidR="00F65184" w:rsidRPr="007C44A0" w14:paraId="6406C0DB" w14:textId="77777777" w:rsidTr="009E3CA4">
        <w:trPr>
          <w:trHeight w:val="170"/>
        </w:trPr>
        <w:tc>
          <w:tcPr>
            <w:tcW w:w="715" w:type="dxa"/>
            <w:shd w:val="clear" w:color="auto" w:fill="auto"/>
            <w:vAlign w:val="bottom"/>
          </w:tcPr>
          <w:p w14:paraId="71126085" w14:textId="387EB33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90DCC92" w14:textId="7EF67F9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8:c.T989G:p.F330C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6DD96D" w14:textId="5C22A89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d754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E3B0302" w14:textId="23BAC15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EF70D1" w14:textId="4370C72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4C7DCF6" w14:textId="1346265E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274BDCF" w14:textId="053A91B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3A26C04" w14:textId="6B6C0C2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916A9AD" w14:textId="3089024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5780B9E" w14:textId="02BCF49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96287F6" w14:textId="25FEF0C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02A1EC4C" w14:textId="77777777" w:rsidTr="009E3CA4">
        <w:trPr>
          <w:trHeight w:val="510"/>
        </w:trPr>
        <w:tc>
          <w:tcPr>
            <w:tcW w:w="715" w:type="dxa"/>
            <w:shd w:val="clear" w:color="auto" w:fill="auto"/>
            <w:vAlign w:val="bottom"/>
          </w:tcPr>
          <w:p w14:paraId="72217F40" w14:textId="19339E2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A1BB775" w14:textId="7F1A6EC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NM_000162.exon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1019G&gt;A, splicing.p.S340N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459CB0F" w14:textId="22919F8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d167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3CFEA32" w14:textId="454ECC6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5861A5" w14:textId="1AD1B85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BA6DCD7" w14:textId="487BAAA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B732581" w14:textId="1F02D1D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0B72BA61" w14:textId="7FD9F4D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B64E019" w14:textId="663D1A7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GAD and 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islet  negative</w:t>
            </w:r>
            <w:proofErr w:type="gramEnd"/>
          </w:p>
        </w:tc>
        <w:tc>
          <w:tcPr>
            <w:tcW w:w="810" w:type="dxa"/>
            <w:shd w:val="clear" w:color="auto" w:fill="auto"/>
            <w:vAlign w:val="bottom"/>
          </w:tcPr>
          <w:p w14:paraId="77F5F625" w14:textId="747BC77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1F0EC31" w14:textId="78AA87A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69C86F7C" w14:textId="77777777" w:rsidTr="009E3CA4">
        <w:trPr>
          <w:trHeight w:val="314"/>
        </w:trPr>
        <w:tc>
          <w:tcPr>
            <w:tcW w:w="715" w:type="dxa"/>
            <w:shd w:val="clear" w:color="auto" w:fill="auto"/>
            <w:vAlign w:val="bottom"/>
          </w:tcPr>
          <w:p w14:paraId="18F2C095" w14:textId="23E0211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3D2C49C" w14:textId="3CB08EF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9:c.T1121C:p.V374A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7CD7328" w14:textId="7B549AA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d148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C7A13E" w14:textId="29639A9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881ADF4" w14:textId="04945E6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two or more races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1FB28BA" w14:textId="5382983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B566586" w14:textId="114D0E1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C81AC8E" w14:textId="3734959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5C5AC7D" w14:textId="02E6294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2B76F647" w14:textId="5ECE818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0DD2C47C" w14:textId="1A3117E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507D5B2B" w14:textId="77777777" w:rsidTr="009E3CA4">
        <w:trPr>
          <w:trHeight w:val="287"/>
        </w:trPr>
        <w:tc>
          <w:tcPr>
            <w:tcW w:w="715" w:type="dxa"/>
            <w:shd w:val="clear" w:color="auto" w:fill="auto"/>
            <w:vAlign w:val="bottom"/>
          </w:tcPr>
          <w:p w14:paraId="4969C8DB" w14:textId="1D2B6DF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lastRenderedPageBreak/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A4B471B" w14:textId="579E018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9:c.C1124A:p.S375Y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4F3D6F0" w14:textId="085134D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d205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89800B" w14:textId="78CDAAE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B01EB14" w14:textId="3624601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3A44A3E" w14:textId="6029161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0C0D643" w14:textId="1F31DF03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0E8827D" w14:textId="17C7DE4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2E2A717" w14:textId="3843138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 neg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C30E13E" w14:textId="3A41284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1A3DD0BB" w14:textId="70B3646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</w:tr>
      <w:tr w:rsidR="00F65184" w:rsidRPr="007C44A0" w14:paraId="777F1880" w14:textId="77777777" w:rsidTr="009E3CA4">
        <w:trPr>
          <w:trHeight w:val="179"/>
        </w:trPr>
        <w:tc>
          <w:tcPr>
            <w:tcW w:w="715" w:type="dxa"/>
            <w:shd w:val="clear" w:color="auto" w:fill="auto"/>
            <w:vAlign w:val="bottom"/>
          </w:tcPr>
          <w:p w14:paraId="741F542A" w14:textId="4783BA0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0ECBD66" w14:textId="074AE09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9:c.C1148G:p.S383W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52AF2DB" w14:textId="2BE8BDD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d182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BB39EB1" w14:textId="1895F6F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4DBABB0" w14:textId="5C8A722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other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A567268" w14:textId="7FD40C81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16FAFBD" w14:textId="04F0BBE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4B5A2BB" w14:textId="501A1A5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73094D5" w14:textId="03CCB11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 and islet neg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DCA925C" w14:textId="77C7F94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F5DAB3C" w14:textId="4DB3E4A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2FDDB67A" w14:textId="77777777" w:rsidTr="009E3CA4">
        <w:trPr>
          <w:trHeight w:val="170"/>
        </w:trPr>
        <w:tc>
          <w:tcPr>
            <w:tcW w:w="715" w:type="dxa"/>
            <w:shd w:val="clear" w:color="auto" w:fill="auto"/>
            <w:vAlign w:val="bottom"/>
          </w:tcPr>
          <w:p w14:paraId="61DBE281" w14:textId="01C392C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B8D6061" w14:textId="08F53D0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9:c.T1178C:p.M393T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B74A33" w14:textId="0943882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2134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7A63BA6" w14:textId="644F4E7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F4B4731" w14:textId="05E67FB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5F6EE41" w14:textId="2AFF669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, but as child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D1F0A15" w14:textId="450500E1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AD292A1" w14:textId="46EDE78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B5023DE" w14:textId="06369B3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and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C7D05BE" w14:textId="4DA4597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73521ADE" w14:textId="3509059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34FE853E" w14:textId="77777777" w:rsidTr="009E3CA4">
        <w:trPr>
          <w:trHeight w:val="152"/>
        </w:trPr>
        <w:tc>
          <w:tcPr>
            <w:tcW w:w="715" w:type="dxa"/>
            <w:shd w:val="clear" w:color="auto" w:fill="auto"/>
            <w:vAlign w:val="bottom"/>
          </w:tcPr>
          <w:p w14:paraId="67AE3BA9" w14:textId="22D84ED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233BE54" w14:textId="4D24B2C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9:c.G1225C:p.D409H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61960A0" w14:textId="3FFC111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d895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69CB83D" w14:textId="63A977B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554B508" w14:textId="04E6005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DB1C893" w14:textId="753CF68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86892FC" w14:textId="61539AF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EDB9062" w14:textId="53CFA0C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83EDA57" w14:textId="6F438D9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5E4B142B" w14:textId="32593D1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0151AA4A" w14:textId="248A9B2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7FCB1EB1" w14:textId="77777777" w:rsidTr="009E3CA4">
        <w:trPr>
          <w:trHeight w:val="224"/>
        </w:trPr>
        <w:tc>
          <w:tcPr>
            <w:tcW w:w="715" w:type="dxa"/>
            <w:shd w:val="clear" w:color="auto" w:fill="auto"/>
            <w:vAlign w:val="bottom"/>
          </w:tcPr>
          <w:p w14:paraId="234A6362" w14:textId="4C9E2C3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7D36CFE" w14:textId="44B8771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10:c.1261delG:p.E421fs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5095249" w14:textId="467477C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d397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A67C15" w14:textId="0DF581E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AF308FE" w14:textId="763AAB6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8ACF088" w14:textId="59E28A0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D947FC6" w14:textId="4574672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4F6BE20" w14:textId="01D196A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underweight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8E89A61" w14:textId="4BFF505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1E776364" w14:textId="2D628A8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52CB93C" w14:textId="167F48F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5693AC57" w14:textId="77777777" w:rsidTr="009E3CA4">
        <w:trPr>
          <w:trHeight w:val="296"/>
        </w:trPr>
        <w:tc>
          <w:tcPr>
            <w:tcW w:w="715" w:type="dxa"/>
            <w:shd w:val="clear" w:color="auto" w:fill="auto"/>
            <w:vAlign w:val="bottom"/>
          </w:tcPr>
          <w:p w14:paraId="2E655BB8" w14:textId="315B4B8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17C7F95" w14:textId="5777728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9:c.1735_1736insCGGCATCCAGCACCTGC:p.Q579fs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373386" w14:textId="65F8E96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d410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0C05E99" w14:textId="57E86F1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F9B410" w14:textId="7DD411C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C7DACE7" w14:textId="63C5506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C5F1ADE" w14:textId="4EEEA0B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796A7B7" w14:textId="047880C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9ACF512" w14:textId="33C4718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 and islet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B4261FF" w14:textId="588D270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5CB63ECA" w14:textId="53BCDBD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5C57CBBA" w14:textId="77777777" w:rsidTr="009E3CA4">
        <w:trPr>
          <w:trHeight w:val="107"/>
        </w:trPr>
        <w:tc>
          <w:tcPr>
            <w:tcW w:w="715" w:type="dxa"/>
            <w:shd w:val="clear" w:color="auto" w:fill="auto"/>
            <w:vAlign w:val="bottom"/>
          </w:tcPr>
          <w:p w14:paraId="7A476117" w14:textId="4FD63D3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F64A73E" w14:textId="7D8D938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1:c.G214T:p.D72Y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370C0F9" w14:textId="4E6BEB8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d709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7A80D4A" w14:textId="672B239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5129B0A" w14:textId="4E6FE23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two or more races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5D2893B" w14:textId="4D6877FD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8E7518E" w14:textId="34DD23E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30AC78" w14:textId="539B8B3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obese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F556969" w14:textId="3E86BB6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7AB9B79C" w14:textId="688D8D0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1C5CD0A" w14:textId="1967194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0D7F2DEA" w14:textId="77777777" w:rsidTr="009E3CA4">
        <w:trPr>
          <w:trHeight w:val="359"/>
        </w:trPr>
        <w:tc>
          <w:tcPr>
            <w:tcW w:w="715" w:type="dxa"/>
            <w:shd w:val="clear" w:color="auto" w:fill="auto"/>
            <w:vAlign w:val="bottom"/>
          </w:tcPr>
          <w:p w14:paraId="2F2F8945" w14:textId="2DBBA54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DB1E8B8" w14:textId="7E778AF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3:c.C598T:p.R200W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D39ADB7" w14:textId="5CDE1C8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d688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8CA1B45" w14:textId="24B7384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C852572" w14:textId="2AB4008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AFA582A" w14:textId="69573083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114FD41" w14:textId="313DD10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4470B7" w14:textId="26D2323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5A50EF9" w14:textId="18812DB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83C2EEA" w14:textId="1A40D4F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7E09349" w14:textId="4437756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17CDDD43" w14:textId="77777777" w:rsidTr="009E3CA4">
        <w:trPr>
          <w:trHeight w:val="251"/>
        </w:trPr>
        <w:tc>
          <w:tcPr>
            <w:tcW w:w="715" w:type="dxa"/>
            <w:shd w:val="clear" w:color="auto" w:fill="auto"/>
            <w:vAlign w:val="bottom"/>
          </w:tcPr>
          <w:p w14:paraId="63112E0A" w14:textId="74108CC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25203324" w14:textId="26C0100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3:c.C598T:p.R200W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56A911" w14:textId="7A830A2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d876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AA0EBD6" w14:textId="073BB7E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84317B" w14:textId="3251F2C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C6B1320" w14:textId="58281813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2C98B7E" w14:textId="0041CCC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8F92496" w14:textId="24BF236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8FD50BA" w14:textId="318BA3D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290EDF4A" w14:textId="3D81E02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A98ED21" w14:textId="3A804C3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0CA28C44" w14:textId="77777777" w:rsidTr="009E3CA4">
        <w:trPr>
          <w:trHeight w:val="224"/>
        </w:trPr>
        <w:tc>
          <w:tcPr>
            <w:tcW w:w="715" w:type="dxa"/>
            <w:shd w:val="clear" w:color="auto" w:fill="auto"/>
            <w:vAlign w:val="bottom"/>
          </w:tcPr>
          <w:p w14:paraId="4FAE17C0" w14:textId="52D12B1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4D1F45E" w14:textId="6885D22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3:c.T611A:p.F204Y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598AF42" w14:textId="6E1BD2A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d850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D887382" w14:textId="631BDD5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6C417B8" w14:textId="2EE86D8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BCED15A" w14:textId="2C47915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8422591" w14:textId="0A180E7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CA7E42C" w14:textId="13F4F2A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FE9442E" w14:textId="45F12BE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 cell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2E9442C" w14:textId="0E15BCB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9E90CF2" w14:textId="72F644B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46D6A0D5" w14:textId="77777777" w:rsidTr="009E3CA4">
        <w:trPr>
          <w:trHeight w:val="296"/>
        </w:trPr>
        <w:tc>
          <w:tcPr>
            <w:tcW w:w="715" w:type="dxa"/>
            <w:shd w:val="clear" w:color="auto" w:fill="auto"/>
            <w:vAlign w:val="bottom"/>
          </w:tcPr>
          <w:p w14:paraId="52EBC9D8" w14:textId="4FBFD70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AAB45B3" w14:textId="002C24F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4:c.G812A:p.R271Q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79DC2E3" w14:textId="1337499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d497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A4A56A7" w14:textId="181B30D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EB3CDA" w14:textId="112BB1B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B8A5E86" w14:textId="6B12080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65900BD" w14:textId="4EBA064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F7E2622" w14:textId="3FA76F6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589A72B" w14:textId="3A2D976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5CDED4AB" w14:textId="7CCE899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B9178DD" w14:textId="1A80BE73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5DBDF048" w14:textId="77777777" w:rsidTr="009E3CA4">
        <w:trPr>
          <w:trHeight w:val="278"/>
        </w:trPr>
        <w:tc>
          <w:tcPr>
            <w:tcW w:w="715" w:type="dxa"/>
            <w:shd w:val="clear" w:color="auto" w:fill="auto"/>
            <w:vAlign w:val="bottom"/>
          </w:tcPr>
          <w:p w14:paraId="32E4F09C" w14:textId="0421CC6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3EF535C" w14:textId="11BF33F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4:c.872delC:0p.P291fs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F5DBD39" w14:textId="75E2955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d942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A311484" w14:textId="7ED79E8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7ECD981" w14:textId="68860DB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46103A1" w14:textId="3202BB6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8D50231" w14:textId="04F40F0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EC1EF50" w14:textId="3B39AFC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1069DEB" w14:textId="6735BE3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5E4E947" w14:textId="759ED17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9D64FBD" w14:textId="19F251B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6B27644D" w14:textId="77777777" w:rsidTr="009E3CA4">
        <w:trPr>
          <w:trHeight w:val="170"/>
        </w:trPr>
        <w:tc>
          <w:tcPr>
            <w:tcW w:w="715" w:type="dxa"/>
            <w:shd w:val="clear" w:color="auto" w:fill="auto"/>
            <w:vAlign w:val="bottom"/>
          </w:tcPr>
          <w:p w14:paraId="5AB7E634" w14:textId="40E0DA6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C072FE2" w14:textId="6D40FAB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4:c.872dupC:p.P291fs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AC4C686" w14:textId="41AAD7C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d894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A00B8DB" w14:textId="5B7BC4D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8C0698C" w14:textId="12014DC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89DFE58" w14:textId="6A8EA78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03351AF" w14:textId="6750DEB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BD166A4" w14:textId="57858F9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B5B60AB" w14:textId="6C55C87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0B9857B7" w14:textId="1B76CA3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E69C7EB" w14:textId="3738C02E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65B5E276" w14:textId="77777777" w:rsidTr="009E3CA4">
        <w:trPr>
          <w:trHeight w:val="161"/>
        </w:trPr>
        <w:tc>
          <w:tcPr>
            <w:tcW w:w="715" w:type="dxa"/>
            <w:shd w:val="clear" w:color="auto" w:fill="auto"/>
            <w:vAlign w:val="bottom"/>
          </w:tcPr>
          <w:p w14:paraId="613FC765" w14:textId="5D10A41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6D15D68" w14:textId="11A938A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6:c.1137delT:p.P379fs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8F95852" w14:textId="0A885EC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d891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0BDE6BA" w14:textId="741975A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0495C76" w14:textId="5A7710C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two or more races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96D147A" w14:textId="5F5A96A7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8B75EAA" w14:textId="40650E5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DB79180" w14:textId="17339B3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obese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655AB25" w14:textId="285EF0F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F93ADDD" w14:textId="2A4D009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6F81E833" w14:textId="671C2679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463CD9B9" w14:textId="77777777" w:rsidTr="009E3CA4">
        <w:trPr>
          <w:trHeight w:val="233"/>
        </w:trPr>
        <w:tc>
          <w:tcPr>
            <w:tcW w:w="715" w:type="dxa"/>
            <w:shd w:val="clear" w:color="auto" w:fill="auto"/>
            <w:vAlign w:val="bottom"/>
          </w:tcPr>
          <w:p w14:paraId="0DBDC57A" w14:textId="296B5F8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444D8F6B" w14:textId="09007D4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6:c.1137delT:p.P379fs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83DB41" w14:textId="10A9F60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d248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37F2F38" w14:textId="0C7E097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14352AE" w14:textId="2D52192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EC7C729" w14:textId="03B7B8F4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1304396" w14:textId="2373ED9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639DCD92" w14:textId="5AAE8FB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7E45273" w14:textId="2B2955E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negative islet 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D3BDBA5" w14:textId="7AEAD8A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0C6628EE" w14:textId="1E87B7C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</w:tr>
      <w:tr w:rsidR="00F65184" w:rsidRPr="007C44A0" w14:paraId="704B473D" w14:textId="77777777" w:rsidTr="009E3CA4">
        <w:trPr>
          <w:trHeight w:val="215"/>
        </w:trPr>
        <w:tc>
          <w:tcPr>
            <w:tcW w:w="715" w:type="dxa"/>
            <w:shd w:val="clear" w:color="auto" w:fill="auto"/>
            <w:vAlign w:val="bottom"/>
          </w:tcPr>
          <w:p w14:paraId="27796EF1" w14:textId="791C043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8A1DA21" w14:textId="7F9320F5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7:c.G1501A:p.A501T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3A283C" w14:textId="0510CDD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d175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6267690" w14:textId="7548CEB1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C9F5A63" w14:textId="5E32578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asian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485B6D58" w14:textId="639F544E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67E9997" w14:textId="1D573D5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1D720C7" w14:textId="558D87E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51153EC" w14:textId="1901F39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4CD78A6" w14:textId="28ABBED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99A5212" w14:textId="5FC58B5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12399F3F" w14:textId="77777777" w:rsidTr="009E3CA4">
        <w:trPr>
          <w:trHeight w:val="107"/>
        </w:trPr>
        <w:tc>
          <w:tcPr>
            <w:tcW w:w="715" w:type="dxa"/>
            <w:shd w:val="clear" w:color="auto" w:fill="auto"/>
            <w:vAlign w:val="bottom"/>
          </w:tcPr>
          <w:p w14:paraId="12F8F309" w14:textId="0165038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3906E1E" w14:textId="23AECD8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9:c.1735_1736insCGGCATCCAGCACCTGC:p.Q579fs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6DD6A8A" w14:textId="5CCE28E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d401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74CEA80" w14:textId="5F6D7B5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CCD1D72" w14:textId="72FBE97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3EF7C73" w14:textId="3DD8CDE1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586200B" w14:textId="754E0B2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5881ECA" w14:textId="0DEC917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211E83A" w14:textId="194CA9D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reportedly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406BF6E" w14:textId="18A9BD0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31EAA7F1" w14:textId="42C67E7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4D539866" w14:textId="77777777" w:rsidTr="009E3CA4">
        <w:trPr>
          <w:trHeight w:val="269"/>
        </w:trPr>
        <w:tc>
          <w:tcPr>
            <w:tcW w:w="715" w:type="dxa"/>
            <w:shd w:val="clear" w:color="auto" w:fill="auto"/>
            <w:vAlign w:val="bottom"/>
          </w:tcPr>
          <w:p w14:paraId="479EED6E" w14:textId="119D63EE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70781FC" w14:textId="0C6B562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10:c.T1885G:p.S629A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6125F0A" w14:textId="7B2ED5A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d199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9D4C8D6" w14:textId="024B060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29C182" w14:textId="0645FC87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23F19D87" w14:textId="749B1B4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734FCEB" w14:textId="45D8F9AC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6D771AE" w14:textId="048486A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230DD6D" w14:textId="54E6CA6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07AB87CD" w14:textId="09E0603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5A8577D9" w14:textId="76936BDA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33582064" w14:textId="77777777" w:rsidTr="009E3CA4">
        <w:trPr>
          <w:trHeight w:val="170"/>
        </w:trPr>
        <w:tc>
          <w:tcPr>
            <w:tcW w:w="715" w:type="dxa"/>
            <w:shd w:val="clear" w:color="auto" w:fill="auto"/>
            <w:vAlign w:val="bottom"/>
          </w:tcPr>
          <w:p w14:paraId="1B0A4F5B" w14:textId="084EABB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HNF1B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59328C7" w14:textId="3912644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000458:exon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4:c.A913G:p.K305E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9904884" w14:textId="4387547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d829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F3AAAED" w14:textId="0CBBEBC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8BBF7B4" w14:textId="5FCBCD0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E1A714F" w14:textId="273D4CFB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779B106" w14:textId="3B4A216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7.4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2891E67" w14:textId="6F22847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Unknown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1602C7D" w14:textId="25F181D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 and islet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1976D70" w14:textId="5FCEE93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94E13BE" w14:textId="76EA6FF6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</w:tr>
      <w:tr w:rsidR="00F65184" w:rsidRPr="007C44A0" w14:paraId="6EB3B231" w14:textId="77777777" w:rsidTr="009E3CA4">
        <w:trPr>
          <w:trHeight w:val="53"/>
        </w:trPr>
        <w:tc>
          <w:tcPr>
            <w:tcW w:w="715" w:type="dxa"/>
            <w:shd w:val="clear" w:color="auto" w:fill="auto"/>
            <w:vAlign w:val="bottom"/>
          </w:tcPr>
          <w:p w14:paraId="56DF5C6E" w14:textId="2357A22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HNF4A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1E9BDB7" w14:textId="71341D2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000457:exon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3:c.A376T:p.K126X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F1FFE3C" w14:textId="5D7F81D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d771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968F4B9" w14:textId="0333AD0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A814E80" w14:textId="44010EEC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Hispanic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3DAD508D" w14:textId="4034A682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CF81913" w14:textId="3EE4A191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14E6BE4E" w14:textId="64EADC6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31F65FD" w14:textId="74A87332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GAD, islet, and insulin negative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169888D5" w14:textId="3ADAC1F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Y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74C618D6" w14:textId="1AA269D0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</w:tr>
      <w:tr w:rsidR="00F65184" w:rsidRPr="007C44A0" w14:paraId="75FC0BDC" w14:textId="77777777" w:rsidTr="009E3CA4">
        <w:trPr>
          <w:trHeight w:val="215"/>
        </w:trPr>
        <w:tc>
          <w:tcPr>
            <w:tcW w:w="715" w:type="dxa"/>
            <w:shd w:val="clear" w:color="auto" w:fill="auto"/>
            <w:vAlign w:val="bottom"/>
          </w:tcPr>
          <w:p w14:paraId="7EC7E3BB" w14:textId="28DC1A5F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KCNJ11 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578665B" w14:textId="6F55231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000525:exon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1:c.G685A:p.E229K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6FBA0C8" w14:textId="605BCF4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d731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E53C576" w14:textId="4DB4449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ECB3188" w14:textId="0BDC42C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4381D61" w14:textId="65F2BC48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7CBC629" w14:textId="7CBE1461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7E0E60" w14:textId="3A7970C4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overweight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1FA5FE8" w14:textId="5B3DE6B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7D3DF163" w14:textId="4BF48EEA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4C626651" w14:textId="001B92D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409C1DC0" w14:textId="77777777" w:rsidTr="009E3CA4">
        <w:trPr>
          <w:trHeight w:val="260"/>
        </w:trPr>
        <w:tc>
          <w:tcPr>
            <w:tcW w:w="715" w:type="dxa"/>
            <w:shd w:val="clear" w:color="auto" w:fill="auto"/>
            <w:vAlign w:val="bottom"/>
          </w:tcPr>
          <w:p w14:paraId="61600057" w14:textId="7A773203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PDX1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AF9E88A" w14:textId="60319E96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000209:exon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1:c.93delC:p.S31fs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5AD54B" w14:textId="40A03970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d650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7B56BF2" w14:textId="6A488269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FB0A9D" w14:textId="2EF6418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Caucasian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AD311DC" w14:textId="2D41B805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E61032F" w14:textId="49B10688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AC3E908" w14:textId="6A903BF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8CFB245" w14:textId="36E001CB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nd</w:t>
            </w:r>
            <w:proofErr w:type="spellEnd"/>
          </w:p>
        </w:tc>
        <w:tc>
          <w:tcPr>
            <w:tcW w:w="810" w:type="dxa"/>
            <w:shd w:val="clear" w:color="auto" w:fill="auto"/>
            <w:vAlign w:val="bottom"/>
          </w:tcPr>
          <w:p w14:paraId="12F6DD28" w14:textId="1C805D1D" w:rsidR="00F65184" w:rsidRPr="007C44A0" w:rsidRDefault="00F65184" w:rsidP="00F6518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</w:t>
            </w:r>
          </w:p>
        </w:tc>
        <w:tc>
          <w:tcPr>
            <w:tcW w:w="895" w:type="dxa"/>
            <w:shd w:val="clear" w:color="auto" w:fill="auto"/>
            <w:vAlign w:val="bottom"/>
          </w:tcPr>
          <w:p w14:paraId="238F0413" w14:textId="0380E6FF" w:rsidR="00F65184" w:rsidRPr="007C44A0" w:rsidRDefault="00F65184" w:rsidP="00F6518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</w:tbl>
    <w:p w14:paraId="402E2837" w14:textId="77777777" w:rsidR="003E40E0" w:rsidRPr="003E40E0" w:rsidRDefault="003E40E0" w:rsidP="003E40E0">
      <w:pPr>
        <w:pStyle w:val="ListParagraph"/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3E40E0">
        <w:rPr>
          <w:rFonts w:ascii="Arial Narrow" w:hAnsi="Arial Narrow"/>
          <w:sz w:val="16"/>
          <w:szCs w:val="16"/>
        </w:rPr>
        <w:t>Supplemental Table 1- Variant Scoring and Interpretation by Proband</w:t>
      </w:r>
    </w:p>
    <w:p w14:paraId="45C99B2D" w14:textId="77777777" w:rsidR="003E40E0" w:rsidRPr="003E40E0" w:rsidRDefault="003E40E0" w:rsidP="003E40E0">
      <w:pPr>
        <w:pStyle w:val="ListParagraph"/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3E40E0">
        <w:rPr>
          <w:rFonts w:ascii="Arial Narrow" w:hAnsi="Arial Narrow"/>
          <w:sz w:val="16"/>
          <w:szCs w:val="16"/>
        </w:rPr>
        <w:t xml:space="preserve">This table characterizes probands and variant scoring by </w:t>
      </w:r>
      <w:proofErr w:type="spellStart"/>
      <w:r w:rsidRPr="003E40E0">
        <w:rPr>
          <w:rFonts w:ascii="Arial Narrow" w:hAnsi="Arial Narrow"/>
          <w:sz w:val="16"/>
          <w:szCs w:val="16"/>
        </w:rPr>
        <w:t>MetaSVM</w:t>
      </w:r>
      <w:proofErr w:type="spellEnd"/>
      <w:r w:rsidRPr="003E40E0">
        <w:rPr>
          <w:rFonts w:ascii="Arial Narrow" w:hAnsi="Arial Narrow"/>
          <w:sz w:val="16"/>
          <w:szCs w:val="16"/>
        </w:rPr>
        <w:t xml:space="preserve">, SIFT, </w:t>
      </w:r>
      <w:proofErr w:type="spellStart"/>
      <w:r w:rsidRPr="003E40E0">
        <w:rPr>
          <w:rFonts w:ascii="Arial Narrow" w:hAnsi="Arial Narrow"/>
          <w:sz w:val="16"/>
          <w:szCs w:val="16"/>
        </w:rPr>
        <w:t>Polyphen</w:t>
      </w:r>
      <w:proofErr w:type="spellEnd"/>
      <w:r w:rsidRPr="003E40E0">
        <w:rPr>
          <w:rFonts w:ascii="Arial Narrow" w:hAnsi="Arial Narrow"/>
          <w:sz w:val="16"/>
          <w:szCs w:val="16"/>
        </w:rPr>
        <w:t xml:space="preserve"> 2, Mutation </w:t>
      </w:r>
      <w:proofErr w:type="spellStart"/>
      <w:r w:rsidRPr="003E40E0">
        <w:rPr>
          <w:rFonts w:ascii="Arial Narrow" w:hAnsi="Arial Narrow"/>
          <w:sz w:val="16"/>
          <w:szCs w:val="16"/>
        </w:rPr>
        <w:t>Asessor</w:t>
      </w:r>
      <w:proofErr w:type="spellEnd"/>
      <w:r w:rsidRPr="003E40E0">
        <w:rPr>
          <w:rFonts w:ascii="Arial Narrow" w:hAnsi="Arial Narrow"/>
          <w:sz w:val="16"/>
          <w:szCs w:val="16"/>
        </w:rPr>
        <w:t xml:space="preserve">, Mutation Taster, GERP++, CADD store, and ACMG </w:t>
      </w:r>
      <w:proofErr w:type="gramStart"/>
      <w:r w:rsidRPr="003E40E0">
        <w:rPr>
          <w:rFonts w:ascii="Arial Narrow" w:hAnsi="Arial Narrow"/>
          <w:sz w:val="16"/>
          <w:szCs w:val="16"/>
        </w:rPr>
        <w:t>classification</w:t>
      </w:r>
      <w:proofErr w:type="gramEnd"/>
    </w:p>
    <w:p w14:paraId="6252D4FA" w14:textId="77777777" w:rsidR="004B6DAF" w:rsidRDefault="003E40E0" w:rsidP="003E40E0">
      <w:pPr>
        <w:pStyle w:val="ListParagraph"/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proofErr w:type="spellStart"/>
      <w:r w:rsidRPr="003E40E0">
        <w:rPr>
          <w:rFonts w:ascii="Arial Narrow" w:hAnsi="Arial Narrow"/>
          <w:sz w:val="16"/>
          <w:szCs w:val="16"/>
        </w:rPr>
        <w:t>nd</w:t>
      </w:r>
      <w:proofErr w:type="spellEnd"/>
      <w:r w:rsidRPr="003E40E0">
        <w:rPr>
          <w:rFonts w:ascii="Arial Narrow" w:hAnsi="Arial Narrow"/>
          <w:sz w:val="16"/>
          <w:szCs w:val="16"/>
        </w:rPr>
        <w:t>= not documented</w:t>
      </w:r>
    </w:p>
    <w:p w14:paraId="1EC16D8A" w14:textId="2EF57A6B" w:rsidR="00DB6E30" w:rsidRDefault="00DB6E30">
      <w:pPr>
        <w:rPr>
          <w:rFonts w:ascii="Arial Narrow" w:hAnsi="Arial Narrow"/>
          <w:sz w:val="16"/>
          <w:szCs w:val="16"/>
        </w:rPr>
      </w:pPr>
    </w:p>
    <w:p w14:paraId="1A662919" w14:textId="5C436FD5" w:rsidR="007C44A0" w:rsidRDefault="007C44A0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7D93FE20" w14:textId="77777777" w:rsidR="003E40E0" w:rsidRPr="00BC4193" w:rsidRDefault="00DB6E30">
      <w:pPr>
        <w:rPr>
          <w:rFonts w:cstheme="minorHAnsi"/>
          <w:b/>
        </w:rPr>
      </w:pPr>
      <w:r w:rsidRPr="00BC4193">
        <w:rPr>
          <w:rFonts w:cstheme="minorHAnsi"/>
          <w:b/>
        </w:rPr>
        <w:lastRenderedPageBreak/>
        <w:t>Supplemental Table 1 Extension: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900"/>
        <w:gridCol w:w="900"/>
        <w:gridCol w:w="2430"/>
        <w:gridCol w:w="991"/>
        <w:gridCol w:w="1439"/>
        <w:gridCol w:w="489"/>
        <w:gridCol w:w="501"/>
        <w:gridCol w:w="630"/>
        <w:gridCol w:w="630"/>
      </w:tblGrid>
      <w:tr w:rsidR="00FF3D8A" w:rsidRPr="007C44A0" w14:paraId="7FC776A9" w14:textId="77777777" w:rsidTr="00420317">
        <w:trPr>
          <w:cantSplit/>
          <w:trHeight w:val="260"/>
          <w:tblHeader/>
        </w:trPr>
        <w:tc>
          <w:tcPr>
            <w:tcW w:w="715" w:type="dxa"/>
            <w:shd w:val="clear" w:color="auto" w:fill="auto"/>
            <w:vAlign w:val="bottom"/>
            <w:hideMark/>
          </w:tcPr>
          <w:p w14:paraId="31891E44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Gene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45AEE4B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Variant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F749A0C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Family History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746A04B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Number of Family Members Genetically Tested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0B80203C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Citation in Past Studies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4D61601C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ACMG classification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BB0E27F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ACMG criteria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BEDF130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MetaSVM</w:t>
            </w:r>
            <w:proofErr w:type="spellEnd"/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324A8A1E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SIFT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A165E8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Poly-Phen2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CF5A48" w14:textId="77777777" w:rsidR="00FF3D8A" w:rsidRPr="007C44A0" w:rsidRDefault="00FF3D8A" w:rsidP="00FF3D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</w:pPr>
            <w:r w:rsidRPr="007C44A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</w:rPr>
              <w:t>CADD score</w:t>
            </w:r>
          </w:p>
        </w:tc>
      </w:tr>
      <w:tr w:rsidR="00F65184" w:rsidRPr="007C44A0" w14:paraId="53101C39" w14:textId="77777777" w:rsidTr="00420317">
        <w:trPr>
          <w:cantSplit/>
          <w:trHeight w:val="953"/>
        </w:trPr>
        <w:tc>
          <w:tcPr>
            <w:tcW w:w="715" w:type="dxa"/>
            <w:shd w:val="clear" w:color="auto" w:fill="auto"/>
            <w:vAlign w:val="bottom"/>
            <w:hideMark/>
          </w:tcPr>
          <w:p w14:paraId="22203100" w14:textId="022B5F2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8048D5D" w14:textId="68C992A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2:c.T56A:p.I19N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1B003BF" w14:textId="37F2094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88CA3DC" w14:textId="653752F1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676F0F0" w14:textId="40B0D22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Estalella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I, Rica I, Perez de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Nanclares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Bilbao JR, Vazquez JA, San Pedro JI, et al. Mutations in GCK and HNF-1alpha explain 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the majority of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cases with clinical diagnosis of MODY in Spain. Clin Endocrinol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Oxf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). 2007 Oct;67(4):538-46.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C05DBA3" w14:textId="5438497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7C7DBC0" w14:textId="450F9C9F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9461F02" w14:textId="0A0897D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220436D" w14:textId="139694C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C7932E" w14:textId="46211EE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65F260" w14:textId="0EF65D04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25</w:t>
            </w:r>
          </w:p>
        </w:tc>
      </w:tr>
      <w:tr w:rsidR="00F65184" w:rsidRPr="007C44A0" w14:paraId="514F3CA5" w14:textId="77777777" w:rsidTr="00420317">
        <w:trPr>
          <w:cantSplit/>
          <w:trHeight w:val="647"/>
        </w:trPr>
        <w:tc>
          <w:tcPr>
            <w:tcW w:w="715" w:type="dxa"/>
            <w:shd w:val="clear" w:color="auto" w:fill="auto"/>
            <w:vAlign w:val="bottom"/>
            <w:hideMark/>
          </w:tcPr>
          <w:p w14:paraId="2C179E42" w14:textId="29C9524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11F24DE" w14:textId="18C3C5B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2:c.T122C:p.M41T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2D618CA" w14:textId="70FCF3B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A81C371" w14:textId="67A4DA35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4F339985" w14:textId="45A8164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Osbak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KK, Colclough K, Saint-Martin C, Beer NL,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Bellanné-Chantelot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Ellard S, et al. Update on mutations in glucokinase (GCK), which cause maturity-onset diabetes of the young, permanent neonatal diabetes, and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hyperinsulinemic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hypoglycemia. Hum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Mutat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2009 Nov;30(11):1512-26.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09956A7F" w14:textId="38666AB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4423422F" w14:textId="4B2BB22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7AED9D2" w14:textId="6AB5541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9E7117A" w14:textId="159DE05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96340A" w14:textId="1302683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571862" w14:textId="50275706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25.7</w:t>
            </w:r>
          </w:p>
        </w:tc>
      </w:tr>
      <w:tr w:rsidR="00F65184" w:rsidRPr="007C44A0" w14:paraId="697C2097" w14:textId="77777777" w:rsidTr="00420317">
        <w:trPr>
          <w:cantSplit/>
          <w:trHeight w:val="953"/>
        </w:trPr>
        <w:tc>
          <w:tcPr>
            <w:tcW w:w="715" w:type="dxa"/>
            <w:shd w:val="clear" w:color="auto" w:fill="auto"/>
            <w:vAlign w:val="bottom"/>
            <w:hideMark/>
          </w:tcPr>
          <w:p w14:paraId="67D665FF" w14:textId="42B6070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713E299" w14:textId="266F89F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2:c.C127A:p.R43S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0E8BDD5" w14:textId="5E17B01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BC75B56" w14:textId="628FB47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A07CC9A" w14:textId="32C315C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Osbak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KK, Colclough K, Saint-Martin C, Beer NL,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Bellanné-Chantelot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Ellard S, et al. Update on mutations in glucokinase (GCK), which cause maturity-onset diabetes of the young, permanent neonatal diabetes, and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hyperinsulinemic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hypoglycemia. Hum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Mutat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2009 Nov;30(11):1512-26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Gragnoli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Cockburn BN, Chiaramonte F,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Gorini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Marietti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Marozzi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et al. Early-onset Type II diabetes mellitus in Italian families due to mutations in the genes encoding hepatic nuclear factor 1 alpha and glucokinase.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Diabetologia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2001 Oct;44(10):1326-9.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48413265" w14:textId="35BEF90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8372F9A" w14:textId="189139F6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829D16E" w14:textId="61A32A6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0754426E" w14:textId="7A4B7C8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8524CB" w14:textId="033A3D9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E14760" w14:textId="3A2DDC7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31</w:t>
            </w:r>
          </w:p>
        </w:tc>
      </w:tr>
      <w:tr w:rsidR="00F65184" w:rsidRPr="007C44A0" w14:paraId="5E05DBAC" w14:textId="77777777" w:rsidTr="00420317">
        <w:trPr>
          <w:cantSplit/>
          <w:trHeight w:val="557"/>
        </w:trPr>
        <w:tc>
          <w:tcPr>
            <w:tcW w:w="715" w:type="dxa"/>
            <w:shd w:val="clear" w:color="auto" w:fill="auto"/>
            <w:vAlign w:val="bottom"/>
            <w:hideMark/>
          </w:tcPr>
          <w:p w14:paraId="59FB1E4A" w14:textId="070349E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1C5EA22" w14:textId="4375A95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2:c.G130A:p.G44S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0B3C761" w14:textId="4C75927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BF4DACF" w14:textId="60A049D0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B7B19BB" w14:textId="2D73E4A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Gragnoli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Cockburn BN, Chiaramonte F,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Gorini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Marietti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Marozzi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et al. Early-onset Type II diabetes mellitus in Italian families due to mutations in the genes encoding hepatic nuclear factor 1 alpha and glucokinase.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Diabetologia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2001 Oct;44(10):1326-9.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Codner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E, Rocha A, Deng L, Martínez-Aguayo A, Godoy C,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Mericq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V, et al. Mild fasting hyperglycemia in children: high rate of glucokinase mutations and some risk of developing type 1 diabetes mellitus.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Pediatr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Diabetes. 2009 Sep;10(6):382-8.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7C96EF4D" w14:textId="62CDB39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45674B0B" w14:textId="1412027E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6B6B865" w14:textId="3402BCA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ACCB489" w14:textId="0DCA98E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36CE4D" w14:textId="6EC1929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953458" w14:textId="2A6AE520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34</w:t>
            </w:r>
          </w:p>
        </w:tc>
      </w:tr>
      <w:tr w:rsidR="00F65184" w:rsidRPr="007C44A0" w14:paraId="65F53363" w14:textId="77777777" w:rsidTr="00420317">
        <w:trPr>
          <w:cantSplit/>
          <w:trHeight w:val="692"/>
        </w:trPr>
        <w:tc>
          <w:tcPr>
            <w:tcW w:w="715" w:type="dxa"/>
            <w:shd w:val="clear" w:color="auto" w:fill="auto"/>
            <w:vAlign w:val="bottom"/>
            <w:hideMark/>
          </w:tcPr>
          <w:p w14:paraId="21C94F2C" w14:textId="48DF657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2EEFDDC" w14:textId="062021F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2:c.C148T:p.H50Y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58DC792" w14:textId="1E3EBBD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B2E2667" w14:textId="65963DBF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0483E249" w14:textId="55D2D1E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Pollak C F, Lagos L M, Santos M JL, Poggi H,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Urzúa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Rumié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 H. [Diabetes mellitus caused by a mutation of glucokinase gene. Report of an affected family]. Rev Med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Chil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2017 Sep;145(9):1203-7.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528CCC15" w14:textId="2D5E69DA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E7E18FE" w14:textId="61A83EBB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691C089" w14:textId="30F8F7B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0940FC6" w14:textId="780E5C5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2E0E20" w14:textId="659ED7B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E0AA62" w14:textId="1D4E300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26</w:t>
            </w:r>
          </w:p>
        </w:tc>
      </w:tr>
      <w:tr w:rsidR="00F65184" w:rsidRPr="007C44A0" w14:paraId="38468D54" w14:textId="77777777" w:rsidTr="00420317">
        <w:trPr>
          <w:cantSplit/>
          <w:trHeight w:val="215"/>
        </w:trPr>
        <w:tc>
          <w:tcPr>
            <w:tcW w:w="715" w:type="dxa"/>
            <w:shd w:val="clear" w:color="auto" w:fill="auto"/>
            <w:vAlign w:val="bottom"/>
            <w:hideMark/>
          </w:tcPr>
          <w:p w14:paraId="0AC1493D" w14:textId="646631A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4236EB2" w14:textId="1C4D5FE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2:c.A167C:p.K56T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E5A6BB8" w14:textId="19C6F68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DE34F80" w14:textId="665F541F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46DE3A7" w14:textId="7BF4021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56C344C6" w14:textId="60D64B7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C32483B" w14:textId="12E62C4A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009D347" w14:textId="13B8EB8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3FB2E73" w14:textId="5884078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31BB94" w14:textId="2A2930F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F619BE" w14:textId="260E016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27.1</w:t>
            </w:r>
          </w:p>
        </w:tc>
      </w:tr>
      <w:tr w:rsidR="00F65184" w:rsidRPr="007C44A0" w14:paraId="3C189734" w14:textId="77777777" w:rsidTr="00420317">
        <w:trPr>
          <w:cantSplit/>
          <w:trHeight w:val="350"/>
        </w:trPr>
        <w:tc>
          <w:tcPr>
            <w:tcW w:w="715" w:type="dxa"/>
            <w:shd w:val="clear" w:color="auto" w:fill="auto"/>
            <w:vAlign w:val="bottom"/>
            <w:hideMark/>
          </w:tcPr>
          <w:p w14:paraId="05A89A5F" w14:textId="186B9D8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036F399" w14:textId="0058977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3:c.290dupG:p.G97fs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72BFA31" w14:textId="2EB2A29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D29F9D2" w14:textId="0041E0A0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4E61ED31" w14:textId="613787D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DD54D0A" w14:textId="50F9DA77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AF9431D" w14:textId="3272CB0A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7907823" w14:textId="626BE18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C5DD74B" w14:textId="3EBBADC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192666" w14:textId="34E5DBB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E2DBD8" w14:textId="247A3656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  <w:tr w:rsidR="00F65184" w:rsidRPr="007C44A0" w14:paraId="77499B48" w14:textId="77777777" w:rsidTr="00420317">
        <w:trPr>
          <w:cantSplit/>
          <w:trHeight w:val="188"/>
        </w:trPr>
        <w:tc>
          <w:tcPr>
            <w:tcW w:w="715" w:type="dxa"/>
            <w:shd w:val="clear" w:color="auto" w:fill="auto"/>
            <w:vAlign w:val="bottom"/>
            <w:hideMark/>
          </w:tcPr>
          <w:p w14:paraId="166D8667" w14:textId="415F38E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02C9CF19" w14:textId="6C75767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3:c.295delT:p.W99fs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31AB5F8" w14:textId="69F72C9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sibling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2C3B44E" w14:textId="30FE6EB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28E8CA36" w14:textId="6E7BF78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Sanyoura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Letourneau L, Knight Johnson AE, Del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Gaudio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D, Greeley SAW, Philipson LH, et al. GCK-MODY in the US Monogenic Diabetes Registry: Description of 27 unpublished variants. Diabetes Res Clin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Pract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. 2019 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May;151:231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-6.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05A2441A" w14:textId="06FEB5C8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D1B52B1" w14:textId="643E9CF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C402172" w14:textId="184D86A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35007C1" w14:textId="74648E4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463BD2" w14:textId="0EC3614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71D6C9" w14:textId="4AAF0FD7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  <w:tr w:rsidR="00F65184" w:rsidRPr="007C44A0" w14:paraId="2822CD9C" w14:textId="77777777" w:rsidTr="00420317">
        <w:trPr>
          <w:cantSplit/>
          <w:trHeight w:val="782"/>
        </w:trPr>
        <w:tc>
          <w:tcPr>
            <w:tcW w:w="715" w:type="dxa"/>
            <w:shd w:val="clear" w:color="auto" w:fill="auto"/>
            <w:vAlign w:val="bottom"/>
            <w:hideMark/>
          </w:tcPr>
          <w:p w14:paraId="5DD7172F" w14:textId="50B1096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FA153FF" w14:textId="6186CE0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4:c.A388G:p.I130V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B202306" w14:textId="3F3FB6B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AEC584C" w14:textId="6003A1E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08044184" w14:textId="6059E96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265219A1" w14:textId="6ADD6207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6AE0391" w14:textId="7B184C1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CCB8F7E" w14:textId="0277CB1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384CA8FE" w14:textId="3809003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FBF867" w14:textId="2D66772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758958" w14:textId="50691FA9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15.82</w:t>
            </w:r>
          </w:p>
        </w:tc>
      </w:tr>
      <w:tr w:rsidR="00F65184" w:rsidRPr="007C44A0" w14:paraId="6C5481B6" w14:textId="77777777" w:rsidTr="00420317">
        <w:trPr>
          <w:cantSplit/>
          <w:trHeight w:val="56"/>
        </w:trPr>
        <w:tc>
          <w:tcPr>
            <w:tcW w:w="715" w:type="dxa"/>
            <w:shd w:val="clear" w:color="auto" w:fill="auto"/>
            <w:vAlign w:val="bottom"/>
            <w:hideMark/>
          </w:tcPr>
          <w:p w14:paraId="5A36AEF0" w14:textId="2F07C68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EE22226" w14:textId="1C26AE6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4:c.A388G:p.I130V    (Pro29fs)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444FA66" w14:textId="0045740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546F8CB" w14:textId="0E9F5C68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2EC34024" w14:textId="70180BD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38067FE" w14:textId="04AF33C7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4022369E" w14:textId="5C209848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7B961FD7" w14:textId="43D02B8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9507025" w14:textId="74D4420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EB0ACB" w14:textId="3408ACB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09CEEF" w14:textId="08DB361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15.48</w:t>
            </w:r>
          </w:p>
        </w:tc>
      </w:tr>
      <w:tr w:rsidR="00F65184" w:rsidRPr="007C44A0" w14:paraId="545E9A45" w14:textId="77777777" w:rsidTr="00420317">
        <w:trPr>
          <w:cantSplit/>
          <w:trHeight w:val="1124"/>
        </w:trPr>
        <w:tc>
          <w:tcPr>
            <w:tcW w:w="715" w:type="dxa"/>
            <w:shd w:val="clear" w:color="auto" w:fill="auto"/>
            <w:vAlign w:val="bottom"/>
            <w:hideMark/>
          </w:tcPr>
          <w:p w14:paraId="010109A0" w14:textId="3313545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FDADED2" w14:textId="4A75DBB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4:c.A463G:p.R155G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AA2F1C3" w14:textId="0A47863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8219227" w14:textId="459EC46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4AF0CF3A" w14:textId="2C39EB6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George DC, Chakraborty C, Haneef SA,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Nagasundaram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N, Chen L, Zhu H. Evolution- and structure-based computational strategy reveals the impact of deleterious missense mutations on MODY 2 (maturity-onset diabetes of the young, type 2).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Theranostics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2014;4(4):366-85.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34AB931" w14:textId="6263388A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4AF4D77" w14:textId="3AE24B86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43B9EB4" w14:textId="19D92B9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3E443C61" w14:textId="0FC7EA0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CD18AC" w14:textId="67EC229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386A9C" w14:textId="1E86AF64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24.8</w:t>
            </w:r>
          </w:p>
        </w:tc>
      </w:tr>
      <w:tr w:rsidR="00F65184" w:rsidRPr="007C44A0" w14:paraId="5BE3B815" w14:textId="77777777" w:rsidTr="00420317">
        <w:trPr>
          <w:cantSplit/>
          <w:trHeight w:val="620"/>
        </w:trPr>
        <w:tc>
          <w:tcPr>
            <w:tcW w:w="715" w:type="dxa"/>
            <w:shd w:val="clear" w:color="auto" w:fill="auto"/>
            <w:vAlign w:val="bottom"/>
            <w:hideMark/>
          </w:tcPr>
          <w:p w14:paraId="4C511A5D" w14:textId="2ABBF91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lastRenderedPageBreak/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E6D3EB2" w14:textId="6CF45D1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4:c.G478A:p.D160N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00B157F" w14:textId="0BA7822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4447304" w14:textId="0F3A38E4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0FD3E0A" w14:textId="2815A08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454545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Raimondo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Chakera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AJ, Thomsen SK, Colclough K, Barrett A, De Franco E, et al. Phenotypic severity of homozygous GCK mutations causing neonatal or childhood-onset diabetes is primarily mediated through effects on protein stability. Hum Mol Genet. 2014 Dec 15;23(24):6432-40.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7E41DA73" w14:textId="2BECFA5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F665F4B" w14:textId="1A9B7798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562A147" w14:textId="2F01001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3D20340" w14:textId="2072F6D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D37BA6" w14:textId="2CC4515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3B817F" w14:textId="6685F577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27.3</w:t>
            </w:r>
          </w:p>
        </w:tc>
      </w:tr>
      <w:tr w:rsidR="00F65184" w:rsidRPr="007C44A0" w14:paraId="25CAB5CE" w14:textId="77777777" w:rsidTr="00420317">
        <w:trPr>
          <w:cantSplit/>
          <w:trHeight w:val="530"/>
        </w:trPr>
        <w:tc>
          <w:tcPr>
            <w:tcW w:w="715" w:type="dxa"/>
            <w:shd w:val="clear" w:color="auto" w:fill="auto"/>
            <w:vAlign w:val="bottom"/>
            <w:hideMark/>
          </w:tcPr>
          <w:p w14:paraId="4A19DA64" w14:textId="342121A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CDC0338" w14:textId="169CF74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5:c.G544A:p.V182M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F7473D3" w14:textId="390308B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silbling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, grandparents but no parent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18C68DA" w14:textId="10FCC09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729F4F21" w14:textId="04EAC9D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Ellard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Lango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Allen H, De Franco E, Flanagan SE,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Hysenaj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Colclough K, et al. Improved genetic testing for monogenic diabetes using targeted next-generation sequencing.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Diabetologia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2013 Sep;56(9):1958-63.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4ABA051" w14:textId="73CDCEC6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7324308" w14:textId="5C8B1DC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PS1(known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E424A32" w14:textId="3517FDE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0253428" w14:textId="405D641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4ED420" w14:textId="01A0CC5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2C9131" w14:textId="26826CE0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34</w:t>
            </w:r>
          </w:p>
        </w:tc>
      </w:tr>
      <w:tr w:rsidR="00F65184" w:rsidRPr="007C44A0" w14:paraId="24BE0968" w14:textId="77777777" w:rsidTr="00420317">
        <w:trPr>
          <w:cantSplit/>
          <w:trHeight w:val="809"/>
        </w:trPr>
        <w:tc>
          <w:tcPr>
            <w:tcW w:w="715" w:type="dxa"/>
            <w:shd w:val="clear" w:color="auto" w:fill="auto"/>
            <w:vAlign w:val="bottom"/>
            <w:hideMark/>
          </w:tcPr>
          <w:p w14:paraId="6CAD71BB" w14:textId="48E04AD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4F10CBB" w14:textId="1AA5107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5:c.C556T:p.R186X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E82327B" w14:textId="7865912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3D77CA4" w14:textId="178F157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CD55EE5" w14:textId="32B3660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Wright CF, West B,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Tuke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Jones SE, Patel K, Laver TW, et al. Assessing the Pathogenicity, Penetrance, and Expressivity of Putative Disease-Causing Variants in a Population Setting. Am J Hum Genet. 2019 02 7;104(2):275-86.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40A63D53" w14:textId="41038A5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448B7397" w14:textId="5537A60B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PVS1(stop-gained) -- 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4DE4AE9" w14:textId="723EF1B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EECAB6E" w14:textId="0D4ED3C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796C2E" w14:textId="5288350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381D05" w14:textId="4AC52A28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35</w:t>
            </w:r>
          </w:p>
        </w:tc>
      </w:tr>
      <w:tr w:rsidR="00F65184" w:rsidRPr="007C44A0" w14:paraId="53F2ACA5" w14:textId="77777777" w:rsidTr="00F65184">
        <w:trPr>
          <w:cantSplit/>
          <w:trHeight w:val="60"/>
        </w:trPr>
        <w:tc>
          <w:tcPr>
            <w:tcW w:w="715" w:type="dxa"/>
            <w:shd w:val="clear" w:color="auto" w:fill="auto"/>
            <w:vAlign w:val="bottom"/>
            <w:hideMark/>
          </w:tcPr>
          <w:p w14:paraId="297BA44A" w14:textId="673530E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075A65A1" w14:textId="2E659A7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5:c.565insTATC:p.p.K190YfsTer8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1F9948D" w14:textId="58017E1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EC4AE80" w14:textId="3484FAB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A675710" w14:textId="4C0B517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983F69A" w14:textId="763136B5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6983A19" w14:textId="57310526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8F9CE36" w14:textId="1452C4D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3268D4A5" w14:textId="15E3603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B28E69" w14:textId="4DFFCB3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0E557F" w14:textId="7DFAA3C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  <w:tr w:rsidR="00F65184" w:rsidRPr="007C44A0" w14:paraId="2B3CEAF4" w14:textId="77777777" w:rsidTr="00420317">
        <w:trPr>
          <w:cantSplit/>
          <w:trHeight w:val="161"/>
        </w:trPr>
        <w:tc>
          <w:tcPr>
            <w:tcW w:w="715" w:type="dxa"/>
            <w:shd w:val="clear" w:color="auto" w:fill="auto"/>
            <w:vAlign w:val="bottom"/>
            <w:hideMark/>
          </w:tcPr>
          <w:p w14:paraId="1FD62909" w14:textId="082EE94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5F0F1BE" w14:textId="5F9DB93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5:c.G572A:p.R191Q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776FE0F" w14:textId="74465A2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AFD5EFC" w14:textId="3CD2755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531EC13" w14:textId="49E18B4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Codner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E, Deng L, Pérez-Bravo F, Román R,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Lanzano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P,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Cassorla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F, et al. Glucokinase mutations in young children with hyperglycemia. Diabetes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Metab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Res Rev. 2006 Sep-Oct;22(5):348-55.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  <w:t xml:space="preserve">Li X, Ting TH, Sheng H, Liang CL, Shao Y, Jiang M, et al. Genetic and clinical characteristics of Chinese children with Glucokinase-maturity-onset diabetes of the young (GCK-MODY). BMC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Pediatr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2018 03 6;18(1):101.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373A5890" w14:textId="0F48978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46466FA" w14:textId="36AEF966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ACF566B" w14:textId="03261AD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F33194A" w14:textId="2003AD6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5E2498" w14:textId="0BA54DA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AEA6AC" w14:textId="503FB37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35</w:t>
            </w:r>
          </w:p>
        </w:tc>
      </w:tr>
      <w:tr w:rsidR="00F65184" w:rsidRPr="007C44A0" w14:paraId="119EACE7" w14:textId="77777777" w:rsidTr="00F65184">
        <w:trPr>
          <w:cantSplit/>
          <w:trHeight w:val="467"/>
        </w:trPr>
        <w:tc>
          <w:tcPr>
            <w:tcW w:w="715" w:type="dxa"/>
            <w:shd w:val="clear" w:color="auto" w:fill="auto"/>
            <w:vAlign w:val="bottom"/>
            <w:hideMark/>
          </w:tcPr>
          <w:p w14:paraId="5B0E5DA4" w14:textId="1FF856F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12B55F6" w14:textId="7610233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6:c.A614G:p.D205G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68DA21A" w14:textId="2CB8232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29069DC" w14:textId="38A147B9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7939C90D" w14:textId="014A914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38E2F767" w14:textId="3132DF3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63A08C0" w14:textId="4425F7B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B6EA1E4" w14:textId="2A1DA15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E457049" w14:textId="48F91AA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F16CCC" w14:textId="409CA21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E7A481" w14:textId="2808639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28.4</w:t>
            </w:r>
          </w:p>
        </w:tc>
      </w:tr>
      <w:tr w:rsidR="00F65184" w:rsidRPr="007C44A0" w14:paraId="383048F7" w14:textId="77777777" w:rsidTr="00420317">
        <w:trPr>
          <w:cantSplit/>
          <w:trHeight w:val="1205"/>
        </w:trPr>
        <w:tc>
          <w:tcPr>
            <w:tcW w:w="715" w:type="dxa"/>
            <w:shd w:val="clear" w:color="auto" w:fill="auto"/>
            <w:vAlign w:val="bottom"/>
            <w:hideMark/>
          </w:tcPr>
          <w:p w14:paraId="0F5BCAB3" w14:textId="582A9CA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F7BF205" w14:textId="18AF0D9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6:c.A625C:p.T209P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1007E1C" w14:textId="508D2E8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AF2DF45" w14:textId="5B876291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026C57E0" w14:textId="0A286EC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173DEF4" w14:textId="3259D7AF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53D016C" w14:textId="0677577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06C615B" w14:textId="7BFD4CB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8DFA0B9" w14:textId="6F7D4BF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25A9AE" w14:textId="57E2B0E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EB5533" w14:textId="38D53769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28.3</w:t>
            </w:r>
          </w:p>
        </w:tc>
      </w:tr>
      <w:tr w:rsidR="00F65184" w:rsidRPr="007C44A0" w14:paraId="71B84D6D" w14:textId="77777777" w:rsidTr="00420317">
        <w:trPr>
          <w:cantSplit/>
          <w:trHeight w:val="557"/>
        </w:trPr>
        <w:tc>
          <w:tcPr>
            <w:tcW w:w="715" w:type="dxa"/>
            <w:shd w:val="clear" w:color="auto" w:fill="auto"/>
            <w:vAlign w:val="bottom"/>
            <w:hideMark/>
          </w:tcPr>
          <w:p w14:paraId="2F6BF17D" w14:textId="1F9DE59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B1C265E" w14:textId="0D4A4CD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6:c.C626A:p.T209K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1F8DBCF" w14:textId="42ECD9C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315711D" w14:textId="246A2049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08A12202" w14:textId="473EB02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Pruhova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Dusatkova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P,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Sumnik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Z,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Kolouskova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S, Pedersen O, Hansen T, et al. Glucokinase diabetes in 103 families from a country-based study in the Czech Republic: geographically restricted distribution of two prevalent GCK mutations.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Pediatr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Diabetes. 2010 Dec;11(8):529-35.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28A24A3F" w14:textId="64546F4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5070A1B" w14:textId="0419C02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A1BA8FE" w14:textId="14E47A5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022EE36E" w14:textId="539C43A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D7AD8E" w14:textId="41C75E8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29FC13" w14:textId="59FF6068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34</w:t>
            </w:r>
          </w:p>
        </w:tc>
      </w:tr>
      <w:tr w:rsidR="00F65184" w:rsidRPr="007C44A0" w14:paraId="1F81E777" w14:textId="77777777" w:rsidTr="00420317">
        <w:trPr>
          <w:cantSplit/>
          <w:trHeight w:val="206"/>
        </w:trPr>
        <w:tc>
          <w:tcPr>
            <w:tcW w:w="715" w:type="dxa"/>
            <w:shd w:val="clear" w:color="auto" w:fill="auto"/>
            <w:vAlign w:val="bottom"/>
            <w:hideMark/>
          </w:tcPr>
          <w:p w14:paraId="467F376C" w14:textId="4A03ACF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97E0892" w14:textId="5FB3EDF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6:c.C626T:p.T209M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31B96D1" w14:textId="01E7C65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475983C" w14:textId="0FD5DE19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4E5DF423" w14:textId="59097E6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Estalella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I, Rica I, Perez de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Nanclares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Bilbao JR, Vazquez JA, San Pedro JI, et al. Mutations in GCK and HNF-1alpha explain 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the majority of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cases with clinical diagnosis of MODY in Spain. Clin Endocrinol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Oxf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). 2007 Oct;67(4):538-46.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  <w:t xml:space="preserve">Giuffrida FMA, Moises RS, Weinert LS,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Calliari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LE, Manna TD,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Dotto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RP, et al. Maturity-onset diabetes of the young (MODY) in Brazil: Establishment of a national registry and appraisal of available genetic and clinical data. Diabetes Res Clin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Pract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. 2017 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Jan;123:134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-42.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056BC15A" w14:textId="13E985F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1E55CFC" w14:textId="7810AC25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72CE75F" w14:textId="17E515A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00B4E75B" w14:textId="4ECAAE5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1C383E" w14:textId="450B4CB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A6867A" w14:textId="2EE6515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33</w:t>
            </w:r>
          </w:p>
        </w:tc>
      </w:tr>
      <w:tr w:rsidR="00F65184" w:rsidRPr="007C44A0" w14:paraId="58212C5D" w14:textId="77777777" w:rsidTr="00420317">
        <w:trPr>
          <w:cantSplit/>
          <w:trHeight w:val="431"/>
        </w:trPr>
        <w:tc>
          <w:tcPr>
            <w:tcW w:w="715" w:type="dxa"/>
            <w:shd w:val="clear" w:color="auto" w:fill="auto"/>
            <w:vAlign w:val="bottom"/>
            <w:hideMark/>
          </w:tcPr>
          <w:p w14:paraId="55997E58" w14:textId="40F0110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C90E60F" w14:textId="089E68F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6:c.C645G:p.Y215X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DD6C376" w14:textId="1544A95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3156302" w14:textId="29ECB13D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683EEBC" w14:textId="6BD24CB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Sagen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JV,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Odili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Bjørkhaug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L,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Zelent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D,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Buettger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Kwagh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J, et al. From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clinicogenetic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studies of maturity-onset diabetes of the young to unraveling complex mechanisms of glucokinase regulation. Diabetes. 2006 Jun;55(6):1713-22.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7E6A862C" w14:textId="2FD1968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7AA4B0E" w14:textId="2B144746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PVS1(stop-gained) -- PS1(known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PM1(Hexokinase,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B0E48B4" w14:textId="2A5D2A9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E07FB75" w14:textId="7FFD507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4677B9" w14:textId="6296DBC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6B9ADF" w14:textId="785BA5A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27.1</w:t>
            </w:r>
          </w:p>
        </w:tc>
      </w:tr>
      <w:tr w:rsidR="00F65184" w:rsidRPr="007C44A0" w14:paraId="65BDAF1F" w14:textId="77777777" w:rsidTr="00F65184">
        <w:trPr>
          <w:cantSplit/>
          <w:trHeight w:val="296"/>
        </w:trPr>
        <w:tc>
          <w:tcPr>
            <w:tcW w:w="715" w:type="dxa"/>
            <w:shd w:val="clear" w:color="auto" w:fill="auto"/>
            <w:vAlign w:val="bottom"/>
            <w:hideMark/>
          </w:tcPr>
          <w:p w14:paraId="0BAFC3FB" w14:textId="1E9AC58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lastRenderedPageBreak/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0FE1FA4" w14:textId="1146856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6:c.T658A:p.C220S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010BDE7" w14:textId="49F0DD4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grandparents, but no parents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D523356" w14:textId="634060A1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55886413" w14:textId="0A62CAE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Caetano LA, Jorge AA,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Malaquias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AC,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Trarbach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EB, Queiroz MS, Nery M, et al. Incidental mild hyperglycemia in children: two MODY 2 families identified in Brazilian subjects.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Arq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Bras Endocrinol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Metabol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2012 Nov;56(8):519-24.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C74143A" w14:textId="780F172A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3C38E16B" w14:textId="5DF19BCE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D2C9285" w14:textId="3F3800F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1FDF18C" w14:textId="7A2F375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28842A" w14:textId="3EF05C1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632636" w14:textId="390F3BE1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25.7</w:t>
            </w:r>
          </w:p>
        </w:tc>
      </w:tr>
      <w:tr w:rsidR="00F65184" w:rsidRPr="007C44A0" w14:paraId="38FFCEE2" w14:textId="77777777" w:rsidTr="00420317">
        <w:trPr>
          <w:cantSplit/>
          <w:trHeight w:val="800"/>
        </w:trPr>
        <w:tc>
          <w:tcPr>
            <w:tcW w:w="715" w:type="dxa"/>
            <w:shd w:val="clear" w:color="auto" w:fill="auto"/>
            <w:vAlign w:val="bottom"/>
            <w:hideMark/>
          </w:tcPr>
          <w:p w14:paraId="38F4195F" w14:textId="1EFD228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077E1494" w14:textId="6DDD6CA4" w:rsidR="00F65184" w:rsidRPr="007C44A0" w:rsidRDefault="00F65184" w:rsidP="00F65184">
            <w:pPr>
              <w:rPr>
                <w:rFonts w:ascii="Arial Narrow" w:eastAsia="Times New Roman" w:hAnsi="Arial Narrow" w:cs="Segoe U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6:c.C660A:p.C220X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AE814B0" w14:textId="71E7A42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46E49C8" w14:textId="1A50E4F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61126B8" w14:textId="773A5E7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2B072900" w14:textId="7247E6E7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4CBCBBC4" w14:textId="72B23A0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PVS1(stop-gained) -- 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7F7C3513" w14:textId="4F3FD71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5B0D292A" w14:textId="3419696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F1157D" w14:textId="0E683A2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D21F19" w14:textId="3019289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39</w:t>
            </w:r>
          </w:p>
        </w:tc>
      </w:tr>
      <w:tr w:rsidR="00F65184" w:rsidRPr="007C44A0" w14:paraId="51C8A19C" w14:textId="77777777" w:rsidTr="00420317">
        <w:trPr>
          <w:cantSplit/>
          <w:trHeight w:val="530"/>
        </w:trPr>
        <w:tc>
          <w:tcPr>
            <w:tcW w:w="715" w:type="dxa"/>
            <w:shd w:val="clear" w:color="auto" w:fill="auto"/>
            <w:vAlign w:val="bottom"/>
            <w:hideMark/>
          </w:tcPr>
          <w:p w14:paraId="48B094E9" w14:textId="5A6A06B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94D7C32" w14:textId="303E65C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7:c.C683T:p.T228M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CA263ED" w14:textId="13AA31F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CE06C2A" w14:textId="6637A3A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8A264D8" w14:textId="339D35E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 xml:space="preserve">Yokota I, </w:t>
            </w:r>
            <w:proofErr w:type="spellStart"/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>Moritani</w:t>
            </w:r>
            <w:proofErr w:type="spellEnd"/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 xml:space="preserve"> M, </w:t>
            </w:r>
            <w:proofErr w:type="spellStart"/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>Nishisho</w:t>
            </w:r>
            <w:proofErr w:type="spellEnd"/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 xml:space="preserve"> K, Miyoshi T, Kotani Y, </w:t>
            </w:r>
            <w:proofErr w:type="spellStart"/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>Kagami</w:t>
            </w:r>
            <w:proofErr w:type="spellEnd"/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 xml:space="preserve"> S. Detection of glucokinase gene defects in non-obese Japanese children diagnosed with diabetes by school medical examinations. </w:t>
            </w:r>
            <w:proofErr w:type="spellStart"/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>Endocr</w:t>
            </w:r>
            <w:proofErr w:type="spellEnd"/>
            <w:r>
              <w:rPr>
                <w:rFonts w:ascii="Arial Narrow" w:hAnsi="Arial Narrow" w:cs="Calibri"/>
                <w:color w:val="454545"/>
                <w:sz w:val="14"/>
                <w:szCs w:val="14"/>
              </w:rPr>
              <w:t xml:space="preserve"> J. 2011;58(9):741-6.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4903874A" w14:textId="430A8BF9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769ED0A" w14:textId="115C444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PS1(known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5B7533B" w14:textId="060D2C8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0500B390" w14:textId="5564EE7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F5467A" w14:textId="1C6D599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9D5B6A" w14:textId="0E37E79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28.7</w:t>
            </w:r>
          </w:p>
        </w:tc>
      </w:tr>
      <w:tr w:rsidR="00F65184" w:rsidRPr="007C44A0" w14:paraId="12B21FE9" w14:textId="77777777" w:rsidTr="00420317">
        <w:trPr>
          <w:cantSplit/>
          <w:trHeight w:val="800"/>
        </w:trPr>
        <w:tc>
          <w:tcPr>
            <w:tcW w:w="715" w:type="dxa"/>
            <w:shd w:val="clear" w:color="auto" w:fill="auto"/>
            <w:vAlign w:val="bottom"/>
            <w:hideMark/>
          </w:tcPr>
          <w:p w14:paraId="18ECCF0B" w14:textId="39DA374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FCF85A7" w14:textId="6EAD0E8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7:c.G706A:p.E236K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7473B65" w14:textId="19D1AF4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4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2BE88D4" w14:textId="0A40998F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5293FF83" w14:textId="6B5E4D8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Alkorta-Aranburu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Carmody D, Cheng YW,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Nelakuditi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V, Ma L, Dickens JT, et al. Phenotypic heterogeneity in monogenic diabetes: the clinical and diagnostic utility of a gene panel-based next-generation sequencing approach. Mol Genet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Metab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2014 Dec;113(4):315-20.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2BE1DE8" w14:textId="5A09A69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28E148A" w14:textId="4684343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FB6C202" w14:textId="3FC7E97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13D9254" w14:textId="700B1B7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2384EC" w14:textId="5FA0827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AF147E" w14:textId="409B009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33</w:t>
            </w:r>
          </w:p>
        </w:tc>
      </w:tr>
      <w:tr w:rsidR="00F65184" w:rsidRPr="007C44A0" w14:paraId="716DF455" w14:textId="77777777" w:rsidTr="00420317">
        <w:trPr>
          <w:cantSplit/>
          <w:trHeight w:val="323"/>
        </w:trPr>
        <w:tc>
          <w:tcPr>
            <w:tcW w:w="715" w:type="dxa"/>
            <w:shd w:val="clear" w:color="auto" w:fill="auto"/>
            <w:vAlign w:val="bottom"/>
            <w:hideMark/>
          </w:tcPr>
          <w:p w14:paraId="567EE41E" w14:textId="56AEECE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D022EC2" w14:textId="4BABBB0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7:c.G736A:p.G246R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7C8BCD7" w14:textId="0CF2770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B016151" w14:textId="5105573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EFF38C4" w14:textId="7772D15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Osbak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KK, Colclough K, Saint-Martin C, Beer NL,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Bellanné-Chantelot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Ellard S, et al. Update on mutations in glucokinase (GCK), which cause maturity-onset diabetes of the young, permanent neonatal diabetes, and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hyperinsulinemic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hypoglycemia. Hum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Mutat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2009 Nov;30(11):1512-26.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503196F6" w14:textId="6F4D6EA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9793A9B" w14:textId="25B9B37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AC9FA9D" w14:textId="629511A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11A03C9E" w14:textId="3508A77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423C3C" w14:textId="25DD385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0DA489" w14:textId="1B806CC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23.8</w:t>
            </w:r>
          </w:p>
        </w:tc>
      </w:tr>
      <w:tr w:rsidR="00F65184" w:rsidRPr="007C44A0" w14:paraId="30EEB575" w14:textId="77777777" w:rsidTr="00420317">
        <w:trPr>
          <w:cantSplit/>
          <w:trHeight w:val="197"/>
        </w:trPr>
        <w:tc>
          <w:tcPr>
            <w:tcW w:w="715" w:type="dxa"/>
            <w:shd w:val="clear" w:color="auto" w:fill="auto"/>
            <w:vAlign w:val="bottom"/>
            <w:hideMark/>
          </w:tcPr>
          <w:p w14:paraId="2243558B" w14:textId="626310C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0C35884C" w14:textId="036F329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7:c.G773A:p.G258D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CBA7411" w14:textId="5E5FEF0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803B3AD" w14:textId="67F9281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110C54B" w14:textId="73B9814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Codner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E, Deng L, Pérez-Bravo F, Román R,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Lanzano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P,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Cassorla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F, et al. Glucokinase mutations in young children with hyperglycemia. Diabetes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Metab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Res Rev. 2006 Sep-Oct;22(5):348-55.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5B6DB918" w14:textId="09E92E3F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B62A84F" w14:textId="7B21A39F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2DFA954" w14:textId="0B48FE1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96FD20F" w14:textId="00FCBDC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DA5B6B" w14:textId="4D485AA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F20D23" w14:textId="4EFCE09D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29</w:t>
            </w:r>
          </w:p>
        </w:tc>
      </w:tr>
      <w:tr w:rsidR="00F65184" w:rsidRPr="007C44A0" w14:paraId="08831F96" w14:textId="77777777" w:rsidTr="00420317">
        <w:trPr>
          <w:cantSplit/>
          <w:trHeight w:val="242"/>
        </w:trPr>
        <w:tc>
          <w:tcPr>
            <w:tcW w:w="715" w:type="dxa"/>
            <w:shd w:val="clear" w:color="auto" w:fill="auto"/>
            <w:vAlign w:val="bottom"/>
            <w:hideMark/>
          </w:tcPr>
          <w:p w14:paraId="50B416C1" w14:textId="2272E5D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7D9CE5E" w14:textId="37847FA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7:c.G775A:p.A259T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9CEC755" w14:textId="34D3149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uncle, but not parent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CC20A41" w14:textId="4E2816AF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7B103B8C" w14:textId="26DD49E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Ludovico O,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Carella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Bisceglia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L, Basile 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Mastroianno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Palena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A, et al. Identification and Clinical Characterization of Adult Patients with Multigenerational Diabetes Mellitus.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PLoS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One. 2015;10(8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):e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0135855.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  <w:t xml:space="preserve">Capuano M, Garcia-Herrero CM, Tinto N,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Carluccio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Capobianco V,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Coto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I, et al. Glucokinase (GCK) mutations and their characterization in MODY2 children of southern Italy.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PLoS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One. 2012;7(6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):e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38906.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38C96531" w14:textId="5EBB86E9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13BE20B" w14:textId="5F2097B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15B804A" w14:textId="49BA6D1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7E554483" w14:textId="1AC5F33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32472F" w14:textId="2EFDC6B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E197A3" w14:textId="0ECF4067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33</w:t>
            </w:r>
          </w:p>
        </w:tc>
      </w:tr>
      <w:tr w:rsidR="00F65184" w:rsidRPr="007C44A0" w14:paraId="014AE392" w14:textId="77777777" w:rsidTr="00420317">
        <w:trPr>
          <w:cantSplit/>
          <w:trHeight w:val="962"/>
        </w:trPr>
        <w:tc>
          <w:tcPr>
            <w:tcW w:w="715" w:type="dxa"/>
            <w:shd w:val="clear" w:color="auto" w:fill="auto"/>
            <w:vAlign w:val="bottom"/>
            <w:hideMark/>
          </w:tcPr>
          <w:p w14:paraId="295F6907" w14:textId="16566E6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C4CF979" w14:textId="3D0D6BE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7:c.G814T:p.E272X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00B7F2F" w14:textId="034D49C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4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41AFAF4" w14:textId="07DFBDCD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A1A240D" w14:textId="4E6C04A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07E5F685" w14:textId="723F972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C2F0018" w14:textId="65B1F36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PVS1(stop-gained) -- 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2235FE6" w14:textId="09F63CE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3222E9D3" w14:textId="5DB4EE3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711361" w14:textId="7D6C49E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012DE8" w14:textId="0E63987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41</w:t>
            </w:r>
          </w:p>
        </w:tc>
      </w:tr>
      <w:tr w:rsidR="00F65184" w:rsidRPr="007C44A0" w14:paraId="086DC63D" w14:textId="77777777" w:rsidTr="00420317">
        <w:trPr>
          <w:cantSplit/>
          <w:trHeight w:val="170"/>
        </w:trPr>
        <w:tc>
          <w:tcPr>
            <w:tcW w:w="715" w:type="dxa"/>
            <w:shd w:val="clear" w:color="auto" w:fill="auto"/>
            <w:vAlign w:val="bottom"/>
            <w:hideMark/>
          </w:tcPr>
          <w:p w14:paraId="3108FF31" w14:textId="48EFAC6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132BDE7" w14:textId="58F4BEA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7:c.A860C:p.Q287P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2AC0C00" w14:textId="606889C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4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D5547F9" w14:textId="166D217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BB6EB7B" w14:textId="679007F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7374A738" w14:textId="3CBF6F38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D4011DE" w14:textId="6EF6242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7DFA5BAB" w14:textId="480BE03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089BB027" w14:textId="1D50DA5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C1738D" w14:textId="49DAF28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7AC895" w14:textId="03E432B5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27.4</w:t>
            </w:r>
          </w:p>
        </w:tc>
      </w:tr>
      <w:tr w:rsidR="00F65184" w:rsidRPr="007C44A0" w14:paraId="49B93853" w14:textId="77777777" w:rsidTr="00420317">
        <w:trPr>
          <w:cantSplit/>
          <w:trHeight w:val="332"/>
        </w:trPr>
        <w:tc>
          <w:tcPr>
            <w:tcW w:w="715" w:type="dxa"/>
            <w:shd w:val="clear" w:color="auto" w:fill="auto"/>
            <w:vAlign w:val="bottom"/>
            <w:hideMark/>
          </w:tcPr>
          <w:p w14:paraId="765AB7EC" w14:textId="575450D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14EC78E" w14:textId="30D9933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000162:c.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860+1G&gt;A; splicing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64A5EF1" w14:textId="3590222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at least 4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E28FA8C" w14:textId="7D0F6C9B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4520B323" w14:textId="7FD4504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Submitted to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by Athena Diagnostics Inc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2851D3C" w14:textId="6045CFD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7BF4045" w14:textId="2189A2B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 (splice)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F1156C2" w14:textId="1521094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773A1316" w14:textId="41F614C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FB1F31" w14:textId="0EE36F5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E8595F" w14:textId="2837A0C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26.5</w:t>
            </w:r>
          </w:p>
        </w:tc>
      </w:tr>
      <w:tr w:rsidR="00F65184" w:rsidRPr="007C44A0" w14:paraId="07985374" w14:textId="77777777" w:rsidTr="00420317">
        <w:trPr>
          <w:cantSplit/>
          <w:trHeight w:val="647"/>
        </w:trPr>
        <w:tc>
          <w:tcPr>
            <w:tcW w:w="715" w:type="dxa"/>
            <w:shd w:val="clear" w:color="auto" w:fill="auto"/>
            <w:vAlign w:val="bottom"/>
            <w:hideMark/>
          </w:tcPr>
          <w:p w14:paraId="61B2A570" w14:textId="3EA078A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D81B000" w14:textId="6FB72A3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8:c.A872C:p.K291T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349C293" w14:textId="6CC327B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FBA3B53" w14:textId="694A694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7682A249" w14:textId="4D7DF53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Costantini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Malerba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Contreas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Corradi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Marin Vargas SP,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Giorgetti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A, et al. Genetic and bioinformatics analysis of four novel GCK missense variants detected in Caucasian families with GCK-MODY phenotype. Clin Genet. 2015 May;87(5):440-7.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0C98C122" w14:textId="4CBCC55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B35FD82" w14:textId="3ED135D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14B3AFE" w14:textId="1BFBC02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7E230926" w14:textId="5A382C6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22DFB5" w14:textId="748BDA2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ECE19E" w14:textId="41152A1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24.3</w:t>
            </w:r>
          </w:p>
        </w:tc>
      </w:tr>
      <w:tr w:rsidR="00F65184" w:rsidRPr="007C44A0" w14:paraId="671AAAFB" w14:textId="77777777" w:rsidTr="00420317">
        <w:trPr>
          <w:cantSplit/>
          <w:trHeight w:val="458"/>
        </w:trPr>
        <w:tc>
          <w:tcPr>
            <w:tcW w:w="715" w:type="dxa"/>
            <w:shd w:val="clear" w:color="auto" w:fill="auto"/>
            <w:vAlign w:val="bottom"/>
            <w:hideMark/>
          </w:tcPr>
          <w:p w14:paraId="79C62F93" w14:textId="43B3A0A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lastRenderedPageBreak/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31C2193" w14:textId="3D2E62A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8:c.A872C:p.K291T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940D1F4" w14:textId="77DA30B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6C35768" w14:textId="7F1E4C8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7EFCFB7B" w14:textId="2FB47C5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Costantini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Malerba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Contreas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Corradi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Marin Vargas SP,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Giorgetti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A, et al. Genetic and bioinformatics analysis of four novel GCK missense variants detected in Caucasian families with GCK-MODY phenotype. Clin Genet. 2015 May;87(5):440-7.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4A48A18F" w14:textId="13F19C5E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F6AB8CC" w14:textId="5CE29249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C405FC0" w14:textId="1C38C14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CA602F8" w14:textId="1338CDD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CCC31B" w14:textId="08C7FCF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65A293" w14:textId="785FC42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24.3</w:t>
            </w:r>
          </w:p>
        </w:tc>
      </w:tr>
      <w:tr w:rsidR="00F65184" w:rsidRPr="007C44A0" w14:paraId="29CB3380" w14:textId="77777777" w:rsidTr="00420317">
        <w:trPr>
          <w:cantSplit/>
          <w:trHeight w:val="1295"/>
        </w:trPr>
        <w:tc>
          <w:tcPr>
            <w:tcW w:w="715" w:type="dxa"/>
            <w:shd w:val="clear" w:color="auto" w:fill="auto"/>
            <w:vAlign w:val="bottom"/>
            <w:hideMark/>
          </w:tcPr>
          <w:p w14:paraId="051E4743" w14:textId="28088E2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5A09447" w14:textId="70C18AF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8:c.T917C:p.L306P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C6557D0" w14:textId="3ED1BE8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6E68F51" w14:textId="3914289F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614FE94" w14:textId="71FC181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Submitted to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by Integrated Genetics/Laboratory Corporation of America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3E7739AD" w14:textId="4BC14C6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EEC6761" w14:textId="709417DB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E46E3A8" w14:textId="273BE77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109881C5" w14:textId="386529A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B71EF5" w14:textId="3AF95ED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2B8648" w14:textId="5E6576F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28.3</w:t>
            </w:r>
          </w:p>
        </w:tc>
      </w:tr>
      <w:tr w:rsidR="00F65184" w:rsidRPr="007C44A0" w14:paraId="2857B3ED" w14:textId="77777777" w:rsidTr="00420317">
        <w:trPr>
          <w:cantSplit/>
          <w:trHeight w:val="872"/>
        </w:trPr>
        <w:tc>
          <w:tcPr>
            <w:tcW w:w="715" w:type="dxa"/>
            <w:shd w:val="clear" w:color="auto" w:fill="auto"/>
            <w:vAlign w:val="bottom"/>
            <w:hideMark/>
          </w:tcPr>
          <w:p w14:paraId="738389F1" w14:textId="442492F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84FD797" w14:textId="2DF397C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8:c.G952A:p.G318R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A0E8B34" w14:textId="1E94A9D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4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AFF3171" w14:textId="1F504B2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B1896F1" w14:textId="2524AF1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Dusatkova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P,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Pruhova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Borowiec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Vesela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K,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Antosik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K,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Lebl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J, et al. Ancestral mutations may cause a significant proportion of GCK-MODY.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Pediatr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Diabetes. 2012 Sep;13(6):489-98.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Wędrychowicz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Tobór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E, Wilk M,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Ziółkowska-Ledwith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E, Rams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Wzorek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K, et al. Phenotype Heterogeneity in Glucokinase-Maturity-Onset Diabetes of the Young (GCK-MODY) Patients. J Clin Res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Pediatr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Endocrinol. 2017 Sep 1;9(3):246-52.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9635BB1" w14:textId="0A22D09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3C15B5D" w14:textId="2B9AD10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7BDAABE3" w14:textId="5DF4CA7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0F013102" w14:textId="4EC7A53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C1D1D9" w14:textId="1E2AC51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9C4D8C" w14:textId="104680D1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27.2</w:t>
            </w:r>
          </w:p>
        </w:tc>
      </w:tr>
      <w:tr w:rsidR="00F65184" w:rsidRPr="007C44A0" w14:paraId="027293C7" w14:textId="77777777" w:rsidTr="00420317">
        <w:trPr>
          <w:cantSplit/>
          <w:trHeight w:val="70"/>
        </w:trPr>
        <w:tc>
          <w:tcPr>
            <w:tcW w:w="715" w:type="dxa"/>
            <w:shd w:val="clear" w:color="auto" w:fill="auto"/>
            <w:vAlign w:val="bottom"/>
            <w:hideMark/>
          </w:tcPr>
          <w:p w14:paraId="479E4A30" w14:textId="08EA5E7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E90EB08" w14:textId="41FFAEB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8:c.T989G:p.F330C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8955258" w14:textId="58BDBA8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grandparents, but no parents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384DBE6" w14:textId="09765385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2AF4EFE8" w14:textId="03ACC15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1A45999" w14:textId="22DB630B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690DEC8A" w14:textId="46A4B3E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PM6 (de novo)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6385F8B" w14:textId="01B4CFD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BB64989" w14:textId="3FDF527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2FF825" w14:textId="2A82C9C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4F6214" w14:textId="526C664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24.3</w:t>
            </w:r>
          </w:p>
        </w:tc>
      </w:tr>
      <w:tr w:rsidR="00F65184" w:rsidRPr="007C44A0" w14:paraId="3D65764B" w14:textId="77777777" w:rsidTr="00420317">
        <w:trPr>
          <w:cantSplit/>
          <w:trHeight w:val="593"/>
        </w:trPr>
        <w:tc>
          <w:tcPr>
            <w:tcW w:w="715" w:type="dxa"/>
            <w:shd w:val="clear" w:color="auto" w:fill="auto"/>
            <w:vAlign w:val="bottom"/>
            <w:hideMark/>
          </w:tcPr>
          <w:p w14:paraId="009BEC19" w14:textId="5BB8976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8BD3467" w14:textId="3C32925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NM_000162.exon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8:c.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1019G&gt;A, splicing.p.S340N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D904289" w14:textId="2C6DD10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2553072" w14:textId="49411A42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49308BD6" w14:textId="4DA6ACC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Delvecchio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Mozzillo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Salzano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Iafusco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D, Frontino G, Patera PI, et al. Monogenic Diabetes Accounts for 6.3% of Cases Referred to 15 Italian Pediatric Diabetes Centers During 2007 to 2012. J Clin Endocrinol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Metab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2017 06 1;102(6):1826-34.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671657C" w14:textId="1B714218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74F3099" w14:textId="46B4926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4081C4D" w14:textId="4B69EEB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6326AB8" w14:textId="634A79D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351040" w14:textId="7D4753A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BD4750" w14:textId="238DAAE8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08F30EE7" w14:textId="77777777" w:rsidTr="00420317">
        <w:trPr>
          <w:cantSplit/>
          <w:trHeight w:val="350"/>
        </w:trPr>
        <w:tc>
          <w:tcPr>
            <w:tcW w:w="715" w:type="dxa"/>
            <w:shd w:val="clear" w:color="auto" w:fill="auto"/>
            <w:vAlign w:val="bottom"/>
            <w:hideMark/>
          </w:tcPr>
          <w:p w14:paraId="7877F7DB" w14:textId="59E5AD5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D6C79E1" w14:textId="632B305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9:c.T1121C:p.V374A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58C872D" w14:textId="5E55B31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B2AAC67" w14:textId="21A0A5E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5F24CA33" w14:textId="3BD82E3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216DFE31" w14:textId="733287B4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3BD545A" w14:textId="5F1322B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159BD29" w14:textId="7601BA4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ABABE23" w14:textId="116FD4D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1D224C" w14:textId="07FD082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B9B8CA" w14:textId="40D792E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34</w:t>
            </w:r>
          </w:p>
        </w:tc>
      </w:tr>
      <w:tr w:rsidR="00F65184" w:rsidRPr="007C44A0" w14:paraId="0AE53A6E" w14:textId="77777777" w:rsidTr="00420317">
        <w:trPr>
          <w:cantSplit/>
          <w:trHeight w:val="1043"/>
        </w:trPr>
        <w:tc>
          <w:tcPr>
            <w:tcW w:w="715" w:type="dxa"/>
            <w:shd w:val="clear" w:color="auto" w:fill="auto"/>
            <w:vAlign w:val="bottom"/>
            <w:hideMark/>
          </w:tcPr>
          <w:p w14:paraId="6F8F6E96" w14:textId="58A7641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6C9252F2" w14:textId="0C3AAA5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9:c.C1124A:p.S375Y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48501D4" w14:textId="2B76278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DA3FBDB" w14:textId="2B4E38D7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5701D23B" w14:textId="2DF2F2F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7BEAFAD2" w14:textId="6BFA84A9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0A53EE2" w14:textId="5C516F5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E6A097D" w14:textId="13FDF97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4FAF2C1" w14:textId="1F52B1C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3F9C19" w14:textId="00DFD41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543796" w14:textId="0AA59838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32</w:t>
            </w:r>
          </w:p>
        </w:tc>
      </w:tr>
      <w:tr w:rsidR="00F65184" w:rsidRPr="007C44A0" w14:paraId="57E08886" w14:textId="77777777" w:rsidTr="00420317">
        <w:trPr>
          <w:cantSplit/>
          <w:trHeight w:val="845"/>
        </w:trPr>
        <w:tc>
          <w:tcPr>
            <w:tcW w:w="715" w:type="dxa"/>
            <w:shd w:val="clear" w:color="auto" w:fill="auto"/>
            <w:vAlign w:val="bottom"/>
            <w:hideMark/>
          </w:tcPr>
          <w:p w14:paraId="16FF45A3" w14:textId="23267F7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A1F301E" w14:textId="31805ED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9:c.C1148G:p.S383W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985C7AF" w14:textId="17E233E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4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C4A8E25" w14:textId="332F17DB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733BE7CC" w14:textId="5C6B86D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5C386C74" w14:textId="34490C59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BA574FB" w14:textId="460CE43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585AF08" w14:textId="4F57AA8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4988479" w14:textId="6A7639E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1EE323" w14:textId="7C1CB1D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FC6CA2" w14:textId="39D9FCCB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21.6</w:t>
            </w:r>
          </w:p>
        </w:tc>
      </w:tr>
      <w:tr w:rsidR="00F65184" w:rsidRPr="007C44A0" w14:paraId="4434BFB4" w14:textId="77777777" w:rsidTr="00420317">
        <w:trPr>
          <w:cantSplit/>
          <w:trHeight w:val="278"/>
        </w:trPr>
        <w:tc>
          <w:tcPr>
            <w:tcW w:w="715" w:type="dxa"/>
            <w:shd w:val="clear" w:color="auto" w:fill="auto"/>
            <w:vAlign w:val="bottom"/>
            <w:hideMark/>
          </w:tcPr>
          <w:p w14:paraId="5BE25851" w14:textId="6184FA8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562FAE3" w14:textId="1874B8E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9:c.T1178C:p.M393T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13F99AE" w14:textId="45B9744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FF75910" w14:textId="7BB36B3B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5F20A522" w14:textId="1BB6D32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>Haliloglu</w:t>
            </w:r>
            <w:proofErr w:type="spellEnd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 xml:space="preserve"> B, </w:t>
            </w:r>
            <w:proofErr w:type="spellStart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>Hysenaj</w:t>
            </w:r>
            <w:proofErr w:type="spellEnd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 xml:space="preserve"> G, </w:t>
            </w:r>
            <w:proofErr w:type="spellStart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>Atay</w:t>
            </w:r>
            <w:proofErr w:type="spellEnd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 xml:space="preserve"> Z, </w:t>
            </w:r>
            <w:proofErr w:type="spellStart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>Guran</w:t>
            </w:r>
            <w:proofErr w:type="spellEnd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 xml:space="preserve"> T, </w:t>
            </w:r>
            <w:proofErr w:type="spellStart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>Abalı</w:t>
            </w:r>
            <w:proofErr w:type="spellEnd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 xml:space="preserve"> S, </w:t>
            </w:r>
            <w:proofErr w:type="spellStart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>Turan</w:t>
            </w:r>
            <w:proofErr w:type="spellEnd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 xml:space="preserve"> S, et al. GCK gene mutations are a common cause of childhood-onset MODY (maturity-onset diabetes of the young) in Turkey. Clin Endocrinol (</w:t>
            </w:r>
            <w:proofErr w:type="spellStart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>Oxf</w:t>
            </w:r>
            <w:proofErr w:type="spellEnd"/>
            <w:r>
              <w:rPr>
                <w:rFonts w:ascii="Arial Narrow" w:hAnsi="Arial Narrow" w:cs="Calibri"/>
                <w:color w:val="1C1D1E"/>
                <w:sz w:val="14"/>
                <w:szCs w:val="14"/>
              </w:rPr>
              <w:t>). 2016 09;85(3):393-9.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026BFFE4" w14:textId="43E05E16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4448EF2" w14:textId="662C722A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52C8779" w14:textId="61A08C1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8560836" w14:textId="79D7E43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85D351" w14:textId="1F629F2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0879C8" w14:textId="715A122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27.8</w:t>
            </w:r>
          </w:p>
        </w:tc>
      </w:tr>
      <w:tr w:rsidR="00F65184" w:rsidRPr="007C44A0" w14:paraId="2B27B224" w14:textId="77777777" w:rsidTr="00420317">
        <w:trPr>
          <w:cantSplit/>
          <w:trHeight w:val="377"/>
        </w:trPr>
        <w:tc>
          <w:tcPr>
            <w:tcW w:w="715" w:type="dxa"/>
            <w:shd w:val="clear" w:color="auto" w:fill="auto"/>
            <w:vAlign w:val="bottom"/>
            <w:hideMark/>
          </w:tcPr>
          <w:p w14:paraId="36AB3242" w14:textId="1EC50CF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60B3EDF5" w14:textId="10C1DD4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9:c.G1225C:p.D409H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1BCC3FD" w14:textId="3822E59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1B7C801" w14:textId="1A5F2E56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280BB63" w14:textId="0CD0505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0FA18389" w14:textId="648EA48A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423FC595" w14:textId="1065C6A8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PM1(Hexokinase,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38BC26B" w14:textId="55DFAFE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3AE3BD1" w14:textId="1308E1F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399C91" w14:textId="2631121B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381FC5" w14:textId="159F75EC" w:rsidR="00F65184" w:rsidRPr="007C44A0" w:rsidRDefault="00F65184" w:rsidP="00F65184">
            <w:pPr>
              <w:jc w:val="right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33</w:t>
            </w:r>
          </w:p>
        </w:tc>
      </w:tr>
      <w:tr w:rsidR="00F65184" w:rsidRPr="007C44A0" w14:paraId="1E1F6037" w14:textId="77777777" w:rsidTr="00420317">
        <w:trPr>
          <w:cantSplit/>
          <w:trHeight w:val="692"/>
        </w:trPr>
        <w:tc>
          <w:tcPr>
            <w:tcW w:w="715" w:type="dxa"/>
            <w:shd w:val="clear" w:color="auto" w:fill="auto"/>
            <w:vAlign w:val="bottom"/>
            <w:hideMark/>
          </w:tcPr>
          <w:p w14:paraId="2CE9E64C" w14:textId="3B5ECD2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434B592" w14:textId="4259DC7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000162:exon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10:c.1261delG:p.E421fs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5267237" w14:textId="1CFE0F4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EF86917" w14:textId="7890FCF0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AE491A4" w14:textId="7738133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Vits L,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Beckers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D,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Craen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de Beaufort C,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Vanfleteren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E,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Dahan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K, et al. Identification of novel and recurrent glucokinase mutations in Belgian and Luxembourg maturity onset diabetes of the young patients. Clin Genet. 2006 Oct;70(4):355-9.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4DB404D6" w14:textId="6FA77A2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E2A71CB" w14:textId="3388F4C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D5C2961" w14:textId="572B9E5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3AC1D4C" w14:textId="6A6BB41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ECA2C9" w14:textId="41E601D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2DB902" w14:textId="534D7FFD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  <w:tr w:rsidR="00F65184" w:rsidRPr="007C44A0" w14:paraId="1DB621B7" w14:textId="77777777" w:rsidTr="00420317">
        <w:trPr>
          <w:cantSplit/>
          <w:trHeight w:val="737"/>
        </w:trPr>
        <w:tc>
          <w:tcPr>
            <w:tcW w:w="715" w:type="dxa"/>
            <w:shd w:val="clear" w:color="auto" w:fill="auto"/>
            <w:vAlign w:val="bottom"/>
            <w:hideMark/>
          </w:tcPr>
          <w:p w14:paraId="34BAD355" w14:textId="6D9771F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lastRenderedPageBreak/>
              <w:t>GCK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E4A23F0" w14:textId="1BB3846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9:c.1735_1736insCGGCATCCAGCACCTGC:p.Q579fs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D51BA00" w14:textId="648FCC4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359901B" w14:textId="3FEA229B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5DFA2A42" w14:textId="37349A9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1C1D1E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Wajngot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Alvarsson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Glaser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Efendic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Luthman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H, Grill V. Glucose potentiation of arginine-induced insulin secretion is impaired in subjects with a glucokinase Glu256Lys mutation. Diabetes. 1994 Dec;43(12):1402-6.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13406A2" w14:textId="4674DE6F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3EF5AD5" w14:textId="119CEE2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07C5906" w14:textId="6060043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D700523" w14:textId="1456338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81CDE8" w14:textId="04A5DFA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C50DFB" w14:textId="67964382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34</w:t>
            </w:r>
          </w:p>
        </w:tc>
      </w:tr>
      <w:tr w:rsidR="00F65184" w:rsidRPr="007C44A0" w14:paraId="2C8AB9F1" w14:textId="77777777" w:rsidTr="00420317">
        <w:trPr>
          <w:cantSplit/>
          <w:trHeight w:val="80"/>
        </w:trPr>
        <w:tc>
          <w:tcPr>
            <w:tcW w:w="715" w:type="dxa"/>
            <w:shd w:val="clear" w:color="auto" w:fill="auto"/>
            <w:vAlign w:val="bottom"/>
            <w:hideMark/>
          </w:tcPr>
          <w:p w14:paraId="6F38208D" w14:textId="52929EEA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745AE78" w14:textId="1090A9E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1:c.G214T:p.D72Y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7430524" w14:textId="0952DB0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128FDDC" w14:textId="32C9227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2C9FBB36" w14:textId="5090C14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06DDDBBD" w14:textId="0821D26F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843A254" w14:textId="5665A006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PM1(Hepatocyte nuclear factor 1, N-terminal)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PM6 (de novo)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5B71AA1" w14:textId="3A53C50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7C85491C" w14:textId="7678497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52A0F9" w14:textId="35D6ED8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F63638" w14:textId="2015C021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19.38</w:t>
            </w:r>
          </w:p>
        </w:tc>
      </w:tr>
      <w:tr w:rsidR="00F65184" w:rsidRPr="007C44A0" w14:paraId="332C6AAA" w14:textId="77777777" w:rsidTr="00420317">
        <w:trPr>
          <w:cantSplit/>
          <w:trHeight w:val="70"/>
        </w:trPr>
        <w:tc>
          <w:tcPr>
            <w:tcW w:w="715" w:type="dxa"/>
            <w:shd w:val="clear" w:color="auto" w:fill="auto"/>
            <w:vAlign w:val="bottom"/>
            <w:hideMark/>
          </w:tcPr>
          <w:p w14:paraId="610C23D9" w14:textId="0A9794A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9C818BF" w14:textId="38A6EC3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3:c.C598T:p.R200W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C6A13DA" w14:textId="0EA59A3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C888271" w14:textId="52838B46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C00E06C" w14:textId="0706AAD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Docena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MK,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Faiman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Stanley CM, Pantalone KM. Mody-3: novel HNF1A mutation and the utility of glucagon-like peptide (GLP)-1 receptor agonist therapy.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Endocr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Pract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2014 Feb;20(2):107-11.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78AE71FD" w14:textId="0DF70CF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757E055" w14:textId="4FF16D8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PM1(Homeobox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domain;Homeodomain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-like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1460C98" w14:textId="141E1A4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575E1CC0" w14:textId="3CB5FD9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81E36A" w14:textId="781D87B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FE4867" w14:textId="625B989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26.7</w:t>
            </w:r>
          </w:p>
        </w:tc>
      </w:tr>
      <w:tr w:rsidR="00F65184" w:rsidRPr="007C44A0" w14:paraId="0DCFA8BB" w14:textId="77777777" w:rsidTr="00420317">
        <w:trPr>
          <w:cantSplit/>
          <w:trHeight w:val="1412"/>
        </w:trPr>
        <w:tc>
          <w:tcPr>
            <w:tcW w:w="715" w:type="dxa"/>
            <w:shd w:val="clear" w:color="auto" w:fill="auto"/>
            <w:vAlign w:val="bottom"/>
            <w:hideMark/>
          </w:tcPr>
          <w:p w14:paraId="4A04CE07" w14:textId="69E7EE1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560CD51" w14:textId="45363BA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3:c.C598T:p.R200W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DB1700B" w14:textId="28B7889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B244B1B" w14:textId="2FF55B4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A624757" w14:textId="38B198C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Docena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MK,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Faiman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Stanley CM, Pantalone KM. Mody-3: novel HNF1A mutation and the utility of glucagon-like peptide (GLP)-1 receptor agonist therapy.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Endocr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Pract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2014 Feb;20(2):107-11.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  <w:t xml:space="preserve">Giuffrida FMA, Moises RS, Weinert LS,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Calliari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LE, Manna TD,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Dotto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RP, et al. Maturity-onset diabetes of the young (MODY) in Brazil: Establishment of a national registry and appraisal of available genetic and clinical data. Diabetes Res Clin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Pract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. 2017 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Jan;123:134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-42.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757AA3F" w14:textId="5F42E7A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92B2454" w14:textId="04C987B7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PM1(Homeobox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domain;Homeodomain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-like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771D8480" w14:textId="3310B5F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2712879" w14:textId="77669AD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2A7B1C" w14:textId="7EC776E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C189C9" w14:textId="014FCC3F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26.7</w:t>
            </w:r>
          </w:p>
        </w:tc>
      </w:tr>
      <w:tr w:rsidR="00F65184" w:rsidRPr="007C44A0" w14:paraId="4A236FA1" w14:textId="77777777" w:rsidTr="00420317">
        <w:trPr>
          <w:cantSplit/>
          <w:trHeight w:val="800"/>
        </w:trPr>
        <w:tc>
          <w:tcPr>
            <w:tcW w:w="715" w:type="dxa"/>
            <w:shd w:val="clear" w:color="auto" w:fill="auto"/>
            <w:vAlign w:val="bottom"/>
            <w:hideMark/>
          </w:tcPr>
          <w:p w14:paraId="7288D710" w14:textId="6F036F9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06AF6572" w14:textId="56F8C0E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3:c.T611A:p.F204Y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1D377CC" w14:textId="5E513D8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sibling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8A7751E" w14:textId="61F2B55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4B44FFF3" w14:textId="1ADC6F9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Colclough K,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Bellanne-Chantelot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Saint-Martin C, Flanagan SE, Ellard S. Mutations in the genes encoding the transcription factors hepatocyte nuclear factor 1 alpha and 4 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alpha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in maturity-onset diabetes of the young and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hyperinsulinemic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hypoglycemia. Hum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Mutat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. 2013 May;34(5):669-85. 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Thanabalasingham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Huffman JE,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Kattla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JJ,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Novokmet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Rudan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I,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Gloyn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AL, et al. Mutations in HNF1A result in marked alterations of plasma glycan profile. Diabetes. 2013 Apr;62(4):1329-37.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311BF774" w14:textId="4B02B6A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8F0DF61" w14:textId="1E9CDFD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PM1(Homeobox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domain;Homeodomain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-like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BB65597" w14:textId="427A317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4CFE7B64" w14:textId="1020ABC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D076C8" w14:textId="53CDBE9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69AD20" w14:textId="07BE621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25.8</w:t>
            </w:r>
          </w:p>
        </w:tc>
      </w:tr>
      <w:tr w:rsidR="00F65184" w:rsidRPr="007C44A0" w14:paraId="0767514F" w14:textId="77777777" w:rsidTr="00420317">
        <w:trPr>
          <w:cantSplit/>
          <w:trHeight w:val="224"/>
        </w:trPr>
        <w:tc>
          <w:tcPr>
            <w:tcW w:w="715" w:type="dxa"/>
            <w:shd w:val="clear" w:color="auto" w:fill="auto"/>
            <w:vAlign w:val="bottom"/>
            <w:hideMark/>
          </w:tcPr>
          <w:p w14:paraId="4C7E4682" w14:textId="2EB7B48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363CCF5" w14:textId="56261C9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4:c.G812A:p.R271Q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6BAA3C7" w14:textId="00977AD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129DBCB" w14:textId="5673E999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DE1ADB3" w14:textId="114001D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Bansal V,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Gassenhuber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J, Phillips T, Oliveira G, Harbaugh R,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Villarasa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N, et al. Spectrum of mutations in monogenic diabetes genes identified from high-throughput DNA sequencing of 6888 individuals. BMC Med. 2017 12 6;15(1):213.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  <w:t xml:space="preserve">Radha V,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Ek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J, Anuradha S, Hansen T, Pedersen O, Mohan V. Identification of novel variants in the hepatocyte nuclear factor-1alpha gene in South Indian patients with maturity onset diabetes of young. J Clin Endocrinol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Metab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2009 Jun;94(6):1959-65.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5D1734A" w14:textId="19BCD20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1F4092DC" w14:textId="27CAB68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PM1(Homeobox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domain;Homeodomain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-like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B4EC583" w14:textId="2893BB3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7FBDFEB" w14:textId="5CB80B58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CA3674" w14:textId="33CD30E8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97D231" w14:textId="01D5F58C" w:rsidR="00F65184" w:rsidRPr="007C44A0" w:rsidRDefault="00F65184" w:rsidP="00F65184">
            <w:pPr>
              <w:jc w:val="right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34</w:t>
            </w:r>
          </w:p>
        </w:tc>
      </w:tr>
      <w:tr w:rsidR="00F65184" w:rsidRPr="007C44A0" w14:paraId="4A0B09C3" w14:textId="77777777" w:rsidTr="00F65184">
        <w:trPr>
          <w:cantSplit/>
          <w:trHeight w:val="1700"/>
        </w:trPr>
        <w:tc>
          <w:tcPr>
            <w:tcW w:w="715" w:type="dxa"/>
            <w:shd w:val="clear" w:color="auto" w:fill="auto"/>
            <w:vAlign w:val="bottom"/>
            <w:hideMark/>
          </w:tcPr>
          <w:p w14:paraId="21A6FD52" w14:textId="3EC28D5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E51006B" w14:textId="7DD0CD1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4:c.872delC:0p.P291fs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489C33E" w14:textId="266A5A8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413E81B" w14:textId="44AFD767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ABC31B2" w14:textId="48FFAD5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Klupa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T,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Warram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JH,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Antonellis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Pezzolesi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M, Nam M,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Malecki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MT, et al. Determinants of the development of diabetes (maturity-onset diabetes of the young-3) in carriers of HNF-1alpha mutations: evidence for parent-of-origin effect. Diabetes Care. 2002 Dec;25(12):2292-301.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40CB43FE" w14:textId="54B93B44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0FC484E" w14:textId="2B8CDD8E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796EBACA" w14:textId="17A7F1C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800CB26" w14:textId="0369684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7E3CB5" w14:textId="71E0BA3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EBC5AC" w14:textId="1474FE5D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 </w:t>
            </w:r>
          </w:p>
        </w:tc>
      </w:tr>
      <w:tr w:rsidR="00F65184" w:rsidRPr="007C44A0" w14:paraId="7788E925" w14:textId="77777777" w:rsidTr="00420317">
        <w:trPr>
          <w:cantSplit/>
          <w:trHeight w:val="350"/>
        </w:trPr>
        <w:tc>
          <w:tcPr>
            <w:tcW w:w="715" w:type="dxa"/>
            <w:shd w:val="clear" w:color="auto" w:fill="auto"/>
            <w:vAlign w:val="bottom"/>
            <w:hideMark/>
          </w:tcPr>
          <w:p w14:paraId="2482531C" w14:textId="23D894B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6BB27C6" w14:textId="5CFAECE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4:c.872dupC:p.P291fs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4F19F29" w14:textId="5C73BD3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473C5A2" w14:textId="78BFEA12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871943E" w14:textId="59E7811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Simms RJ, Sayer JA, Quinton R, Walker M, Ellard S,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Goodship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TH. Monogenic diabetes, renal 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dysplasia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and hypopituitarism: a patient with a HNF1A mutation. QJM. 2011 Oct;104(10):881-3.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850F7CC" w14:textId="41DDF879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53F2ED2" w14:textId="2D679249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63F3DC5E" w14:textId="0158D2D4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1D59F730" w14:textId="63A4B00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6CBBA4" w14:textId="29CB003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6735D5" w14:textId="4893408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  <w:tr w:rsidR="00F65184" w:rsidRPr="007C44A0" w14:paraId="0D1193BD" w14:textId="77777777" w:rsidTr="00420317">
        <w:trPr>
          <w:cantSplit/>
          <w:trHeight w:val="980"/>
        </w:trPr>
        <w:tc>
          <w:tcPr>
            <w:tcW w:w="715" w:type="dxa"/>
            <w:shd w:val="clear" w:color="auto" w:fill="auto"/>
            <w:vAlign w:val="bottom"/>
            <w:hideMark/>
          </w:tcPr>
          <w:p w14:paraId="5A651631" w14:textId="40420E5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lastRenderedPageBreak/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311496A" w14:textId="6C6BE3A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6:c.1137delT:p.P379fs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93A4BC2" w14:textId="6EB85DD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C79532D" w14:textId="138CCC35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578CF5F" w14:textId="02C0F0C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Bellanné-Chantelot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Carette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Riveline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JP,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Valéro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R, Gautier JF, Larger E, et al. The type and the position of HNF1A mutation modulate age at diagnosis of diabetes in patients with maturity-onset diabetes of the young (MODY)-3. Diabetes. 2008 Feb;57(2):503-8.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br/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Maraschin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Jde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F,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Kannengiesser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Murussi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N, Campagnolo N,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Canani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LH, Gross JL, et al. HNF1alpha mutations are present in half of clinically defined MODY patients in South-Brazilian individuals.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Arq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Bras Endocrinol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Metabol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 2008 Nov;52(8):1326-31.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6B84A2C" w14:textId="533AB200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470271F2" w14:textId="55AA0877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3DA2356" w14:textId="4466ACE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28A6C97" w14:textId="75D2097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74A83C" w14:textId="435454A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66D54C" w14:textId="6EF2EFE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  <w:tr w:rsidR="00F65184" w:rsidRPr="007C44A0" w14:paraId="2C572919" w14:textId="77777777" w:rsidTr="00F65184">
        <w:trPr>
          <w:cantSplit/>
          <w:trHeight w:val="449"/>
        </w:trPr>
        <w:tc>
          <w:tcPr>
            <w:tcW w:w="715" w:type="dxa"/>
            <w:shd w:val="clear" w:color="auto" w:fill="auto"/>
            <w:vAlign w:val="bottom"/>
            <w:hideMark/>
          </w:tcPr>
          <w:p w14:paraId="765D65F1" w14:textId="5E1E386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81CB5CD" w14:textId="30B35A7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6:c.1137delT:p.P379fs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0775F01" w14:textId="6F45F59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grandparents, but no parents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E8461A2" w14:textId="0A7F2735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7A26D81" w14:textId="38B529B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Submitted to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by multiple submitters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D4FB139" w14:textId="39FD93A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54EBCDD" w14:textId="1E726D79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8B02627" w14:textId="4144A73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78B48506" w14:textId="0F79625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6035BC" w14:textId="04481A9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FA3F32" w14:textId="4AAD2E42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  <w:tr w:rsidR="00F65184" w:rsidRPr="007C44A0" w14:paraId="18264C95" w14:textId="77777777" w:rsidTr="00420317">
        <w:trPr>
          <w:cantSplit/>
          <w:trHeight w:val="70"/>
        </w:trPr>
        <w:tc>
          <w:tcPr>
            <w:tcW w:w="715" w:type="dxa"/>
            <w:shd w:val="clear" w:color="auto" w:fill="auto"/>
            <w:vAlign w:val="bottom"/>
            <w:hideMark/>
          </w:tcPr>
          <w:p w14:paraId="26D065F2" w14:textId="70FFBEC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23E3C1CB" w14:textId="24C30EA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7:c.G1501A:p.A501T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38E4A28" w14:textId="24294B0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2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34BFD053" w14:textId="6AD3F7E5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3DA7DA4B" w14:textId="28370F26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Owen KR, Stride A, Ellard S, Hattersley AT. Etiological investigation of diabetes in young adults presenting with apparent type 2 diabetes. Diabetes Care. 2003 Jul;26(7):2088-93.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B6E366D" w14:textId="169EED7E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7E2AE2DD" w14:textId="14990EF2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PM1(Hepatocyte nuclear factor 1, beta isoform,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E4E2E72" w14:textId="5ED7DE1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2858B67D" w14:textId="3FFC3C8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5DA28A" w14:textId="3138D32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316CC4" w14:textId="1897BE4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22.2</w:t>
            </w:r>
          </w:p>
        </w:tc>
      </w:tr>
      <w:tr w:rsidR="00F65184" w:rsidRPr="007C44A0" w14:paraId="1820F29A" w14:textId="77777777" w:rsidTr="00420317">
        <w:trPr>
          <w:cantSplit/>
          <w:trHeight w:val="80"/>
        </w:trPr>
        <w:tc>
          <w:tcPr>
            <w:tcW w:w="715" w:type="dxa"/>
            <w:shd w:val="clear" w:color="auto" w:fill="auto"/>
            <w:vAlign w:val="bottom"/>
            <w:hideMark/>
          </w:tcPr>
          <w:p w14:paraId="1054BE82" w14:textId="4CA90169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E1D348E" w14:textId="679A654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9:c.1735_1736insCGGCATCCAGCACCTGC:p.Q579fs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175EF52" w14:textId="2D883B2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46AFE6D" w14:textId="356C69E6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17AF42B7" w14:textId="5371985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Bansal V,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Gassenhuber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J, Phillips T, Oliveira G, Harbaugh R,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Villarasa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N, et al. Spectrum of mutations in monogenic diabetes genes identified from high-throughput DNA sequencing of 6888 individuals. BMC Med. 2017 12 6;15(1):213.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399F12EA" w14:textId="6BFA0A3E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26A569D6" w14:textId="171CB6E4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2D9ED84" w14:textId="12AE45F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D79B253" w14:textId="563485B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BAFE07" w14:textId="0677056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B057B1" w14:textId="66CCD309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  <w:tr w:rsidR="00F65184" w:rsidRPr="007C44A0" w14:paraId="0E8C5240" w14:textId="77777777" w:rsidTr="00420317">
        <w:trPr>
          <w:cantSplit/>
          <w:trHeight w:val="56"/>
        </w:trPr>
        <w:tc>
          <w:tcPr>
            <w:tcW w:w="715" w:type="dxa"/>
            <w:shd w:val="clear" w:color="auto" w:fill="auto"/>
            <w:vAlign w:val="bottom"/>
            <w:hideMark/>
          </w:tcPr>
          <w:p w14:paraId="4307B47E" w14:textId="3BFB20F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9A4289B" w14:textId="69CAAFB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000545:exon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10:c.T1885G:p.S629A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9B68C30" w14:textId="689D5C3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7B2CEB05" w14:textId="2899664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05411A01" w14:textId="439FF025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2D8F3D28" w14:textId="667114E1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6B29E21F" w14:textId="40B2204B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PM1(Hepatocyte nuclear factor 1, alpha isoform C-terminal)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0D4C11D" w14:textId="32066C1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3D014722" w14:textId="4C66009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12B5C5" w14:textId="2A0B686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D43F46" w14:textId="32E0B82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26.6</w:t>
            </w:r>
          </w:p>
        </w:tc>
      </w:tr>
      <w:tr w:rsidR="00F65184" w:rsidRPr="007C44A0" w14:paraId="3D7621C1" w14:textId="77777777" w:rsidTr="00420317">
        <w:trPr>
          <w:cantSplit/>
          <w:trHeight w:val="233"/>
        </w:trPr>
        <w:tc>
          <w:tcPr>
            <w:tcW w:w="715" w:type="dxa"/>
            <w:shd w:val="clear" w:color="auto" w:fill="auto"/>
            <w:vAlign w:val="bottom"/>
            <w:hideMark/>
          </w:tcPr>
          <w:p w14:paraId="383C115B" w14:textId="1FD220B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HNF1B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3729B0F" w14:textId="4EDF0F6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000458:exon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4:c.A913G:p.K305E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EB387D6" w14:textId="3A7D661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86EDA1C" w14:textId="1935ECCA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FB234F1" w14:textId="0C51096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22A5FA6A" w14:textId="40355CA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54846788" w14:textId="264B227B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PM1(Homeobox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domain;Homeodomain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-like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7684C0FE" w14:textId="007109ED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5DECC263" w14:textId="26D9E93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EA4261" w14:textId="4AC8B82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016B16" w14:textId="478CF740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26.7</w:t>
            </w:r>
          </w:p>
        </w:tc>
      </w:tr>
      <w:tr w:rsidR="00F65184" w:rsidRPr="007C44A0" w14:paraId="2D3CB5EA" w14:textId="77777777" w:rsidTr="00420317">
        <w:trPr>
          <w:cantSplit/>
          <w:trHeight w:val="332"/>
        </w:trPr>
        <w:tc>
          <w:tcPr>
            <w:tcW w:w="715" w:type="dxa"/>
            <w:shd w:val="clear" w:color="auto" w:fill="auto"/>
            <w:vAlign w:val="bottom"/>
            <w:hideMark/>
          </w:tcPr>
          <w:p w14:paraId="77F9BF21" w14:textId="502437D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HNF4A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432642E9" w14:textId="7C2C6BF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000457:exon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3:c.A376T:p.K126X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2DE1AA1B" w14:textId="50B8780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 generations, no parents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45478FE5" w14:textId="7DDE7C9E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56825F9" w14:textId="0209DE9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67859CDE" w14:textId="254F2F6B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BDFE192" w14:textId="100B590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PVS1(stop-gained) -- PM1(Nuclear hormone receptor,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ligand-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binding;Zinc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finger, NHR/GATA-type/nuclear hormone receptor-type)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PP3(computational predicted pathogenic)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6DD4740" w14:textId="7DD397BF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12033859" w14:textId="506A90C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95567F" w14:textId="73E08F6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240767" w14:textId="7C279D1C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38</w:t>
            </w:r>
          </w:p>
        </w:tc>
      </w:tr>
      <w:tr w:rsidR="00F65184" w:rsidRPr="007C44A0" w14:paraId="3ED4E1E4" w14:textId="77777777" w:rsidTr="00420317">
        <w:trPr>
          <w:cantSplit/>
          <w:trHeight w:val="1061"/>
        </w:trPr>
        <w:tc>
          <w:tcPr>
            <w:tcW w:w="715" w:type="dxa"/>
            <w:shd w:val="clear" w:color="auto" w:fill="auto"/>
            <w:vAlign w:val="bottom"/>
            <w:hideMark/>
          </w:tcPr>
          <w:p w14:paraId="0D1B8E07" w14:textId="3579CD20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KCNJ11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752468F9" w14:textId="6C06212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000525:exon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1:c.G685A:p.E229K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10DC0EC6" w14:textId="5773EA1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4 generations (with consanguinity)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652F6E36" w14:textId="47842C09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67A3F4DE" w14:textId="19927C6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Girard CA, Shimomura K,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Proks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P, Absalom N, Castano L, Perez de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Nanclares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G, et al. Functional analysis of six Kir6.2 (KCNJ11) mutations causing neonatal diabetes.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Pflugers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Arch. 2006 Dec;453(3):323-32.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7F5CE07" w14:textId="68408E6D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Likely 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4BEDB32A" w14:textId="428CE4F3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PM1(Immunoglobulin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E-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set;Potassium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 channel, inwardly rectifying,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Kir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, cytoplasmic)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 -- PP1 (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cosegregation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) -- PP3(computational predicted pathogenic) -- PP5(weak pathogenic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ClinVar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78FF3D2D" w14:textId="2D7DA303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72DAEF44" w14:textId="7AA89CE7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19F0B9" w14:textId="38918DE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34CE24" w14:textId="1D2A4958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32</w:t>
            </w:r>
          </w:p>
        </w:tc>
      </w:tr>
      <w:tr w:rsidR="00F65184" w:rsidRPr="007C44A0" w14:paraId="4A0CF4D1" w14:textId="77777777" w:rsidTr="00420317">
        <w:trPr>
          <w:cantSplit/>
          <w:trHeight w:val="70"/>
        </w:trPr>
        <w:tc>
          <w:tcPr>
            <w:tcW w:w="715" w:type="dxa"/>
            <w:shd w:val="clear" w:color="auto" w:fill="auto"/>
            <w:vAlign w:val="bottom"/>
            <w:hideMark/>
          </w:tcPr>
          <w:p w14:paraId="07EAC51F" w14:textId="11EB4E6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 w:rsidRPr="005959A3">
              <w:rPr>
                <w:rFonts w:ascii="Arial Narrow" w:hAnsi="Arial Narrow" w:cs="Calibri"/>
                <w:color w:val="000000"/>
                <w:sz w:val="14"/>
                <w:szCs w:val="14"/>
                <w:highlight w:val="yellow"/>
              </w:rPr>
              <w:t>PDX1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5498DFD9" w14:textId="7CE655A8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NM_</w:t>
            </w:r>
            <w:proofErr w:type="gram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000209:exon</w:t>
            </w:r>
            <w:proofErr w:type="gram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1:c.93delC:p.S31fs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07D05A68" w14:textId="62CAF281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at least 3 generations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14:paraId="5F2901B3" w14:textId="321E7283" w:rsidR="00F65184" w:rsidRPr="007C44A0" w:rsidRDefault="00F65184" w:rsidP="00F65184">
            <w:pPr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30" w:type="dxa"/>
            <w:shd w:val="clear" w:color="auto" w:fill="auto"/>
            <w:vAlign w:val="bottom"/>
            <w:hideMark/>
          </w:tcPr>
          <w:p w14:paraId="43331987" w14:textId="25DC7112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Novel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14:paraId="1A67204B" w14:textId="065E77AC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Pathogenic</w:t>
            </w:r>
          </w:p>
        </w:tc>
        <w:tc>
          <w:tcPr>
            <w:tcW w:w="1439" w:type="dxa"/>
            <w:shd w:val="clear" w:color="auto" w:fill="auto"/>
            <w:vAlign w:val="bottom"/>
            <w:hideMark/>
          </w:tcPr>
          <w:p w14:paraId="014EA555" w14:textId="37A63654" w:rsidR="00F65184" w:rsidRPr="007C44A0" w:rsidRDefault="00F65184" w:rsidP="00F65184">
            <w:pP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PVS1(frameshift) -- PM2(rare in </w:t>
            </w:r>
            <w:proofErr w:type="spellStart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gnomAD</w:t>
            </w:r>
            <w:proofErr w:type="spellEnd"/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1295751" w14:textId="6C25816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501" w:type="dxa"/>
            <w:shd w:val="clear" w:color="auto" w:fill="auto"/>
            <w:vAlign w:val="bottom"/>
            <w:hideMark/>
          </w:tcPr>
          <w:p w14:paraId="6A07830F" w14:textId="185CE9CC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3BCA70" w14:textId="7605CEAE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D20B6C" w14:textId="676CBFCB" w:rsidR="00F65184" w:rsidRPr="007C44A0" w:rsidRDefault="00F65184" w:rsidP="00F65184">
            <w:pPr>
              <w:rPr>
                <w:rFonts w:ascii="Arial Narrow" w:eastAsia="Times New Roman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.</w:t>
            </w:r>
          </w:p>
        </w:tc>
      </w:tr>
    </w:tbl>
    <w:p w14:paraId="3B5951B5" w14:textId="77777777" w:rsidR="00BC4193" w:rsidRPr="003E40E0" w:rsidRDefault="00BC4193" w:rsidP="00BC4193">
      <w:pPr>
        <w:pStyle w:val="ListParagraph"/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3E40E0">
        <w:rPr>
          <w:rFonts w:ascii="Arial Narrow" w:hAnsi="Arial Narrow"/>
          <w:sz w:val="16"/>
          <w:szCs w:val="16"/>
        </w:rPr>
        <w:t>Supplemental Table 1- Variant Scoring and Interpretation by Proband</w:t>
      </w:r>
    </w:p>
    <w:p w14:paraId="5CF1F067" w14:textId="5845CC06" w:rsidR="00BC4193" w:rsidRPr="00BC4193" w:rsidRDefault="00BC4193" w:rsidP="00BC4193">
      <w:pPr>
        <w:pStyle w:val="ListParagraph"/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3E40E0">
        <w:rPr>
          <w:rFonts w:ascii="Arial Narrow" w:hAnsi="Arial Narrow"/>
          <w:sz w:val="16"/>
          <w:szCs w:val="16"/>
        </w:rPr>
        <w:t xml:space="preserve">This table characterizes probands and variant scoring by </w:t>
      </w:r>
      <w:proofErr w:type="spellStart"/>
      <w:r w:rsidRPr="003E40E0">
        <w:rPr>
          <w:rFonts w:ascii="Arial Narrow" w:hAnsi="Arial Narrow"/>
          <w:sz w:val="16"/>
          <w:szCs w:val="16"/>
        </w:rPr>
        <w:t>MetaSVM</w:t>
      </w:r>
      <w:proofErr w:type="spellEnd"/>
      <w:r w:rsidRPr="003E40E0">
        <w:rPr>
          <w:rFonts w:ascii="Arial Narrow" w:hAnsi="Arial Narrow"/>
          <w:sz w:val="16"/>
          <w:szCs w:val="16"/>
        </w:rPr>
        <w:t xml:space="preserve">, SIFT, </w:t>
      </w:r>
      <w:proofErr w:type="spellStart"/>
      <w:r w:rsidRPr="003E40E0">
        <w:rPr>
          <w:rFonts w:ascii="Arial Narrow" w:hAnsi="Arial Narrow"/>
          <w:sz w:val="16"/>
          <w:szCs w:val="16"/>
        </w:rPr>
        <w:t>Polyphen</w:t>
      </w:r>
      <w:proofErr w:type="spellEnd"/>
      <w:r w:rsidRPr="003E40E0">
        <w:rPr>
          <w:rFonts w:ascii="Arial Narrow" w:hAnsi="Arial Narrow"/>
          <w:sz w:val="16"/>
          <w:szCs w:val="16"/>
        </w:rPr>
        <w:t xml:space="preserve"> 2, CADD s</w:t>
      </w:r>
      <w:r w:rsidR="007C77C8">
        <w:rPr>
          <w:rFonts w:ascii="Arial Narrow" w:hAnsi="Arial Narrow"/>
          <w:sz w:val="16"/>
          <w:szCs w:val="16"/>
        </w:rPr>
        <w:t>c</w:t>
      </w:r>
      <w:r w:rsidRPr="003E40E0">
        <w:rPr>
          <w:rFonts w:ascii="Arial Narrow" w:hAnsi="Arial Narrow"/>
          <w:sz w:val="16"/>
          <w:szCs w:val="16"/>
        </w:rPr>
        <w:t xml:space="preserve">ore, and ACMG </w:t>
      </w:r>
      <w:proofErr w:type="gramStart"/>
      <w:r w:rsidRPr="003E40E0">
        <w:rPr>
          <w:rFonts w:ascii="Arial Narrow" w:hAnsi="Arial Narrow"/>
          <w:sz w:val="16"/>
          <w:szCs w:val="16"/>
        </w:rPr>
        <w:t>classification</w:t>
      </w:r>
      <w:proofErr w:type="gramEnd"/>
    </w:p>
    <w:p w14:paraId="6E18D3CF" w14:textId="22B5E457" w:rsidR="003E40E0" w:rsidRPr="00566FF6" w:rsidRDefault="007C77C8" w:rsidP="007C77C8">
      <w:pPr>
        <w:ind w:left="360"/>
        <w:rPr>
          <w:rFonts w:ascii="Arial Narrow" w:hAnsi="Arial Narrow"/>
          <w:color w:val="333333"/>
          <w:sz w:val="16"/>
          <w:szCs w:val="16"/>
          <w:shd w:val="clear" w:color="auto" w:fill="FFFFFF"/>
        </w:rPr>
      </w:pPr>
      <w:proofErr w:type="spellStart"/>
      <w:r w:rsidRPr="00566FF6">
        <w:rPr>
          <w:rFonts w:ascii="Arial Narrow" w:hAnsi="Arial Narrow"/>
          <w:sz w:val="16"/>
          <w:szCs w:val="16"/>
        </w:rPr>
        <w:t>MetaSVM</w:t>
      </w:r>
      <w:proofErr w:type="spellEnd"/>
      <w:r w:rsidRPr="00566FF6">
        <w:rPr>
          <w:rFonts w:ascii="Arial Narrow" w:hAnsi="Arial Narrow"/>
          <w:sz w:val="16"/>
          <w:szCs w:val="16"/>
        </w:rPr>
        <w:t xml:space="preserve">- </w:t>
      </w:r>
      <w:r w:rsidRPr="00566FF6">
        <w:rPr>
          <w:rFonts w:ascii="Arial Narrow" w:hAnsi="Arial Narrow"/>
          <w:color w:val="333333"/>
          <w:sz w:val="16"/>
          <w:szCs w:val="16"/>
          <w:shd w:val="clear" w:color="auto" w:fill="FFFFFF"/>
        </w:rPr>
        <w:t>D: Deleterious; T: Tolerated</w:t>
      </w:r>
    </w:p>
    <w:p w14:paraId="4CDE171E" w14:textId="78981D6C" w:rsidR="007C77C8" w:rsidRPr="00566FF6" w:rsidRDefault="007C77C8" w:rsidP="007C77C8">
      <w:pPr>
        <w:ind w:left="360"/>
        <w:rPr>
          <w:rFonts w:ascii="Arial Narrow" w:hAnsi="Arial Narrow"/>
          <w:color w:val="333333"/>
          <w:sz w:val="16"/>
          <w:szCs w:val="16"/>
          <w:shd w:val="clear" w:color="auto" w:fill="FFFFFF"/>
        </w:rPr>
      </w:pPr>
      <w:r w:rsidRPr="00566FF6">
        <w:rPr>
          <w:rFonts w:ascii="Arial Narrow" w:hAnsi="Arial Narrow"/>
          <w:color w:val="333333"/>
          <w:sz w:val="16"/>
          <w:szCs w:val="16"/>
          <w:shd w:val="clear" w:color="auto" w:fill="FFFFFF"/>
        </w:rPr>
        <w:t>SIFT- D: Deleterious, T: Tolerated</w:t>
      </w:r>
    </w:p>
    <w:p w14:paraId="7EADA51A" w14:textId="16E310B2" w:rsidR="007C77C8" w:rsidRPr="00566FF6" w:rsidRDefault="007C77C8" w:rsidP="007C77C8">
      <w:pPr>
        <w:ind w:left="360"/>
        <w:rPr>
          <w:rFonts w:ascii="Arial Narrow" w:hAnsi="Arial Narrow"/>
          <w:color w:val="333333"/>
          <w:sz w:val="16"/>
          <w:szCs w:val="16"/>
          <w:shd w:val="clear" w:color="auto" w:fill="FFFFFF"/>
        </w:rPr>
      </w:pPr>
      <w:proofErr w:type="spellStart"/>
      <w:r w:rsidRPr="00566FF6">
        <w:rPr>
          <w:rFonts w:ascii="Arial Narrow" w:hAnsi="Arial Narrow"/>
          <w:color w:val="333333"/>
          <w:sz w:val="16"/>
          <w:szCs w:val="16"/>
          <w:shd w:val="clear" w:color="auto" w:fill="FFFFFF"/>
        </w:rPr>
        <w:t>Polyphen</w:t>
      </w:r>
      <w:proofErr w:type="spellEnd"/>
      <w:r w:rsidRPr="00566FF6">
        <w:rPr>
          <w:rFonts w:ascii="Arial Narrow" w:hAnsi="Arial Narrow"/>
          <w:color w:val="333333"/>
          <w:sz w:val="16"/>
          <w:szCs w:val="16"/>
          <w:shd w:val="clear" w:color="auto" w:fill="FFFFFF"/>
        </w:rPr>
        <w:t xml:space="preserve"> 2- D: Probably damaging P: Possibly damaging),</w:t>
      </w:r>
      <w:r w:rsidRPr="00566FF6">
        <w:rPr>
          <w:rFonts w:ascii="Arial Narrow" w:hAnsi="Arial Narrow"/>
          <w:color w:val="333333"/>
          <w:sz w:val="16"/>
          <w:szCs w:val="16"/>
        </w:rPr>
        <w:t xml:space="preserve"> </w:t>
      </w:r>
      <w:r w:rsidRPr="00566FF6">
        <w:rPr>
          <w:rFonts w:ascii="Arial Narrow" w:hAnsi="Arial Narrow"/>
          <w:color w:val="333333"/>
          <w:sz w:val="16"/>
          <w:szCs w:val="16"/>
          <w:shd w:val="clear" w:color="auto" w:fill="FFFFFF"/>
        </w:rPr>
        <w:t xml:space="preserve">B: </w:t>
      </w:r>
      <w:proofErr w:type="gramStart"/>
      <w:r w:rsidRPr="00566FF6">
        <w:rPr>
          <w:rFonts w:ascii="Arial Narrow" w:hAnsi="Arial Narrow"/>
          <w:color w:val="333333"/>
          <w:sz w:val="16"/>
          <w:szCs w:val="16"/>
          <w:shd w:val="clear" w:color="auto" w:fill="FFFFFF"/>
        </w:rPr>
        <w:t>benign</w:t>
      </w:r>
      <w:proofErr w:type="gramEnd"/>
      <w:r w:rsidRPr="00566FF6">
        <w:rPr>
          <w:rFonts w:ascii="Arial Narrow" w:hAnsi="Arial Narrow"/>
          <w:color w:val="333333"/>
          <w:sz w:val="16"/>
          <w:szCs w:val="16"/>
          <w:shd w:val="clear" w:color="auto" w:fill="FFFFFF"/>
        </w:rPr>
        <w:t xml:space="preserve"> </w:t>
      </w:r>
    </w:p>
    <w:p w14:paraId="20043E61" w14:textId="448A2E6F" w:rsidR="007C77C8" w:rsidRPr="00566FF6" w:rsidRDefault="007C77C8" w:rsidP="007C77C8">
      <w:pPr>
        <w:ind w:left="360"/>
        <w:rPr>
          <w:rFonts w:ascii="Arial Narrow" w:hAnsi="Arial Narrow"/>
          <w:sz w:val="16"/>
          <w:szCs w:val="16"/>
        </w:rPr>
      </w:pPr>
      <w:r w:rsidRPr="00566FF6">
        <w:rPr>
          <w:rFonts w:ascii="Arial Narrow" w:hAnsi="Arial Narrow" w:cs="Calibri"/>
          <w:sz w:val="16"/>
          <w:szCs w:val="16"/>
        </w:rPr>
        <w:t>CADD score</w:t>
      </w:r>
      <w:r w:rsidR="00566FF6">
        <w:rPr>
          <w:rFonts w:ascii="Arial Narrow" w:hAnsi="Arial Narrow" w:cs="Calibri"/>
          <w:sz w:val="16"/>
          <w:szCs w:val="16"/>
        </w:rPr>
        <w:t xml:space="preserve">- </w:t>
      </w:r>
      <w:r w:rsidRPr="00566FF6">
        <w:rPr>
          <w:rFonts w:ascii="Arial Narrow" w:hAnsi="Arial Narrow" w:cs="Calibri"/>
          <w:sz w:val="16"/>
          <w:szCs w:val="16"/>
        </w:rPr>
        <w:t xml:space="preserve">ranges from 1 to 99 (Higher score </w:t>
      </w:r>
      <w:r w:rsidRPr="00566FF6">
        <w:rPr>
          <w:rFonts w:ascii="Cambria Math" w:hAnsi="Cambria Math" w:cs="Cambria Math"/>
          <w:sz w:val="16"/>
          <w:szCs w:val="16"/>
        </w:rPr>
        <w:t>‐</w:t>
      </w:r>
      <w:r w:rsidRPr="00566FF6">
        <w:rPr>
          <w:rFonts w:ascii="Arial Narrow" w:hAnsi="Arial Narrow" w:cs="Calibri"/>
          <w:sz w:val="16"/>
          <w:szCs w:val="16"/>
        </w:rPr>
        <w:t>&gt; Greater deleteriousness)</w:t>
      </w:r>
    </w:p>
    <w:sectPr w:rsidR="007C77C8" w:rsidRPr="00566FF6" w:rsidSect="00CC64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0E4"/>
    <w:multiLevelType w:val="hybridMultilevel"/>
    <w:tmpl w:val="1CAEB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4C9F"/>
    <w:multiLevelType w:val="hybridMultilevel"/>
    <w:tmpl w:val="55CCF2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443B6"/>
    <w:multiLevelType w:val="hybridMultilevel"/>
    <w:tmpl w:val="4B58D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A3EE6"/>
    <w:multiLevelType w:val="hybridMultilevel"/>
    <w:tmpl w:val="E67A6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1E"/>
    <w:rsid w:val="00286EAA"/>
    <w:rsid w:val="003E40E0"/>
    <w:rsid w:val="00420317"/>
    <w:rsid w:val="004B6DAF"/>
    <w:rsid w:val="00566FF6"/>
    <w:rsid w:val="005959A3"/>
    <w:rsid w:val="00654EEF"/>
    <w:rsid w:val="007C44A0"/>
    <w:rsid w:val="007C77C8"/>
    <w:rsid w:val="007E3A1E"/>
    <w:rsid w:val="007F6515"/>
    <w:rsid w:val="00825EA3"/>
    <w:rsid w:val="00873466"/>
    <w:rsid w:val="00964F4D"/>
    <w:rsid w:val="009D3352"/>
    <w:rsid w:val="00A17446"/>
    <w:rsid w:val="00B6578B"/>
    <w:rsid w:val="00BC4193"/>
    <w:rsid w:val="00CC641B"/>
    <w:rsid w:val="00DB6E30"/>
    <w:rsid w:val="00E72917"/>
    <w:rsid w:val="00F65184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B7DD"/>
  <w15:docId w15:val="{0B0F85B1-2DE0-49F2-A7CA-5459F3CE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36ED5-02AB-4CA6-9620-CCA4A8A4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4486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Bikoff</dc:creator>
  <cp:lastModifiedBy>Emily Breidbart</cp:lastModifiedBy>
  <cp:revision>4</cp:revision>
  <dcterms:created xsi:type="dcterms:W3CDTF">2021-01-14T04:13:00Z</dcterms:created>
  <dcterms:modified xsi:type="dcterms:W3CDTF">2021-01-14T04:20:00Z</dcterms:modified>
</cp:coreProperties>
</file>