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4274" w14:textId="3CA2A089" w:rsidR="002D77F8" w:rsidRPr="00C76204" w:rsidRDefault="00C76204" w:rsidP="002D77F8">
      <w:pPr>
        <w:spacing w:line="360" w:lineRule="auto"/>
        <w:rPr>
          <w:rFonts w:ascii="Arial" w:eastAsia="宋体" w:hAnsi="Arial" w:cs="Arial"/>
          <w:b/>
          <w:bCs/>
          <w:sz w:val="24"/>
          <w:szCs w:val="24"/>
        </w:rPr>
      </w:pPr>
      <w:bookmarkStart w:id="0" w:name="_Hlk35203257"/>
      <w:r>
        <w:rPr>
          <w:rFonts w:ascii="Arial" w:eastAsia="宋体" w:hAnsi="Arial" w:cs="Arial"/>
          <w:b/>
          <w:bCs/>
          <w:sz w:val="24"/>
          <w:szCs w:val="24"/>
        </w:rPr>
        <w:t xml:space="preserve">Supplemental </w:t>
      </w:r>
      <w:r w:rsidR="002D77F8" w:rsidRPr="00C76204">
        <w:rPr>
          <w:rFonts w:ascii="Arial" w:eastAsia="宋体" w:hAnsi="Arial" w:cs="Arial"/>
          <w:b/>
          <w:bCs/>
          <w:sz w:val="24"/>
          <w:szCs w:val="24"/>
        </w:rPr>
        <w:t xml:space="preserve">Table </w:t>
      </w:r>
      <w:r w:rsidR="005C0BDA">
        <w:rPr>
          <w:rFonts w:ascii="Arial" w:eastAsia="宋体" w:hAnsi="Arial" w:cs="Arial"/>
          <w:b/>
          <w:bCs/>
          <w:sz w:val="24"/>
          <w:szCs w:val="24"/>
        </w:rPr>
        <w:t>1</w:t>
      </w:r>
      <w:r w:rsidR="002D77F8" w:rsidRPr="00C76204">
        <w:rPr>
          <w:rFonts w:ascii="Arial" w:eastAsia="宋体" w:hAnsi="Arial" w:cs="Arial"/>
          <w:b/>
          <w:bCs/>
          <w:sz w:val="24"/>
          <w:szCs w:val="24"/>
        </w:rPr>
        <w:t xml:space="preserve">. </w:t>
      </w:r>
      <w:r w:rsidR="002D77F8" w:rsidRPr="00C76204">
        <w:rPr>
          <w:rFonts w:ascii="Arial" w:eastAsia="宋体" w:hAnsi="Arial" w:cs="Arial"/>
          <w:sz w:val="24"/>
          <w:szCs w:val="24"/>
        </w:rPr>
        <w:t>The lymphocyte subsets differences between</w:t>
      </w:r>
      <w:r w:rsidR="00C718D7" w:rsidRPr="00C76204">
        <w:rPr>
          <w:rFonts w:ascii="Arial" w:eastAsia="宋体" w:hAnsi="Arial" w:cs="Arial"/>
          <w:sz w:val="24"/>
          <w:szCs w:val="24"/>
        </w:rPr>
        <w:t xml:space="preserve"> microscopic hematuria and non-hematuria</w:t>
      </w:r>
      <w:r w:rsidR="002D77F8" w:rsidRPr="00C76204">
        <w:rPr>
          <w:rFonts w:ascii="Arial" w:eastAsia="宋体" w:hAnsi="Arial" w:cs="Arial"/>
          <w:sz w:val="24"/>
          <w:szCs w:val="24"/>
        </w:rPr>
        <w:t xml:space="preserve"> groups</w:t>
      </w:r>
      <w:r w:rsidR="00323EFA" w:rsidRPr="00C76204">
        <w:rPr>
          <w:rFonts w:ascii="Arial" w:eastAsia="宋体" w:hAnsi="Arial" w:cs="Arial"/>
          <w:sz w:val="24"/>
          <w:szCs w:val="24"/>
        </w:rPr>
        <w:t>.</w:t>
      </w:r>
    </w:p>
    <w:tbl>
      <w:tblPr>
        <w:tblStyle w:val="-1"/>
        <w:tblW w:w="4999" w:type="pct"/>
        <w:tblLook w:val="04A0" w:firstRow="1" w:lastRow="0" w:firstColumn="1" w:lastColumn="0" w:noHBand="0" w:noVBand="1"/>
      </w:tblPr>
      <w:tblGrid>
        <w:gridCol w:w="2835"/>
        <w:gridCol w:w="2268"/>
        <w:gridCol w:w="2834"/>
        <w:gridCol w:w="1421"/>
      </w:tblGrid>
      <w:tr w:rsidR="002D77F8" w:rsidRPr="00C76204" w14:paraId="55E5A3E5" w14:textId="77777777" w:rsidTr="00E37C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bookmarkEnd w:id="0"/>
          <w:p w14:paraId="3EFB4CFC" w14:textId="3EC0C155" w:rsidR="002D77F8" w:rsidRPr="00C76204" w:rsidRDefault="002D77F8" w:rsidP="002D77F8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Lymphocyte subsets</w:t>
            </w:r>
          </w:p>
        </w:tc>
        <w:tc>
          <w:tcPr>
            <w:tcW w:w="1212" w:type="pct"/>
          </w:tcPr>
          <w:p w14:paraId="49C52827" w14:textId="560BAA8A" w:rsidR="002D77F8" w:rsidRPr="00C76204" w:rsidRDefault="00C718D7" w:rsidP="002D77F8">
            <w:pPr>
              <w:spacing w:line="360" w:lineRule="auto"/>
              <w:ind w:left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hematuria</w:t>
            </w:r>
            <w:r w:rsidR="002D77F8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group</w:t>
            </w:r>
            <w:r w:rsidR="00BE48B5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="002D77F8" w:rsidRPr="00C7620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n=</w:t>
            </w:r>
            <w:r w:rsidR="000B525A" w:rsidRPr="00C7620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26</w:t>
            </w:r>
            <w:r w:rsidR="00BE48B5" w:rsidRPr="00C7620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514" w:type="pct"/>
          </w:tcPr>
          <w:p w14:paraId="2BA23A62" w14:textId="5D3FF673" w:rsidR="002D77F8" w:rsidRPr="00C76204" w:rsidRDefault="002D77F8" w:rsidP="002D77F8">
            <w:pPr>
              <w:spacing w:line="360" w:lineRule="auto"/>
              <w:ind w:left="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non-</w:t>
            </w:r>
            <w:r w:rsidR="00C718D7" w:rsidRPr="00C76204">
              <w:rPr>
                <w:rFonts w:ascii="Arial" w:hAnsi="Arial" w:cs="Arial"/>
                <w:color w:val="auto"/>
                <w:sz w:val="24"/>
                <w:szCs w:val="24"/>
              </w:rPr>
              <w:t>hematuria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group</w:t>
            </w:r>
            <w:r w:rsidR="00BE48B5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="00E84F76" w:rsidRPr="00C76204"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=</w:t>
            </w:r>
            <w:r w:rsidR="000B525A" w:rsidRPr="00C76204">
              <w:rPr>
                <w:rFonts w:ascii="Arial" w:hAnsi="Arial" w:cs="Arial"/>
                <w:color w:val="auto"/>
                <w:sz w:val="24"/>
                <w:szCs w:val="24"/>
              </w:rPr>
              <w:t>112</w:t>
            </w:r>
            <w:r w:rsidR="00BE48B5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759" w:type="pct"/>
          </w:tcPr>
          <w:p w14:paraId="09A68FC1" w14:textId="068236D0" w:rsidR="002D77F8" w:rsidRPr="00C76204" w:rsidRDefault="002D77F8" w:rsidP="002D77F8">
            <w:pPr>
              <w:spacing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>P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values</w:t>
            </w:r>
          </w:p>
        </w:tc>
      </w:tr>
      <w:tr w:rsidR="00C718D7" w:rsidRPr="00C76204" w14:paraId="4873EE2F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65CD7EA7" w14:textId="344A0CC2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Lymphocytes (×10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9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/</w:t>
            </w:r>
            <w:proofErr w:type="gramStart"/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L)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212" w:type="pct"/>
          </w:tcPr>
          <w:p w14:paraId="1780AD2E" w14:textId="5F62F8A7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2.81±0.88</w:t>
            </w:r>
          </w:p>
        </w:tc>
        <w:tc>
          <w:tcPr>
            <w:tcW w:w="1514" w:type="pct"/>
          </w:tcPr>
          <w:p w14:paraId="3E806F64" w14:textId="150F037B" w:rsidR="00C718D7" w:rsidRPr="00C76204" w:rsidRDefault="00C718D7" w:rsidP="00C718D7">
            <w:pPr>
              <w:spacing w:line="360" w:lineRule="auto"/>
              <w:ind w:left="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2.69±0.93</w:t>
            </w:r>
          </w:p>
        </w:tc>
        <w:tc>
          <w:tcPr>
            <w:tcW w:w="759" w:type="pct"/>
          </w:tcPr>
          <w:p w14:paraId="603E1336" w14:textId="6E54F83D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0.577</w:t>
            </w:r>
          </w:p>
        </w:tc>
      </w:tr>
      <w:tr w:rsidR="00C718D7" w:rsidRPr="00C76204" w14:paraId="5BF4CFEE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22856CAC" w14:textId="0146671F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Lymphocytes (</w:t>
            </w:r>
            <w:proofErr w:type="gramStart"/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212" w:type="pct"/>
          </w:tcPr>
          <w:p w14:paraId="73A6D607" w14:textId="1C83AD9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42.39±11.69</w:t>
            </w:r>
          </w:p>
        </w:tc>
        <w:tc>
          <w:tcPr>
            <w:tcW w:w="1514" w:type="pct"/>
          </w:tcPr>
          <w:p w14:paraId="626DB8B0" w14:textId="7E2AC905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42.81±12.04</w:t>
            </w:r>
          </w:p>
        </w:tc>
        <w:tc>
          <w:tcPr>
            <w:tcW w:w="759" w:type="pct"/>
          </w:tcPr>
          <w:p w14:paraId="26531261" w14:textId="132240C1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0.878</w:t>
            </w:r>
          </w:p>
        </w:tc>
      </w:tr>
      <w:tr w:rsidR="00C718D7" w:rsidRPr="00C76204" w14:paraId="116A75EB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59D9BC3E" w14:textId="52F96BDB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CD19+CD23+ (</w:t>
            </w:r>
            <w:proofErr w:type="gramStart"/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212" w:type="pct"/>
          </w:tcPr>
          <w:p w14:paraId="11178E1D" w14:textId="5740A559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12.90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7.90-16.6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1514" w:type="pct"/>
          </w:tcPr>
          <w:p w14:paraId="4FB39E1D" w14:textId="1B545D7C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10.90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8.5-13.80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759" w:type="pct"/>
          </w:tcPr>
          <w:p w14:paraId="38C5A57D" w14:textId="6AE980F9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0.223</w:t>
            </w:r>
          </w:p>
        </w:tc>
      </w:tr>
      <w:tr w:rsidR="00C718D7" w:rsidRPr="00C76204" w14:paraId="0FFC44A7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3C3A731E" w14:textId="7C419A4B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CD3+ (</w:t>
            </w:r>
            <w:proofErr w:type="gramStart"/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b</w:t>
            </w:r>
            <w:proofErr w:type="gramEnd"/>
          </w:p>
        </w:tc>
        <w:tc>
          <w:tcPr>
            <w:tcW w:w="1212" w:type="pct"/>
          </w:tcPr>
          <w:p w14:paraId="295F08F6" w14:textId="36567C1E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66.6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62.2-70.5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1514" w:type="pct"/>
          </w:tcPr>
          <w:p w14:paraId="3DE78EA6" w14:textId="21E54202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69.5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61.6-73.7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759" w:type="pct"/>
          </w:tcPr>
          <w:p w14:paraId="77584281" w14:textId="66600C6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0.404</w:t>
            </w:r>
          </w:p>
        </w:tc>
      </w:tr>
      <w:tr w:rsidR="00C718D7" w:rsidRPr="00C76204" w14:paraId="33094FC0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5BE282D3" w14:textId="6F08EDB6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CD3+CD4+ (</w:t>
            </w:r>
            <w:proofErr w:type="gramStart"/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212" w:type="pct"/>
          </w:tcPr>
          <w:p w14:paraId="1BC1AF6C" w14:textId="7E66078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35.20±5.4</w:t>
            </w:r>
          </w:p>
        </w:tc>
        <w:tc>
          <w:tcPr>
            <w:tcW w:w="1514" w:type="pct"/>
          </w:tcPr>
          <w:p w14:paraId="707382BF" w14:textId="4361881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35.70±6.8</w:t>
            </w:r>
          </w:p>
        </w:tc>
        <w:tc>
          <w:tcPr>
            <w:tcW w:w="759" w:type="pct"/>
          </w:tcPr>
          <w:p w14:paraId="1A6BC24A" w14:textId="5368094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0.730</w:t>
            </w:r>
          </w:p>
        </w:tc>
      </w:tr>
      <w:tr w:rsidR="00C718D7" w:rsidRPr="00C76204" w14:paraId="3A6387F5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07453B71" w14:textId="0BD75601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CD3+CD8+ (</w:t>
            </w:r>
            <w:proofErr w:type="gramStart"/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212" w:type="pct"/>
          </w:tcPr>
          <w:p w14:paraId="0606047E" w14:textId="0BF5827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22.90±5.6</w:t>
            </w:r>
          </w:p>
        </w:tc>
        <w:tc>
          <w:tcPr>
            <w:tcW w:w="1514" w:type="pct"/>
          </w:tcPr>
          <w:p w14:paraId="2FE71038" w14:textId="39B22578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24.10±5.8</w:t>
            </w:r>
          </w:p>
        </w:tc>
        <w:tc>
          <w:tcPr>
            <w:tcW w:w="759" w:type="pct"/>
          </w:tcPr>
          <w:p w14:paraId="4E6601E5" w14:textId="75138E05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0.398</w:t>
            </w:r>
          </w:p>
        </w:tc>
      </w:tr>
      <w:tr w:rsidR="00C718D7" w:rsidRPr="00C76204" w14:paraId="38708181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</w:tcPr>
          <w:p w14:paraId="17638CB6" w14:textId="48143F7A" w:rsidR="00C718D7" w:rsidRPr="00C76204" w:rsidRDefault="00C718D7" w:rsidP="00C718D7">
            <w:pPr>
              <w:spacing w:line="360" w:lineRule="auto"/>
              <w:ind w:left="1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CD3-CD56+/CD16+ (</w:t>
            </w:r>
            <w:proofErr w:type="gramStart"/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212" w:type="pct"/>
          </w:tcPr>
          <w:p w14:paraId="6119D943" w14:textId="479D47FD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13.3±5.8</w:t>
            </w:r>
          </w:p>
        </w:tc>
        <w:tc>
          <w:tcPr>
            <w:tcW w:w="1514" w:type="pct"/>
          </w:tcPr>
          <w:p w14:paraId="37B0D38E" w14:textId="571DC5CA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13.3±6.9</w:t>
            </w:r>
          </w:p>
        </w:tc>
        <w:tc>
          <w:tcPr>
            <w:tcW w:w="759" w:type="pct"/>
          </w:tcPr>
          <w:p w14:paraId="15B0BDDD" w14:textId="3FEA612F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0.985</w:t>
            </w:r>
          </w:p>
        </w:tc>
      </w:tr>
      <w:tr w:rsidR="00C718D7" w:rsidRPr="00C76204" w14:paraId="1F22551D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  <w:tcBorders>
              <w:bottom w:val="nil"/>
            </w:tcBorders>
          </w:tcPr>
          <w:p w14:paraId="4F2510DF" w14:textId="1D72831D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CD3-CD19+ (</w:t>
            </w:r>
            <w:proofErr w:type="gramStart"/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%)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212" w:type="pct"/>
            <w:tcBorders>
              <w:bottom w:val="nil"/>
            </w:tcBorders>
          </w:tcPr>
          <w:p w14:paraId="5C052123" w14:textId="7D85D86F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18.4±7.8</w:t>
            </w:r>
          </w:p>
        </w:tc>
        <w:tc>
          <w:tcPr>
            <w:tcW w:w="1514" w:type="pct"/>
            <w:tcBorders>
              <w:bottom w:val="nil"/>
            </w:tcBorders>
          </w:tcPr>
          <w:p w14:paraId="4BD52BA8" w14:textId="61574099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17.4±6.4</w:t>
            </w:r>
          </w:p>
        </w:tc>
        <w:tc>
          <w:tcPr>
            <w:tcW w:w="759" w:type="pct"/>
            <w:tcBorders>
              <w:bottom w:val="nil"/>
            </w:tcBorders>
          </w:tcPr>
          <w:p w14:paraId="4BF8B41B" w14:textId="62473F49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0.479</w:t>
            </w:r>
          </w:p>
        </w:tc>
      </w:tr>
      <w:tr w:rsidR="00C718D7" w:rsidRPr="00C76204" w14:paraId="5B9480AA" w14:textId="77777777" w:rsidTr="00E37C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5" w:type="pct"/>
            <w:tcBorders>
              <w:top w:val="nil"/>
              <w:left w:val="nil"/>
              <w:bottom w:val="single" w:sz="8" w:space="0" w:color="4472C4" w:themeColor="accent1"/>
              <w:right w:val="nil"/>
            </w:tcBorders>
          </w:tcPr>
          <w:p w14:paraId="03280332" w14:textId="51E59AD5" w:rsidR="00C718D7" w:rsidRPr="00C76204" w:rsidRDefault="00C718D7" w:rsidP="00C718D7">
            <w:pPr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</w:rPr>
              <w:t>CD4/CD8</w:t>
            </w:r>
            <w:r w:rsidRPr="00C76204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12" w:type="pct"/>
            <w:tcBorders>
              <w:top w:val="nil"/>
              <w:bottom w:val="single" w:sz="8" w:space="0" w:color="4472C4" w:themeColor="accent1"/>
              <w:right w:val="nil"/>
            </w:tcBorders>
          </w:tcPr>
          <w:p w14:paraId="310F377C" w14:textId="0C5DD6DB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1.50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1.10-2.10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1514" w:type="pct"/>
            <w:tcBorders>
              <w:top w:val="nil"/>
              <w:bottom w:val="single" w:sz="8" w:space="0" w:color="4472C4" w:themeColor="accent1"/>
              <w:right w:val="nil"/>
            </w:tcBorders>
          </w:tcPr>
          <w:p w14:paraId="2FD04ADF" w14:textId="706ED5A6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1.50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1.20-1.90</w:t>
            </w:r>
            <w:r w:rsidR="00E45410" w:rsidRPr="00C76204">
              <w:rPr>
                <w:rFonts w:ascii="Arial" w:hAnsi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759" w:type="pct"/>
            <w:tcBorders>
              <w:top w:val="nil"/>
              <w:bottom w:val="single" w:sz="8" w:space="0" w:color="4472C4" w:themeColor="accent1"/>
              <w:right w:val="nil"/>
            </w:tcBorders>
          </w:tcPr>
          <w:p w14:paraId="64D507AE" w14:textId="26CF6AB8" w:rsidR="00C718D7" w:rsidRPr="00C76204" w:rsidRDefault="00C718D7" w:rsidP="00C718D7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6204">
              <w:rPr>
                <w:rFonts w:ascii="Arial" w:hAnsi="Arial" w:cs="Arial"/>
                <w:color w:val="auto"/>
                <w:sz w:val="24"/>
                <w:szCs w:val="24"/>
              </w:rPr>
              <w:t>0.771</w:t>
            </w:r>
          </w:p>
        </w:tc>
      </w:tr>
    </w:tbl>
    <w:p w14:paraId="78003148" w14:textId="313F186C" w:rsidR="00864B56" w:rsidRPr="00C76204" w:rsidRDefault="002D77F8" w:rsidP="00C76204">
      <w:pPr>
        <w:ind w:left="1"/>
        <w:jc w:val="left"/>
        <w:rPr>
          <w:rFonts w:ascii="Arial" w:eastAsia="宋体" w:hAnsi="Arial" w:cs="Arial"/>
          <w:sz w:val="20"/>
          <w:szCs w:val="20"/>
        </w:rPr>
      </w:pPr>
      <w:r w:rsidRPr="00C76204">
        <w:rPr>
          <w:rFonts w:ascii="Arial" w:eastAsia="宋体" w:hAnsi="Arial" w:cs="Arial"/>
          <w:sz w:val="20"/>
          <w:szCs w:val="20"/>
          <w:vertAlign w:val="superscript"/>
        </w:rPr>
        <w:t>a</w:t>
      </w:r>
      <w:r w:rsidRPr="00C76204">
        <w:rPr>
          <w:rFonts w:ascii="Arial" w:eastAsia="宋体" w:hAnsi="Arial" w:cs="Arial"/>
          <w:sz w:val="20"/>
          <w:szCs w:val="20"/>
        </w:rPr>
        <w:t>The data were normally distributed</w:t>
      </w:r>
      <w:r w:rsidR="00864B56" w:rsidRPr="00C76204">
        <w:rPr>
          <w:rFonts w:ascii="Arial" w:eastAsia="宋体" w:hAnsi="Arial" w:cs="Arial"/>
          <w:sz w:val="20"/>
          <w:szCs w:val="20"/>
        </w:rPr>
        <w:t>.</w:t>
      </w:r>
    </w:p>
    <w:p w14:paraId="6B18ED85" w14:textId="5C98AE7D" w:rsidR="002D77F8" w:rsidRPr="00C76204" w:rsidRDefault="00864B56" w:rsidP="00C76204">
      <w:pPr>
        <w:ind w:left="1"/>
        <w:jc w:val="left"/>
        <w:rPr>
          <w:rFonts w:ascii="Arial" w:eastAsia="宋体" w:hAnsi="Arial" w:cs="Arial"/>
          <w:sz w:val="20"/>
          <w:szCs w:val="20"/>
        </w:rPr>
      </w:pPr>
      <w:r w:rsidRPr="00C76204">
        <w:rPr>
          <w:rFonts w:ascii="Arial" w:eastAsia="宋体" w:hAnsi="Arial" w:cs="Arial"/>
          <w:sz w:val="20"/>
          <w:szCs w:val="20"/>
          <w:vertAlign w:val="superscript"/>
        </w:rPr>
        <w:t>b</w:t>
      </w:r>
      <w:r w:rsidRPr="00C76204">
        <w:rPr>
          <w:rFonts w:ascii="Arial" w:eastAsia="宋体" w:hAnsi="Arial" w:cs="Arial"/>
          <w:sz w:val="20"/>
          <w:szCs w:val="20"/>
        </w:rPr>
        <w:t>The data were not normally distributed.</w:t>
      </w:r>
    </w:p>
    <w:p w14:paraId="686AE7A5" w14:textId="77777777" w:rsidR="00864B56" w:rsidRPr="00C76204" w:rsidRDefault="00864B56" w:rsidP="002D77F8">
      <w:pPr>
        <w:spacing w:line="360" w:lineRule="auto"/>
        <w:ind w:left="1"/>
        <w:jc w:val="left"/>
        <w:rPr>
          <w:rFonts w:ascii="Arial" w:eastAsia="宋体" w:hAnsi="Arial" w:cs="Arial"/>
          <w:sz w:val="24"/>
          <w:szCs w:val="24"/>
        </w:rPr>
      </w:pPr>
    </w:p>
    <w:p w14:paraId="4077B453" w14:textId="77777777" w:rsidR="004266A9" w:rsidRPr="00C76204" w:rsidRDefault="004266A9">
      <w:pPr>
        <w:rPr>
          <w:rFonts w:ascii="Arial" w:hAnsi="Arial" w:cs="Arial"/>
          <w:sz w:val="24"/>
          <w:szCs w:val="24"/>
        </w:rPr>
      </w:pPr>
    </w:p>
    <w:sectPr w:rsidR="004266A9" w:rsidRPr="00C76204" w:rsidSect="002D77F8">
      <w:pgSz w:w="12240" w:h="15840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4DA1B" w14:textId="77777777" w:rsidR="00E60A1E" w:rsidRDefault="00E60A1E" w:rsidP="002D77F8">
      <w:r>
        <w:separator/>
      </w:r>
    </w:p>
  </w:endnote>
  <w:endnote w:type="continuationSeparator" w:id="0">
    <w:p w14:paraId="66E7C242" w14:textId="77777777" w:rsidR="00E60A1E" w:rsidRDefault="00E60A1E" w:rsidP="002D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B9E68" w14:textId="77777777" w:rsidR="00E60A1E" w:rsidRDefault="00E60A1E" w:rsidP="002D77F8">
      <w:r>
        <w:separator/>
      </w:r>
    </w:p>
  </w:footnote>
  <w:footnote w:type="continuationSeparator" w:id="0">
    <w:p w14:paraId="6393E130" w14:textId="77777777" w:rsidR="00E60A1E" w:rsidRDefault="00E60A1E" w:rsidP="002D7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3AB037"/>
    <w:multiLevelType w:val="singleLevel"/>
    <w:tmpl w:val="963AB037"/>
    <w:lvl w:ilvl="0">
      <w:start w:val="2"/>
      <w:numFmt w:val="decimal"/>
      <w:suff w:val="space"/>
      <w:lvlText w:val="%1."/>
      <w:lvlJc w:val="left"/>
      <w:pPr>
        <w:ind w:left="96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EC"/>
    <w:rsid w:val="000B525A"/>
    <w:rsid w:val="00175644"/>
    <w:rsid w:val="001B74AE"/>
    <w:rsid w:val="00203A42"/>
    <w:rsid w:val="0024035B"/>
    <w:rsid w:val="00252616"/>
    <w:rsid w:val="002B19F0"/>
    <w:rsid w:val="002D77F8"/>
    <w:rsid w:val="00323EFA"/>
    <w:rsid w:val="0036353A"/>
    <w:rsid w:val="0042651B"/>
    <w:rsid w:val="004266A9"/>
    <w:rsid w:val="004D7CEC"/>
    <w:rsid w:val="005C0BDA"/>
    <w:rsid w:val="00743036"/>
    <w:rsid w:val="00776373"/>
    <w:rsid w:val="00864B56"/>
    <w:rsid w:val="00936B92"/>
    <w:rsid w:val="00AB7485"/>
    <w:rsid w:val="00BE48B5"/>
    <w:rsid w:val="00C718D7"/>
    <w:rsid w:val="00C76204"/>
    <w:rsid w:val="00C7724F"/>
    <w:rsid w:val="00CD4D8C"/>
    <w:rsid w:val="00E066CC"/>
    <w:rsid w:val="00E37CCC"/>
    <w:rsid w:val="00E45410"/>
    <w:rsid w:val="00E60A1E"/>
    <w:rsid w:val="00E805BC"/>
    <w:rsid w:val="00E84F76"/>
    <w:rsid w:val="00E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CC32D"/>
  <w15:chartTrackingRefBased/>
  <w15:docId w15:val="{7870095A-0753-472C-9EAF-C0ACDA42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7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7F8"/>
    <w:rPr>
      <w:sz w:val="18"/>
      <w:szCs w:val="18"/>
    </w:rPr>
  </w:style>
  <w:style w:type="table" w:styleId="-1">
    <w:name w:val="Light Shading Accent 1"/>
    <w:basedOn w:val="a1"/>
    <w:uiPriority w:val="60"/>
    <w:qFormat/>
    <w:rsid w:val="002D77F8"/>
    <w:rPr>
      <w:rFonts w:ascii="Times New Roman" w:eastAsia="宋体" w:hAnsi="Times New Roman" w:cs="Times New Roman"/>
      <w:color w:val="2F5496" w:themeColor="accent1" w:themeShade="BF"/>
      <w:kern w:val="0"/>
      <w:sz w:val="22"/>
      <w:szCs w:val="20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CHEN</dc:creator>
  <cp:keywords/>
  <dc:description/>
  <cp:lastModifiedBy>TING CHEN</cp:lastModifiedBy>
  <cp:revision>16</cp:revision>
  <dcterms:created xsi:type="dcterms:W3CDTF">2020-03-15T05:53:00Z</dcterms:created>
  <dcterms:modified xsi:type="dcterms:W3CDTF">2020-07-19T05:35:00Z</dcterms:modified>
</cp:coreProperties>
</file>