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CBDA3" w14:textId="2E040E2C" w:rsidR="009A6437" w:rsidRPr="001D4A89" w:rsidRDefault="00BE4210" w:rsidP="009A6437">
      <w:pPr>
        <w:widowControl/>
        <w:spacing w:line="360" w:lineRule="auto"/>
        <w:jc w:val="left"/>
        <w:rPr>
          <w:sz w:val="24"/>
        </w:rPr>
      </w:pPr>
      <w:r w:rsidRPr="001D4A89">
        <w:rPr>
          <w:b/>
          <w:sz w:val="24"/>
        </w:rPr>
        <w:t xml:space="preserve">Supplementary </w:t>
      </w:r>
      <w:r w:rsidR="009A6437" w:rsidRPr="001D4A89">
        <w:rPr>
          <w:rFonts w:hint="eastAsia"/>
          <w:b/>
          <w:sz w:val="24"/>
        </w:rPr>
        <w:t>Table</w:t>
      </w:r>
      <w:r w:rsidR="00B83037" w:rsidRPr="001D4A89">
        <w:rPr>
          <w:b/>
          <w:sz w:val="24"/>
        </w:rPr>
        <w:t xml:space="preserve"> 1</w:t>
      </w:r>
      <w:r w:rsidR="009A6437" w:rsidRPr="001D4A89">
        <w:rPr>
          <w:b/>
          <w:sz w:val="24"/>
        </w:rPr>
        <w:t xml:space="preserve">: </w:t>
      </w:r>
      <w:r w:rsidR="009A6437" w:rsidRPr="001D4A89">
        <w:rPr>
          <w:sz w:val="24"/>
        </w:rPr>
        <w:t xml:space="preserve">Clinical features of the patient in comparison with the reported </w:t>
      </w:r>
      <w:r w:rsidR="00AD1C35" w:rsidRPr="001D4A89">
        <w:rPr>
          <w:sz w:val="24"/>
        </w:rPr>
        <w:t>prevalence</w:t>
      </w:r>
      <w:r w:rsidR="009A6437" w:rsidRPr="001D4A89">
        <w:rPr>
          <w:sz w:val="24"/>
        </w:rPr>
        <w:t xml:space="preserve"> </w:t>
      </w:r>
      <w:r w:rsidR="00B83037" w:rsidRPr="001D4A89">
        <w:rPr>
          <w:sz w:val="24"/>
        </w:rPr>
        <w:t>of 11p15 loss of methylation</w:t>
      </w:r>
    </w:p>
    <w:tbl>
      <w:tblPr>
        <w:tblStyle w:val="a3"/>
        <w:tblW w:w="10915" w:type="dxa"/>
        <w:tblInd w:w="-1139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3970"/>
        <w:gridCol w:w="992"/>
        <w:gridCol w:w="2835"/>
        <w:gridCol w:w="2835"/>
      </w:tblGrid>
      <w:tr w:rsidR="009A6437" w:rsidRPr="001D4A89" w14:paraId="4E8D048F" w14:textId="77777777" w:rsidTr="00041735">
        <w:tc>
          <w:tcPr>
            <w:tcW w:w="4253" w:type="dxa"/>
            <w:gridSpan w:val="2"/>
            <w:tcBorders>
              <w:bottom w:val="single" w:sz="4" w:space="0" w:color="auto"/>
            </w:tcBorders>
            <w:vAlign w:val="center"/>
          </w:tcPr>
          <w:p w14:paraId="424403FC" w14:textId="77777777" w:rsidR="009A6437" w:rsidRPr="001D4A89" w:rsidRDefault="009A6437" w:rsidP="00041735"/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4659B86F" w14:textId="77777777" w:rsidR="009A6437" w:rsidRPr="001D4A89" w:rsidRDefault="009A6437" w:rsidP="00041735">
            <w:pPr>
              <w:jc w:val="center"/>
            </w:pPr>
            <w:r w:rsidRPr="001D4A89">
              <w:t>Patient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B0544A6" w14:textId="3DBD38EA" w:rsidR="009A6437" w:rsidRPr="001D4A89" w:rsidRDefault="00BE4210" w:rsidP="00041735">
            <w:pPr>
              <w:jc w:val="center"/>
            </w:pPr>
            <w:r w:rsidRPr="001D4A89">
              <w:rPr>
                <w:vertAlign w:val="superscript"/>
              </w:rPr>
              <w:t>#</w:t>
            </w:r>
            <w:r w:rsidR="009A6437" w:rsidRPr="001D4A89">
              <w:t>Frequency in SRS patients wit</w:t>
            </w:r>
            <w:r w:rsidRPr="001D4A89">
              <w:t>h 11p15 loss of methylation (%)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14279BB4" w14:textId="1F3D2EC5" w:rsidR="009A6437" w:rsidRPr="001D4A89" w:rsidRDefault="00BE4210" w:rsidP="00BE4210">
            <w:pPr>
              <w:jc w:val="center"/>
            </w:pPr>
            <w:r w:rsidRPr="001D4A89">
              <w:t>*</w:t>
            </w:r>
            <w:r w:rsidR="009A6437" w:rsidRPr="001D4A89">
              <w:rPr>
                <w:rFonts w:hint="eastAsia"/>
              </w:rPr>
              <w:t xml:space="preserve">Frequency in Japanese </w:t>
            </w:r>
            <w:r w:rsidR="009A6437" w:rsidRPr="001D4A89">
              <w:t xml:space="preserve">SRS </w:t>
            </w:r>
            <w:r w:rsidR="009A6437" w:rsidRPr="001D4A89">
              <w:rPr>
                <w:rFonts w:hint="eastAsia"/>
              </w:rPr>
              <w:t>patients with</w:t>
            </w:r>
            <w:r w:rsidR="009A6437" w:rsidRPr="001D4A89">
              <w:t xml:space="preserve"> 11p1</w:t>
            </w:r>
            <w:r w:rsidRPr="001D4A89">
              <w:t>5 loss of methylation (%) [n=43</w:t>
            </w:r>
            <w:r w:rsidR="009A6437" w:rsidRPr="001D4A89">
              <w:t>]</w:t>
            </w:r>
          </w:p>
        </w:tc>
      </w:tr>
      <w:tr w:rsidR="009A6437" w:rsidRPr="001D4A89" w14:paraId="51032F7F" w14:textId="77777777" w:rsidTr="00041735">
        <w:tc>
          <w:tcPr>
            <w:tcW w:w="10915" w:type="dxa"/>
            <w:gridSpan w:val="5"/>
            <w:tcBorders>
              <w:bottom w:val="nil"/>
            </w:tcBorders>
            <w:vAlign w:val="center"/>
          </w:tcPr>
          <w:p w14:paraId="12F4B652" w14:textId="77777777" w:rsidR="009A6437" w:rsidRPr="001D4A89" w:rsidRDefault="009A6437" w:rsidP="00041735">
            <w:pPr>
              <w:jc w:val="left"/>
            </w:pPr>
            <w:r w:rsidRPr="001D4A89">
              <w:rPr>
                <w:rFonts w:hint="eastAsia"/>
              </w:rPr>
              <w:t xml:space="preserve">Key features in the </w:t>
            </w:r>
            <w:proofErr w:type="spellStart"/>
            <w:r w:rsidRPr="001D4A89">
              <w:rPr>
                <w:rFonts w:hint="eastAsia"/>
              </w:rPr>
              <w:t>Netchine</w:t>
            </w:r>
            <w:proofErr w:type="spellEnd"/>
            <w:r w:rsidRPr="001D4A89">
              <w:rPr>
                <w:rFonts w:hint="eastAsia"/>
              </w:rPr>
              <w:t>-Harbison clinical scoring system</w:t>
            </w:r>
          </w:p>
        </w:tc>
      </w:tr>
      <w:tr w:rsidR="009A6437" w:rsidRPr="001D4A89" w14:paraId="03EF981A" w14:textId="77777777" w:rsidTr="00041735"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0241EE76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3665D7BF" w14:textId="77777777" w:rsidR="009A6437" w:rsidRPr="001D4A89" w:rsidRDefault="009A6437" w:rsidP="00041735">
            <w:r w:rsidRPr="001D4A89">
              <w:rPr>
                <w:rFonts w:hint="eastAsia"/>
              </w:rPr>
              <w:t>Small for gestational age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7C127AAD" w14:textId="77777777" w:rsidR="009A6437" w:rsidRPr="001D4A89" w:rsidRDefault="009A6437" w:rsidP="00041735">
            <w:pPr>
              <w:jc w:val="center"/>
            </w:pPr>
            <w:r w:rsidRPr="001D4A89">
              <w:t>+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BF929D8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100</w:t>
            </w:r>
            <w:r w:rsidRPr="001D4A89">
              <w:t xml:space="preserve"> (n=35)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0C72BFE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NA</w:t>
            </w:r>
          </w:p>
        </w:tc>
      </w:tr>
      <w:tr w:rsidR="009A6437" w:rsidRPr="001D4A89" w14:paraId="2DE8FAD7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19AAD558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49C757C7" w14:textId="77777777" w:rsidR="009A6437" w:rsidRPr="001D4A89" w:rsidRDefault="009A6437" w:rsidP="00041735">
            <w:r w:rsidRPr="001D4A89">
              <w:rPr>
                <w:rFonts w:hint="eastAsia"/>
              </w:rPr>
              <w:t>Postnatal growth failure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7F7F39B7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+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ED62C2C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83.8</w:t>
            </w:r>
            <w:r w:rsidRPr="001D4A89">
              <w:t xml:space="preserve"> (n=173)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9697638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NA</w:t>
            </w:r>
          </w:p>
        </w:tc>
      </w:tr>
      <w:tr w:rsidR="009A6437" w:rsidRPr="001D4A89" w14:paraId="33D5F41A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5DEBE24B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3D554F6E" w14:textId="77777777" w:rsidR="009A6437" w:rsidRPr="001D4A89" w:rsidRDefault="009A6437" w:rsidP="00041735">
            <w:r w:rsidRPr="001D4A89">
              <w:rPr>
                <w:rFonts w:hint="eastAsia"/>
              </w:rPr>
              <w:t>Relative macrocephaly</w:t>
            </w:r>
            <w:r w:rsidRPr="001D4A89">
              <w:t xml:space="preserve"> at birth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CD5164A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+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5C4DADD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99.1</w:t>
            </w:r>
            <w:r w:rsidRPr="001D4A89">
              <w:t xml:space="preserve"> (n=112)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C0D4326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100</w:t>
            </w:r>
            <w:r w:rsidRPr="001D4A89">
              <w:t>.0</w:t>
            </w:r>
          </w:p>
        </w:tc>
      </w:tr>
      <w:tr w:rsidR="009A6437" w:rsidRPr="001D4A89" w14:paraId="45781E59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3202677B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2148B1F4" w14:textId="77777777" w:rsidR="009A6437" w:rsidRPr="001D4A89" w:rsidRDefault="009A6437" w:rsidP="00041735">
            <w:r w:rsidRPr="001D4A89">
              <w:rPr>
                <w:rFonts w:hint="eastAsia"/>
              </w:rPr>
              <w:t>Protruding forehead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7CDF9010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+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7A6BF62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93.7</w:t>
            </w:r>
            <w:r w:rsidRPr="001D4A89">
              <w:t xml:space="preserve"> (n=126)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308D8F6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83.8</w:t>
            </w:r>
          </w:p>
        </w:tc>
      </w:tr>
      <w:tr w:rsidR="009A6437" w:rsidRPr="001D4A89" w14:paraId="1E7D3B90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2C311307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71B3AD16" w14:textId="77777777" w:rsidR="009A6437" w:rsidRPr="001D4A89" w:rsidRDefault="009A6437" w:rsidP="00041735">
            <w:r w:rsidRPr="001D4A89">
              <w:rPr>
                <w:rFonts w:hint="eastAsia"/>
              </w:rPr>
              <w:t>Body asymmetry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15041204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+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833E204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77.4</w:t>
            </w:r>
            <w:r w:rsidRPr="001D4A89">
              <w:t xml:space="preserve"> (n=226)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972A6FE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81.1</w:t>
            </w:r>
          </w:p>
        </w:tc>
      </w:tr>
      <w:tr w:rsidR="009A6437" w:rsidRPr="001D4A89" w14:paraId="21004DD6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4562BC42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77DD0B9C" w14:textId="77777777" w:rsidR="009A6437" w:rsidRPr="001D4A89" w:rsidRDefault="009A6437" w:rsidP="00041735">
            <w:r w:rsidRPr="001D4A89">
              <w:rPr>
                <w:rFonts w:hint="eastAsia"/>
              </w:rPr>
              <w:t>Feeding difficulties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7613657E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-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1297C7F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71.7</w:t>
            </w:r>
            <w:r w:rsidRPr="001D4A89">
              <w:t xml:space="preserve"> (n=173)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F99F95E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47.1</w:t>
            </w:r>
          </w:p>
        </w:tc>
      </w:tr>
      <w:tr w:rsidR="009A6437" w:rsidRPr="001D4A89" w14:paraId="3A4F853A" w14:textId="77777777" w:rsidTr="00041735">
        <w:tc>
          <w:tcPr>
            <w:tcW w:w="283" w:type="dxa"/>
            <w:vMerge/>
            <w:tcBorders>
              <w:top w:val="nil"/>
              <w:bottom w:val="single" w:sz="4" w:space="0" w:color="auto"/>
            </w:tcBorders>
          </w:tcPr>
          <w:p w14:paraId="23B6D78C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single" w:sz="4" w:space="0" w:color="auto"/>
            </w:tcBorders>
          </w:tcPr>
          <w:p w14:paraId="3877D04E" w14:textId="786763F5" w:rsidR="009A6437" w:rsidRPr="001D4A89" w:rsidRDefault="00B83037" w:rsidP="00041735">
            <w:r w:rsidRPr="001D4A89">
              <w:t>L</w:t>
            </w:r>
            <w:r w:rsidR="009A6437" w:rsidRPr="001D4A89">
              <w:t>ow body mass index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677F0DE2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+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1044973B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NA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326A7D23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NA</w:t>
            </w:r>
          </w:p>
        </w:tc>
      </w:tr>
      <w:tr w:rsidR="009A6437" w:rsidRPr="001D4A89" w14:paraId="5B536002" w14:textId="77777777" w:rsidTr="00041735">
        <w:tc>
          <w:tcPr>
            <w:tcW w:w="10915" w:type="dxa"/>
            <w:gridSpan w:val="5"/>
            <w:tcBorders>
              <w:bottom w:val="nil"/>
            </w:tcBorders>
          </w:tcPr>
          <w:p w14:paraId="17B6CFEC" w14:textId="77777777" w:rsidR="009A6437" w:rsidRPr="001D4A89" w:rsidRDefault="009A6437" w:rsidP="00041735">
            <w:pPr>
              <w:jc w:val="left"/>
            </w:pPr>
            <w:r w:rsidRPr="001D4A89">
              <w:t>Additional</w:t>
            </w:r>
            <w:r w:rsidRPr="001D4A89">
              <w:rPr>
                <w:rFonts w:hint="eastAsia"/>
              </w:rPr>
              <w:t xml:space="preserve"> features</w:t>
            </w:r>
          </w:p>
        </w:tc>
      </w:tr>
      <w:tr w:rsidR="009A6437" w:rsidRPr="001D4A89" w14:paraId="15810AE7" w14:textId="77777777" w:rsidTr="00041735">
        <w:tc>
          <w:tcPr>
            <w:tcW w:w="283" w:type="dxa"/>
            <w:vMerge w:val="restart"/>
            <w:tcBorders>
              <w:top w:val="nil"/>
              <w:bottom w:val="nil"/>
            </w:tcBorders>
          </w:tcPr>
          <w:p w14:paraId="28970D50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45E66EB5" w14:textId="77777777" w:rsidR="009A6437" w:rsidRPr="001D4A89" w:rsidRDefault="009A6437" w:rsidP="00041735">
            <w:r w:rsidRPr="001D4A89">
              <w:rPr>
                <w:rFonts w:hint="eastAsia"/>
              </w:rPr>
              <w:t>Triangular face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431FBE2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+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C98D6AE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98.7</w:t>
            </w:r>
            <w:r w:rsidRPr="001D4A89">
              <w:t xml:space="preserve"> (n=74)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E70B94A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97.7</w:t>
            </w:r>
          </w:p>
        </w:tc>
      </w:tr>
      <w:tr w:rsidR="009A6437" w:rsidRPr="001D4A89" w14:paraId="1A2E5005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128BEA2E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1CA3AB46" w14:textId="77777777" w:rsidR="009A6437" w:rsidRPr="001D4A89" w:rsidRDefault="009A6437" w:rsidP="00041735">
            <w:r w:rsidRPr="001D4A89">
              <w:rPr>
                <w:rFonts w:hint="eastAsia"/>
              </w:rPr>
              <w:t>Fifth f</w:t>
            </w:r>
            <w:r w:rsidRPr="001D4A89">
              <w:t>inger clinodactyly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DEE579F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+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BA45BA2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80.7</w:t>
            </w:r>
            <w:r w:rsidRPr="001D4A89">
              <w:t xml:space="preserve"> (n=176)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B5C2CC4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78.4</w:t>
            </w:r>
          </w:p>
        </w:tc>
      </w:tr>
      <w:tr w:rsidR="009A6437" w:rsidRPr="001D4A89" w14:paraId="7C53413C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7DC08A2F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5E821A05" w14:textId="77777777" w:rsidR="009A6437" w:rsidRPr="001D4A89" w:rsidRDefault="009A6437" w:rsidP="00041735">
            <w:r w:rsidRPr="001D4A89">
              <w:rPr>
                <w:rFonts w:hint="eastAsia"/>
              </w:rPr>
              <w:t>Micrognathia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02D0FDA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+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BC5F677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74.7</w:t>
            </w:r>
            <w:r w:rsidRPr="001D4A89">
              <w:t xml:space="preserve"> (n=79)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48CE5A9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NA</w:t>
            </w:r>
          </w:p>
        </w:tc>
      </w:tr>
      <w:tr w:rsidR="009A6437" w:rsidRPr="001D4A89" w14:paraId="47F657B3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20FA8785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462DC25F" w14:textId="77777777" w:rsidR="009A6437" w:rsidRPr="001D4A89" w:rsidRDefault="009A6437" w:rsidP="00041735">
            <w:r w:rsidRPr="001D4A89">
              <w:rPr>
                <w:rFonts w:hint="eastAsia"/>
              </w:rPr>
              <w:t>Irregular or crowded teeth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6486942C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+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9EF37C6" w14:textId="77777777" w:rsidR="009A6437" w:rsidRPr="001D4A89" w:rsidRDefault="009A6437" w:rsidP="00041735">
            <w:pPr>
              <w:jc w:val="center"/>
            </w:pPr>
            <w:r w:rsidRPr="001D4A89">
              <w:t>28.6 (n=105)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93B6DF7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46.2</w:t>
            </w:r>
          </w:p>
        </w:tc>
      </w:tr>
      <w:tr w:rsidR="009A6437" w:rsidRPr="001D4A89" w14:paraId="4FAFFCDE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508F45FE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237D048E" w14:textId="77777777" w:rsidR="009A6437" w:rsidRPr="001D4A89" w:rsidRDefault="009A6437" w:rsidP="00041735">
            <w:r w:rsidRPr="001D4A89">
              <w:rPr>
                <w:rFonts w:hint="eastAsia"/>
              </w:rPr>
              <w:t>Low-set</w:t>
            </w:r>
            <w:r w:rsidRPr="001D4A89">
              <w:t xml:space="preserve"> </w:t>
            </w:r>
            <w:r w:rsidRPr="001D4A89">
              <w:rPr>
                <w:rFonts w:hint="eastAsia"/>
              </w:rPr>
              <w:t>and</w:t>
            </w:r>
            <w:r w:rsidRPr="001D4A89">
              <w:t>/or</w:t>
            </w:r>
            <w:r w:rsidRPr="001D4A89">
              <w:rPr>
                <w:rFonts w:hint="eastAsia"/>
              </w:rPr>
              <w:t xml:space="preserve"> posteriorly </w:t>
            </w:r>
            <w:r w:rsidRPr="001D4A89">
              <w:t>rotated ears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0E2488EA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+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AA53DDE" w14:textId="77777777" w:rsidR="009A6437" w:rsidRPr="001D4A89" w:rsidRDefault="009A6437" w:rsidP="00041735">
            <w:pPr>
              <w:jc w:val="center"/>
            </w:pPr>
            <w:r w:rsidRPr="001D4A89">
              <w:t>50.0 (n=140)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04344B8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40.0</w:t>
            </w:r>
          </w:p>
        </w:tc>
      </w:tr>
      <w:tr w:rsidR="009A6437" w:rsidRPr="001D4A89" w14:paraId="2CC37F61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2D84A911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5556B18A" w14:textId="77777777" w:rsidR="009A6437" w:rsidRPr="001D4A89" w:rsidRDefault="009A6437" w:rsidP="00041735">
            <w:r w:rsidRPr="001D4A89">
              <w:t>Down-turned mouth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79E5D618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+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1534431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57.0</w:t>
            </w:r>
            <w:r w:rsidRPr="001D4A89">
              <w:t xml:space="preserve"> (n=114)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26BCDCF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NA</w:t>
            </w:r>
          </w:p>
        </w:tc>
      </w:tr>
      <w:tr w:rsidR="009A6437" w:rsidRPr="001D4A89" w14:paraId="6EB8D1A5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62FA70F2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3CCBE368" w14:textId="77777777" w:rsidR="009A6437" w:rsidRPr="001D4A89" w:rsidRDefault="009A6437" w:rsidP="00041735">
            <w:r w:rsidRPr="001D4A89">
              <w:rPr>
                <w:rFonts w:hint="eastAsia"/>
              </w:rPr>
              <w:t>High pitched</w:t>
            </w:r>
            <w:r w:rsidRPr="001D4A89">
              <w:t xml:space="preserve"> or squeaky voice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74DFF168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+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E3D20CF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39.0</w:t>
            </w:r>
            <w:r w:rsidRPr="001D4A89">
              <w:t xml:space="preserve"> (n=26)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1A20931F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NA</w:t>
            </w:r>
          </w:p>
        </w:tc>
      </w:tr>
      <w:tr w:rsidR="009A6437" w:rsidRPr="001D4A89" w14:paraId="3FD88DFD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434F886C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5D317D36" w14:textId="77777777" w:rsidR="009A6437" w:rsidRPr="001D4A89" w:rsidRDefault="009A6437" w:rsidP="00041735">
            <w:r w:rsidRPr="001D4A89">
              <w:rPr>
                <w:rFonts w:hint="eastAsia"/>
              </w:rPr>
              <w:t>Scoliosis and/or kyphosis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E9D629F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-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06DD5E15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10.0</w:t>
            </w:r>
            <w:r w:rsidRPr="001D4A89">
              <w:t xml:space="preserve"> (n=97)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56F09D1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NA</w:t>
            </w:r>
          </w:p>
        </w:tc>
      </w:tr>
      <w:tr w:rsidR="009A6437" w:rsidRPr="001D4A89" w14:paraId="536C4A88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71CBEE83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3789FBFF" w14:textId="01FABAB3" w:rsidR="009A6437" w:rsidRPr="001D4A89" w:rsidRDefault="00674DEE" w:rsidP="00041735">
            <w:r w:rsidRPr="001D4A89">
              <w:t>Toe s</w:t>
            </w:r>
            <w:r w:rsidR="009A6437" w:rsidRPr="001D4A89">
              <w:t>yndactyly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43952866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-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C3BA4D3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41.8</w:t>
            </w:r>
            <w:r w:rsidRPr="001D4A89">
              <w:t xml:space="preserve"> (n=141)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72F0F57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NA</w:t>
            </w:r>
          </w:p>
        </w:tc>
      </w:tr>
      <w:tr w:rsidR="009A6437" w:rsidRPr="001D4A89" w14:paraId="2D93614D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7C7419A5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0D08D1C5" w14:textId="77777777" w:rsidR="009A6437" w:rsidRPr="001D4A89" w:rsidRDefault="009A6437" w:rsidP="00041735">
            <w:r w:rsidRPr="001D4A89">
              <w:rPr>
                <w:rFonts w:hint="eastAsia"/>
              </w:rPr>
              <w:t>Male genital abnormalities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26642BBD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+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BEEBBD6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44.4</w:t>
            </w:r>
            <w:r w:rsidRPr="001D4A89">
              <w:t xml:space="preserve"> (n=63)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40A8FA34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NA</w:t>
            </w:r>
          </w:p>
        </w:tc>
      </w:tr>
      <w:tr w:rsidR="009A6437" w:rsidRPr="001D4A89" w14:paraId="21A9E456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0A089A99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071F87F9" w14:textId="77777777" w:rsidR="009A6437" w:rsidRPr="001D4A89" w:rsidRDefault="009A6437" w:rsidP="00041735">
            <w:r w:rsidRPr="001D4A89">
              <w:rPr>
                <w:rFonts w:hint="eastAsia"/>
              </w:rPr>
              <w:t>Speech delay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5FB00B42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+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7FACDED4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31.7</w:t>
            </w:r>
            <w:r w:rsidRPr="001D4A89">
              <w:t xml:space="preserve"> (n=101)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5ED74E3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25.8</w:t>
            </w:r>
          </w:p>
        </w:tc>
      </w:tr>
      <w:tr w:rsidR="009A6437" w:rsidRPr="001D4A89" w14:paraId="21666415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0DA96FBE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38307DDA" w14:textId="77777777" w:rsidR="009A6437" w:rsidRPr="001D4A89" w:rsidRDefault="009A6437" w:rsidP="00041735">
            <w:r w:rsidRPr="001D4A89">
              <w:rPr>
                <w:rFonts w:hint="eastAsia"/>
              </w:rPr>
              <w:t>Motor delay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758E605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+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87D0EC7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30.5</w:t>
            </w:r>
            <w:r w:rsidRPr="001D4A89">
              <w:t xml:space="preserve"> (n=141)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20ACD4A4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53.1</w:t>
            </w:r>
          </w:p>
        </w:tc>
      </w:tr>
      <w:tr w:rsidR="009A6437" w:rsidRPr="001D4A89" w14:paraId="4A70C07B" w14:textId="77777777" w:rsidTr="00041735">
        <w:tc>
          <w:tcPr>
            <w:tcW w:w="283" w:type="dxa"/>
            <w:vMerge/>
            <w:tcBorders>
              <w:top w:val="nil"/>
              <w:bottom w:val="nil"/>
            </w:tcBorders>
          </w:tcPr>
          <w:p w14:paraId="701A3E8F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nil"/>
            </w:tcBorders>
          </w:tcPr>
          <w:p w14:paraId="39DEF859" w14:textId="77777777" w:rsidR="009A6437" w:rsidRPr="001D4A89" w:rsidRDefault="009A6437" w:rsidP="00041735">
            <w:r w:rsidRPr="001D4A89">
              <w:rPr>
                <w:rFonts w:hint="eastAsia"/>
              </w:rPr>
              <w:t>Hypoglycemia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14:paraId="39EA46AC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-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6BA6143E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21.7</w:t>
            </w:r>
            <w:r w:rsidRPr="001D4A89">
              <w:t xml:space="preserve"> (n=69)</w:t>
            </w:r>
          </w:p>
        </w:tc>
        <w:tc>
          <w:tcPr>
            <w:tcW w:w="2835" w:type="dxa"/>
            <w:tcBorders>
              <w:top w:val="nil"/>
              <w:bottom w:val="nil"/>
            </w:tcBorders>
          </w:tcPr>
          <w:p w14:paraId="5D636D9B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NA</w:t>
            </w:r>
          </w:p>
        </w:tc>
      </w:tr>
      <w:tr w:rsidR="009A6437" w:rsidRPr="001D4A89" w14:paraId="452A78CE" w14:textId="77777777" w:rsidTr="00041735">
        <w:tc>
          <w:tcPr>
            <w:tcW w:w="283" w:type="dxa"/>
            <w:vMerge/>
            <w:tcBorders>
              <w:top w:val="nil"/>
              <w:bottom w:val="single" w:sz="4" w:space="0" w:color="auto"/>
            </w:tcBorders>
          </w:tcPr>
          <w:p w14:paraId="6294FB1C" w14:textId="77777777" w:rsidR="009A6437" w:rsidRPr="001D4A89" w:rsidRDefault="009A6437" w:rsidP="00041735"/>
        </w:tc>
        <w:tc>
          <w:tcPr>
            <w:tcW w:w="3970" w:type="dxa"/>
            <w:tcBorders>
              <w:top w:val="nil"/>
              <w:bottom w:val="single" w:sz="4" w:space="0" w:color="auto"/>
            </w:tcBorders>
          </w:tcPr>
          <w:p w14:paraId="08724581" w14:textId="77777777" w:rsidR="009A6437" w:rsidRPr="001D4A89" w:rsidRDefault="009A6437" w:rsidP="00041735">
            <w:r w:rsidRPr="001D4A89">
              <w:rPr>
                <w:rFonts w:hint="eastAsia"/>
              </w:rPr>
              <w:t>Excessive sweating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14:paraId="22E121A8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+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31D501EC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51.4</w:t>
            </w:r>
            <w:r w:rsidRPr="001D4A89">
              <w:t xml:space="preserve"> (n=70)</w:t>
            </w:r>
          </w:p>
        </w:tc>
        <w:tc>
          <w:tcPr>
            <w:tcW w:w="2835" w:type="dxa"/>
            <w:tcBorders>
              <w:top w:val="nil"/>
              <w:bottom w:val="single" w:sz="4" w:space="0" w:color="auto"/>
            </w:tcBorders>
          </w:tcPr>
          <w:p w14:paraId="53B7970C" w14:textId="77777777" w:rsidR="009A6437" w:rsidRPr="001D4A89" w:rsidRDefault="009A6437" w:rsidP="00041735">
            <w:pPr>
              <w:jc w:val="center"/>
            </w:pPr>
            <w:r w:rsidRPr="001D4A89">
              <w:rPr>
                <w:rFonts w:hint="eastAsia"/>
              </w:rPr>
              <w:t>NA</w:t>
            </w:r>
          </w:p>
        </w:tc>
      </w:tr>
    </w:tbl>
    <w:p w14:paraId="4278638E" w14:textId="12AB72EE" w:rsidR="00BE4210" w:rsidRPr="001D4A89" w:rsidRDefault="00BE4210">
      <w:r w:rsidRPr="001D4A89">
        <w:rPr>
          <w:rFonts w:hint="eastAsia"/>
          <w:vertAlign w:val="superscript"/>
        </w:rPr>
        <w:t>#</w:t>
      </w:r>
      <w:r w:rsidRPr="001D4A89">
        <w:t xml:space="preserve"> </w:t>
      </w:r>
      <w:proofErr w:type="spellStart"/>
      <w:r w:rsidRPr="001D4A89">
        <w:t>Wakeling</w:t>
      </w:r>
      <w:proofErr w:type="spellEnd"/>
      <w:r w:rsidRPr="001D4A89">
        <w:t xml:space="preserve"> EL, et al. Nat Rev </w:t>
      </w:r>
      <w:proofErr w:type="spellStart"/>
      <w:r w:rsidRPr="001D4A89">
        <w:t>Endocrinol</w:t>
      </w:r>
      <w:proofErr w:type="spellEnd"/>
      <w:r w:rsidRPr="001D4A89">
        <w:t xml:space="preserve"> 2017</w:t>
      </w:r>
      <w:proofErr w:type="gramStart"/>
      <w:r w:rsidRPr="001D4A89">
        <w:t>;13:105</w:t>
      </w:r>
      <w:proofErr w:type="gramEnd"/>
    </w:p>
    <w:p w14:paraId="096961B0" w14:textId="556BDA19" w:rsidR="003C4B59" w:rsidRPr="001D4A89" w:rsidRDefault="00BE4210">
      <w:r w:rsidRPr="001D4A89">
        <w:rPr>
          <w:rFonts w:hint="eastAsia"/>
        </w:rPr>
        <w:t>*</w:t>
      </w:r>
      <w:r w:rsidRPr="001D4A89">
        <w:t xml:space="preserve"> </w:t>
      </w:r>
      <w:proofErr w:type="spellStart"/>
      <w:r w:rsidRPr="001D4A89">
        <w:t>Fuke</w:t>
      </w:r>
      <w:proofErr w:type="spellEnd"/>
      <w:r w:rsidRPr="001D4A89">
        <w:t xml:space="preserve"> T, et al. </w:t>
      </w:r>
      <w:proofErr w:type="spellStart"/>
      <w:r w:rsidRPr="001D4A89">
        <w:t>PLoS</w:t>
      </w:r>
      <w:proofErr w:type="spellEnd"/>
      <w:r w:rsidRPr="001D4A89">
        <w:t xml:space="preserve"> One 2013</w:t>
      </w:r>
      <w:proofErr w:type="gramStart"/>
      <w:r w:rsidRPr="001D4A89">
        <w:t>;8:e60105</w:t>
      </w:r>
      <w:bookmarkStart w:id="0" w:name="_GoBack"/>
      <w:bookmarkEnd w:id="0"/>
      <w:proofErr w:type="gramEnd"/>
    </w:p>
    <w:sectPr w:rsidR="003C4B59" w:rsidRPr="001D4A8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31639D" w14:textId="77777777" w:rsidR="00396A85" w:rsidRDefault="00396A85" w:rsidP="00E5236A">
      <w:r>
        <w:separator/>
      </w:r>
    </w:p>
  </w:endnote>
  <w:endnote w:type="continuationSeparator" w:id="0">
    <w:p w14:paraId="12D0C611" w14:textId="77777777" w:rsidR="00396A85" w:rsidRDefault="00396A85" w:rsidP="00E5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51012" w14:textId="77777777" w:rsidR="001D4A89" w:rsidRDefault="001D4A8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41AF1" w14:textId="77777777" w:rsidR="001D4A89" w:rsidRPr="001D4A89" w:rsidRDefault="001D4A8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59313" w14:textId="77777777" w:rsidR="001D4A89" w:rsidRPr="001D4A89" w:rsidRDefault="001D4A8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B56CB" w14:textId="77777777" w:rsidR="00396A85" w:rsidRDefault="00396A85" w:rsidP="00E5236A">
      <w:r>
        <w:separator/>
      </w:r>
    </w:p>
  </w:footnote>
  <w:footnote w:type="continuationSeparator" w:id="0">
    <w:p w14:paraId="2E341F49" w14:textId="77777777" w:rsidR="00396A85" w:rsidRDefault="00396A85" w:rsidP="00E523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AAF8EF" w14:textId="77777777" w:rsidR="001D4A89" w:rsidRDefault="001D4A8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72A241" w14:textId="77777777" w:rsidR="001D4A89" w:rsidRPr="001D4A89" w:rsidRDefault="001D4A8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6566F" w14:textId="77777777" w:rsidR="001D4A89" w:rsidRPr="001D4A89" w:rsidRDefault="001D4A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131078" w:nlCheck="1" w:checkStyle="1"/>
  <w:proofState w:spelling="clean" w:grammar="clean"/>
  <w:defaultTabStop w:val="840"/>
  <w:hyphenationZone w:val="425"/>
  <w:displayHorizontalDrawingGridEvery w:val="0"/>
  <w:displayVerticalDrawingGridEvery w:val="2"/>
  <w:characterSpacingControl w:val="compressPunctuation"/>
  <w:strictFirstAndLastChars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437"/>
    <w:rsid w:val="000D0535"/>
    <w:rsid w:val="001D4A89"/>
    <w:rsid w:val="002D5E9A"/>
    <w:rsid w:val="00396A85"/>
    <w:rsid w:val="003C4B59"/>
    <w:rsid w:val="00435978"/>
    <w:rsid w:val="005E2386"/>
    <w:rsid w:val="00674DEE"/>
    <w:rsid w:val="00891792"/>
    <w:rsid w:val="009A6437"/>
    <w:rsid w:val="00A43093"/>
    <w:rsid w:val="00AD1C35"/>
    <w:rsid w:val="00B83037"/>
    <w:rsid w:val="00BE4210"/>
    <w:rsid w:val="00C21B7A"/>
    <w:rsid w:val="00C60F60"/>
    <w:rsid w:val="00C66A1C"/>
    <w:rsid w:val="00D56070"/>
    <w:rsid w:val="00E5236A"/>
    <w:rsid w:val="00F009C7"/>
    <w:rsid w:val="00F10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9782E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6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236A"/>
    <w:pPr>
      <w:tabs>
        <w:tab w:val="center" w:pos="4680"/>
        <w:tab w:val="right" w:pos="9360"/>
      </w:tabs>
    </w:pPr>
  </w:style>
  <w:style w:type="character" w:customStyle="1" w:styleId="a5">
    <w:name w:val="ヘッダー (文字)"/>
    <w:basedOn w:val="a0"/>
    <w:link w:val="a4"/>
    <w:uiPriority w:val="99"/>
    <w:rsid w:val="00E5236A"/>
  </w:style>
  <w:style w:type="paragraph" w:styleId="a6">
    <w:name w:val="footer"/>
    <w:basedOn w:val="a"/>
    <w:link w:val="a7"/>
    <w:uiPriority w:val="99"/>
    <w:unhideWhenUsed/>
    <w:rsid w:val="00E5236A"/>
    <w:pPr>
      <w:tabs>
        <w:tab w:val="center" w:pos="4680"/>
        <w:tab w:val="right" w:pos="9360"/>
      </w:tabs>
    </w:pPr>
  </w:style>
  <w:style w:type="character" w:customStyle="1" w:styleId="a7">
    <w:name w:val="フッター (文字)"/>
    <w:basedOn w:val="a0"/>
    <w:link w:val="a6"/>
    <w:uiPriority w:val="99"/>
    <w:rsid w:val="00E5236A"/>
  </w:style>
  <w:style w:type="paragraph" w:styleId="a8">
    <w:name w:val="Balloon Text"/>
    <w:basedOn w:val="a"/>
    <w:link w:val="a9"/>
    <w:uiPriority w:val="99"/>
    <w:semiHidden/>
    <w:unhideWhenUsed/>
    <w:rsid w:val="002D5E9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D5E9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2018-12-10T09:41:00Z</dcterms:created>
  <dcterms:modified xsi:type="dcterms:W3CDTF">2018-12-10T09:42:00Z</dcterms:modified>
</cp:coreProperties>
</file>