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A1CA7" w14:textId="77777777" w:rsidR="00D53050" w:rsidRPr="008F64CA" w:rsidRDefault="00D53050" w:rsidP="00D53050">
      <w:pPr>
        <w:spacing w:line="480" w:lineRule="auto"/>
        <w:jc w:val="both"/>
        <w:rPr>
          <w:rFonts w:ascii="Arial" w:hAnsi="Arial" w:cs="Arial"/>
          <w:b/>
        </w:rPr>
      </w:pPr>
      <w:bookmarkStart w:id="0" w:name="_Ref380136771"/>
      <w:bookmarkStart w:id="1" w:name="_Ref380136749"/>
      <w:r w:rsidRPr="008F64CA">
        <w:rPr>
          <w:rFonts w:ascii="Arial" w:hAnsi="Arial" w:cs="Arial"/>
          <w:b/>
        </w:rPr>
        <w:t>IGF-1 assessed by pubertal status has the best positive predictive power for GH deficiency diagnosis in peripubertal children</w:t>
      </w:r>
    </w:p>
    <w:p w14:paraId="40EE45DA" w14:textId="77777777" w:rsidR="00B51430" w:rsidRPr="00B51430" w:rsidRDefault="00B51430" w:rsidP="00B51430">
      <w:pPr>
        <w:spacing w:line="480" w:lineRule="auto"/>
        <w:jc w:val="both"/>
        <w:rPr>
          <w:rFonts w:ascii="Arial" w:hAnsi="Arial" w:cs="Arial"/>
        </w:rPr>
      </w:pPr>
    </w:p>
    <w:p w14:paraId="0FFA9B48" w14:textId="458F6284" w:rsidR="00B51430" w:rsidRPr="00B51430" w:rsidRDefault="00B51430" w:rsidP="00B51430">
      <w:pPr>
        <w:spacing w:line="480" w:lineRule="auto"/>
        <w:jc w:val="both"/>
        <w:rPr>
          <w:rFonts w:ascii="Arial" w:hAnsi="Arial" w:cs="Arial"/>
          <w:vertAlign w:val="superscript"/>
          <w:lang w:val="pt-BR"/>
        </w:rPr>
      </w:pPr>
      <w:r w:rsidRPr="00B51430">
        <w:rPr>
          <w:rFonts w:ascii="Arial" w:hAnsi="Arial" w:cs="Arial"/>
          <w:lang w:val="pt-BR"/>
        </w:rPr>
        <w:t>Thais H. Inoue-Lima</w:t>
      </w:r>
      <w:r w:rsidRPr="00B51430">
        <w:rPr>
          <w:rFonts w:ascii="Arial" w:hAnsi="Arial" w:cs="Arial"/>
          <w:vertAlign w:val="superscript"/>
          <w:lang w:val="pt-BR"/>
        </w:rPr>
        <w:t>1</w:t>
      </w:r>
      <w:r w:rsidRPr="00B51430">
        <w:rPr>
          <w:rFonts w:ascii="Arial" w:hAnsi="Arial" w:cs="Arial"/>
          <w:lang w:val="pt-BR"/>
        </w:rPr>
        <w:t>; Gabriela A. Vasques</w:t>
      </w:r>
      <w:r w:rsidRPr="00B51430">
        <w:rPr>
          <w:rFonts w:ascii="Arial" w:hAnsi="Arial" w:cs="Arial"/>
          <w:vertAlign w:val="superscript"/>
          <w:lang w:val="pt-BR"/>
        </w:rPr>
        <w:t>1,2</w:t>
      </w:r>
      <w:r w:rsidRPr="00B51430">
        <w:rPr>
          <w:rFonts w:ascii="Arial" w:hAnsi="Arial" w:cs="Arial"/>
          <w:lang w:val="pt-BR"/>
        </w:rPr>
        <w:t>; Renata C. Scalco</w:t>
      </w:r>
      <w:r w:rsidRPr="00B51430">
        <w:rPr>
          <w:rFonts w:ascii="Arial" w:hAnsi="Arial" w:cs="Arial"/>
          <w:vertAlign w:val="superscript"/>
          <w:lang w:val="pt-BR"/>
        </w:rPr>
        <w:t>1,2</w:t>
      </w:r>
      <w:r w:rsidRPr="00B51430">
        <w:rPr>
          <w:rFonts w:ascii="Arial" w:hAnsi="Arial" w:cs="Arial"/>
          <w:lang w:val="pt-BR"/>
        </w:rPr>
        <w:t xml:space="preserve">; </w:t>
      </w:r>
      <w:r w:rsidR="00D53050" w:rsidRPr="00B51430">
        <w:rPr>
          <w:rFonts w:ascii="Arial" w:hAnsi="Arial" w:cs="Arial"/>
          <w:lang w:val="pt-BR"/>
        </w:rPr>
        <w:t>Marilena Nakaguma</w:t>
      </w:r>
      <w:r w:rsidR="00D53050" w:rsidRPr="00B51430">
        <w:rPr>
          <w:rFonts w:ascii="Arial" w:hAnsi="Arial" w:cs="Arial"/>
          <w:vertAlign w:val="superscript"/>
          <w:lang w:val="pt-BR"/>
        </w:rPr>
        <w:t>1</w:t>
      </w:r>
      <w:r w:rsidR="00D53050" w:rsidRPr="00B51430">
        <w:rPr>
          <w:rFonts w:ascii="Arial" w:hAnsi="Arial" w:cs="Arial"/>
          <w:lang w:val="pt-BR"/>
        </w:rPr>
        <w:t xml:space="preserve">; </w:t>
      </w:r>
      <w:bookmarkStart w:id="2" w:name="_GoBack"/>
      <w:bookmarkEnd w:id="2"/>
      <w:r w:rsidRPr="00B51430">
        <w:rPr>
          <w:rFonts w:ascii="Arial" w:hAnsi="Arial" w:cs="Arial"/>
          <w:lang w:val="pt-BR"/>
        </w:rPr>
        <w:t>Berenice B. Mendonca</w:t>
      </w:r>
      <w:r w:rsidRPr="00B51430">
        <w:rPr>
          <w:rFonts w:ascii="Arial" w:hAnsi="Arial" w:cs="Arial"/>
          <w:vertAlign w:val="superscript"/>
          <w:lang w:val="pt-BR"/>
        </w:rPr>
        <w:t>1</w:t>
      </w:r>
      <w:r w:rsidRPr="00B51430">
        <w:rPr>
          <w:rFonts w:ascii="Arial" w:hAnsi="Arial" w:cs="Arial"/>
          <w:lang w:val="pt-BR"/>
        </w:rPr>
        <w:t>; Ivo J. P. Arnhold</w:t>
      </w:r>
      <w:r w:rsidRPr="00B51430">
        <w:rPr>
          <w:rFonts w:ascii="Arial" w:hAnsi="Arial" w:cs="Arial"/>
          <w:vertAlign w:val="superscript"/>
          <w:lang w:val="pt-BR"/>
        </w:rPr>
        <w:t>1</w:t>
      </w:r>
      <w:r w:rsidRPr="00B51430">
        <w:rPr>
          <w:rFonts w:ascii="Arial" w:hAnsi="Arial" w:cs="Arial"/>
          <w:lang w:val="pt-BR"/>
        </w:rPr>
        <w:t>; Alexander A. L. Jorge</w:t>
      </w:r>
      <w:r w:rsidRPr="00B51430">
        <w:rPr>
          <w:rFonts w:ascii="Arial" w:hAnsi="Arial" w:cs="Arial"/>
          <w:vertAlign w:val="superscript"/>
          <w:lang w:val="pt-BR"/>
        </w:rPr>
        <w:t>1,2</w:t>
      </w:r>
    </w:p>
    <w:p w14:paraId="1C23DFE4" w14:textId="77777777" w:rsidR="00B51430" w:rsidRPr="00B51430" w:rsidRDefault="00B51430" w:rsidP="00B51430">
      <w:pPr>
        <w:spacing w:line="480" w:lineRule="auto"/>
        <w:jc w:val="both"/>
        <w:rPr>
          <w:rFonts w:ascii="Arial" w:hAnsi="Arial" w:cs="Arial"/>
          <w:vertAlign w:val="superscript"/>
          <w:lang w:val="pt-BR"/>
        </w:rPr>
      </w:pPr>
    </w:p>
    <w:p w14:paraId="2750F34A" w14:textId="77777777" w:rsidR="00B51430" w:rsidRPr="00B51430" w:rsidRDefault="00B51430" w:rsidP="00B51430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color w:val="auto"/>
          <w:lang w:val="pt-BR"/>
        </w:rPr>
      </w:pPr>
      <w:r w:rsidRPr="00B51430">
        <w:rPr>
          <w:color w:val="auto"/>
          <w:lang w:val="pt-BR"/>
        </w:rPr>
        <w:t xml:space="preserve">Unidade de Endocrinologia do Desenvolvimento (LIM/42), Hospital das Clinicas da Faculdade de Medicina, Universidade de </w:t>
      </w:r>
      <w:proofErr w:type="spellStart"/>
      <w:r w:rsidRPr="00B51430">
        <w:rPr>
          <w:color w:val="auto"/>
          <w:lang w:val="pt-BR"/>
        </w:rPr>
        <w:t>Sao</w:t>
      </w:r>
      <w:proofErr w:type="spellEnd"/>
      <w:r w:rsidRPr="00B51430">
        <w:rPr>
          <w:color w:val="auto"/>
          <w:lang w:val="pt-BR"/>
        </w:rPr>
        <w:t xml:space="preserve"> Paulo (USP), </w:t>
      </w:r>
      <w:proofErr w:type="spellStart"/>
      <w:r w:rsidRPr="00B51430">
        <w:rPr>
          <w:color w:val="auto"/>
          <w:lang w:val="pt-BR"/>
        </w:rPr>
        <w:t>Sao</w:t>
      </w:r>
      <w:proofErr w:type="spellEnd"/>
      <w:r w:rsidRPr="00B51430">
        <w:rPr>
          <w:color w:val="auto"/>
          <w:lang w:val="pt-BR"/>
        </w:rPr>
        <w:t xml:space="preserve"> Paulo, </w:t>
      </w:r>
      <w:proofErr w:type="spellStart"/>
      <w:r w:rsidRPr="00B51430">
        <w:rPr>
          <w:color w:val="auto"/>
          <w:lang w:val="pt-BR"/>
        </w:rPr>
        <w:t>Brazil</w:t>
      </w:r>
      <w:proofErr w:type="spellEnd"/>
    </w:p>
    <w:p w14:paraId="67921FF8" w14:textId="77777777" w:rsidR="00B51430" w:rsidRPr="00B51430" w:rsidRDefault="00B51430" w:rsidP="00B51430">
      <w:pPr>
        <w:pStyle w:val="ListParagraph"/>
        <w:numPr>
          <w:ilvl w:val="0"/>
          <w:numId w:val="1"/>
        </w:numPr>
        <w:spacing w:line="480" w:lineRule="auto"/>
        <w:ind w:left="426" w:hanging="426"/>
        <w:rPr>
          <w:color w:val="auto"/>
          <w:lang w:val="pt-BR"/>
        </w:rPr>
      </w:pPr>
      <w:r w:rsidRPr="00B51430">
        <w:rPr>
          <w:color w:val="auto"/>
          <w:lang w:val="pt-BR"/>
        </w:rPr>
        <w:t xml:space="preserve">Unidade de Endocrinologia </w:t>
      </w:r>
      <w:proofErr w:type="spellStart"/>
      <w:r w:rsidRPr="00B51430">
        <w:rPr>
          <w:color w:val="auto"/>
          <w:lang w:val="pt-BR"/>
        </w:rPr>
        <w:t>Genetica</w:t>
      </w:r>
      <w:proofErr w:type="spellEnd"/>
      <w:r w:rsidRPr="00B51430">
        <w:rPr>
          <w:color w:val="auto"/>
          <w:lang w:val="pt-BR"/>
        </w:rPr>
        <w:t xml:space="preserve"> (LIM/25), Hospital das Clinicas da Faculdade de Medicina, Universidade de </w:t>
      </w:r>
      <w:proofErr w:type="spellStart"/>
      <w:r w:rsidRPr="00B51430">
        <w:rPr>
          <w:color w:val="auto"/>
          <w:lang w:val="pt-BR"/>
        </w:rPr>
        <w:t>Sao</w:t>
      </w:r>
      <w:proofErr w:type="spellEnd"/>
      <w:r w:rsidRPr="00B51430">
        <w:rPr>
          <w:color w:val="auto"/>
          <w:lang w:val="pt-BR"/>
        </w:rPr>
        <w:t xml:space="preserve"> Paulo (USP), </w:t>
      </w:r>
      <w:proofErr w:type="spellStart"/>
      <w:r w:rsidRPr="00B51430">
        <w:rPr>
          <w:color w:val="auto"/>
          <w:lang w:val="pt-BR"/>
        </w:rPr>
        <w:t>Sao</w:t>
      </w:r>
      <w:proofErr w:type="spellEnd"/>
      <w:r w:rsidRPr="00B51430">
        <w:rPr>
          <w:color w:val="auto"/>
          <w:lang w:val="pt-BR"/>
        </w:rPr>
        <w:t xml:space="preserve"> Paulo, </w:t>
      </w:r>
      <w:proofErr w:type="spellStart"/>
      <w:r w:rsidRPr="00B51430">
        <w:rPr>
          <w:color w:val="auto"/>
          <w:lang w:val="pt-BR"/>
        </w:rPr>
        <w:t>Brazil</w:t>
      </w:r>
      <w:proofErr w:type="spellEnd"/>
    </w:p>
    <w:p w14:paraId="6BE14EDF" w14:textId="77777777" w:rsidR="00B51430" w:rsidRPr="00B51430" w:rsidRDefault="00B51430">
      <w:pPr>
        <w:spacing w:after="200" w:line="276" w:lineRule="auto"/>
        <w:rPr>
          <w:rFonts w:ascii="Arial" w:eastAsia="Arial Unicode MS" w:hAnsi="Arial" w:cs="Arial"/>
          <w:b/>
          <w:u w:color="000000"/>
          <w:bdr w:val="nil"/>
          <w:lang w:val="pt-BR" w:eastAsia="pt-BR"/>
        </w:rPr>
      </w:pPr>
      <w:r w:rsidRPr="00B51430">
        <w:rPr>
          <w:rFonts w:ascii="Arial" w:eastAsia="Arial Unicode MS" w:hAnsi="Arial" w:cs="Arial"/>
          <w:b/>
          <w:u w:color="000000"/>
          <w:bdr w:val="nil"/>
          <w:lang w:val="pt-BR" w:eastAsia="pt-BR"/>
        </w:rPr>
        <w:br w:type="page"/>
      </w:r>
    </w:p>
    <w:sdt>
      <w:sdtPr>
        <w:rPr>
          <w:rFonts w:ascii="Arial" w:eastAsiaTheme="minorEastAsia" w:hAnsi="Arial" w:cs="Arial"/>
          <w:b w:val="0"/>
          <w:bCs w:val="0"/>
          <w:color w:val="auto"/>
          <w:sz w:val="24"/>
          <w:szCs w:val="24"/>
          <w:lang w:val="en-US" w:eastAsia="ja-JP"/>
        </w:rPr>
        <w:id w:val="796486391"/>
        <w:docPartObj>
          <w:docPartGallery w:val="Table of Contents"/>
          <w:docPartUnique/>
        </w:docPartObj>
      </w:sdtPr>
      <w:sdtEndPr/>
      <w:sdtContent>
        <w:p w14:paraId="3D9BC2CA" w14:textId="77777777" w:rsidR="00B51430" w:rsidRPr="00120FAC" w:rsidRDefault="00B51430" w:rsidP="00B51430">
          <w:pPr>
            <w:pStyle w:val="TOCHeading"/>
            <w:spacing w:line="480" w:lineRule="auto"/>
            <w:rPr>
              <w:rFonts w:ascii="Arial" w:hAnsi="Arial" w:cs="Arial"/>
              <w:color w:val="auto"/>
              <w:sz w:val="24"/>
              <w:szCs w:val="24"/>
              <w:lang w:val="en-US"/>
            </w:rPr>
          </w:pPr>
          <w:r w:rsidRPr="00120FAC">
            <w:rPr>
              <w:rFonts w:ascii="Arial" w:hAnsi="Arial" w:cs="Arial"/>
              <w:color w:val="auto"/>
              <w:sz w:val="24"/>
              <w:szCs w:val="24"/>
              <w:lang w:val="en-US"/>
            </w:rPr>
            <w:t>Table of Contents</w:t>
          </w:r>
        </w:p>
        <w:p w14:paraId="1B8C89F0" w14:textId="77777777" w:rsidR="00B51430" w:rsidRPr="00120FAC" w:rsidRDefault="00B51430" w:rsidP="00B51430">
          <w:pPr>
            <w:pStyle w:val="TOC1"/>
            <w:tabs>
              <w:tab w:val="right" w:leader="dot" w:pos="8494"/>
            </w:tabs>
            <w:spacing w:line="480" w:lineRule="auto"/>
            <w:ind w:left="284" w:hanging="284"/>
            <w:rPr>
              <w:rFonts w:ascii="Arial" w:hAnsi="Arial" w:cs="Arial"/>
              <w:noProof/>
            </w:rPr>
          </w:pPr>
          <w:r w:rsidRPr="00120FAC">
            <w:rPr>
              <w:rFonts w:ascii="Arial" w:hAnsi="Arial" w:cs="Arial"/>
              <w:lang w:val="pt-BR"/>
            </w:rPr>
            <w:fldChar w:fldCharType="begin"/>
          </w:r>
          <w:r w:rsidRPr="00120FAC">
            <w:rPr>
              <w:rFonts w:ascii="Arial" w:hAnsi="Arial" w:cs="Arial"/>
              <w:lang w:val="pt-BR"/>
            </w:rPr>
            <w:instrText xml:space="preserve"> TOC \o "1-3" \h \z \u </w:instrText>
          </w:r>
          <w:r w:rsidRPr="00120FAC">
            <w:rPr>
              <w:rFonts w:ascii="Arial" w:hAnsi="Arial" w:cs="Arial"/>
              <w:lang w:val="pt-BR"/>
            </w:rPr>
            <w:fldChar w:fldCharType="separate"/>
          </w:r>
          <w:hyperlink w:anchor="_Toc510698406" w:history="1">
            <w:r w:rsidRPr="00120FAC">
              <w:rPr>
                <w:rStyle w:val="Hyperlink"/>
                <w:rFonts w:ascii="Arial" w:hAnsi="Arial" w:cs="Arial"/>
                <w:noProof/>
                <w:color w:val="auto"/>
              </w:rPr>
              <w:t>Supplemental Table 1 – Clinical and laboratory characteristics of the GHD, Non-GHD, ISS and SGA patients</w:t>
            </w:r>
            <w:r w:rsidRPr="00120FAC">
              <w:rPr>
                <w:rFonts w:ascii="Arial" w:hAnsi="Arial" w:cs="Arial"/>
                <w:noProof/>
                <w:webHidden/>
              </w:rPr>
              <w:tab/>
            </w:r>
            <w:r w:rsidRPr="00120FAC">
              <w:rPr>
                <w:rFonts w:ascii="Arial" w:hAnsi="Arial" w:cs="Arial"/>
                <w:noProof/>
                <w:webHidden/>
              </w:rPr>
              <w:fldChar w:fldCharType="begin"/>
            </w:r>
            <w:r w:rsidRPr="00120FAC">
              <w:rPr>
                <w:rFonts w:ascii="Arial" w:hAnsi="Arial" w:cs="Arial"/>
                <w:noProof/>
                <w:webHidden/>
              </w:rPr>
              <w:instrText xml:space="preserve"> PAGEREF _Toc510698406 \h </w:instrText>
            </w:r>
            <w:r w:rsidRPr="00120FAC">
              <w:rPr>
                <w:rFonts w:ascii="Arial" w:hAnsi="Arial" w:cs="Arial"/>
                <w:noProof/>
                <w:webHidden/>
              </w:rPr>
            </w:r>
            <w:r w:rsidRPr="00120F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FAC">
              <w:rPr>
                <w:rFonts w:ascii="Arial" w:hAnsi="Arial" w:cs="Arial"/>
                <w:noProof/>
                <w:webHidden/>
              </w:rPr>
              <w:t>3</w:t>
            </w:r>
            <w:r w:rsidRPr="00120F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9948BC2" w14:textId="77777777" w:rsidR="00B51430" w:rsidRPr="00120FAC" w:rsidRDefault="00D53050" w:rsidP="00B51430">
          <w:pPr>
            <w:pStyle w:val="TOC1"/>
            <w:tabs>
              <w:tab w:val="right" w:leader="dot" w:pos="8494"/>
            </w:tabs>
            <w:spacing w:line="480" w:lineRule="auto"/>
            <w:ind w:left="284" w:hanging="284"/>
            <w:rPr>
              <w:rFonts w:ascii="Arial" w:hAnsi="Arial" w:cs="Arial"/>
              <w:noProof/>
            </w:rPr>
          </w:pPr>
          <w:hyperlink w:anchor="_Toc510698407" w:history="1">
            <w:r w:rsidR="00B51430" w:rsidRPr="00120FAC">
              <w:rPr>
                <w:rStyle w:val="Hyperlink"/>
                <w:rFonts w:ascii="Arial" w:hAnsi="Arial" w:cs="Arial"/>
                <w:noProof/>
                <w:color w:val="auto"/>
              </w:rPr>
              <w:t>Supplemental Table 2 – Clinical and laboratorial characteristics of GHD patients with normal IGF-1-SDS and Non-GHD patients with abnormal IGF-1-SDS according to chronological age, bone age and pubertal status</w:t>
            </w:r>
            <w:r w:rsidR="00B51430" w:rsidRPr="00120FAC">
              <w:rPr>
                <w:rFonts w:ascii="Arial" w:hAnsi="Arial" w:cs="Arial"/>
                <w:noProof/>
                <w:webHidden/>
              </w:rPr>
              <w:tab/>
            </w:r>
            <w:r w:rsidR="00B51430" w:rsidRPr="00120FAC">
              <w:rPr>
                <w:rFonts w:ascii="Arial" w:hAnsi="Arial" w:cs="Arial"/>
                <w:noProof/>
                <w:webHidden/>
              </w:rPr>
              <w:fldChar w:fldCharType="begin"/>
            </w:r>
            <w:r w:rsidR="00B51430" w:rsidRPr="00120FAC">
              <w:rPr>
                <w:rFonts w:ascii="Arial" w:hAnsi="Arial" w:cs="Arial"/>
                <w:noProof/>
                <w:webHidden/>
              </w:rPr>
              <w:instrText xml:space="preserve"> PAGEREF _Toc510698407 \h </w:instrText>
            </w:r>
            <w:r w:rsidR="00B51430" w:rsidRPr="00120FAC">
              <w:rPr>
                <w:rFonts w:ascii="Arial" w:hAnsi="Arial" w:cs="Arial"/>
                <w:noProof/>
                <w:webHidden/>
              </w:rPr>
            </w:r>
            <w:r w:rsidR="00B51430" w:rsidRPr="00120F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FAC">
              <w:rPr>
                <w:rFonts w:ascii="Arial" w:hAnsi="Arial" w:cs="Arial"/>
                <w:noProof/>
                <w:webHidden/>
              </w:rPr>
              <w:t>4</w:t>
            </w:r>
            <w:r w:rsidR="00B51430" w:rsidRPr="00120F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2C28DEE" w14:textId="77777777" w:rsidR="00B51430" w:rsidRPr="00120FAC" w:rsidRDefault="00D53050" w:rsidP="00B51430">
          <w:pPr>
            <w:pStyle w:val="TOC1"/>
            <w:tabs>
              <w:tab w:val="right" w:leader="dot" w:pos="8494"/>
            </w:tabs>
            <w:spacing w:line="480" w:lineRule="auto"/>
            <w:ind w:left="284" w:hanging="284"/>
            <w:rPr>
              <w:rFonts w:ascii="Arial" w:hAnsi="Arial" w:cs="Arial"/>
              <w:noProof/>
            </w:rPr>
          </w:pPr>
          <w:hyperlink w:anchor="_Toc510698408" w:history="1">
            <w:r w:rsidR="00B51430" w:rsidRPr="00120FAC">
              <w:rPr>
                <w:rStyle w:val="Hyperlink"/>
                <w:rFonts w:ascii="Arial" w:hAnsi="Arial" w:cs="Arial"/>
                <w:noProof/>
                <w:color w:val="auto"/>
              </w:rPr>
              <w:t>Supplemental Table 3 – Estimative of performance of a GH stimulation test (with an sensitivity of 88.5% and specificity of 97.4% (6)) according to the pre-test probability</w:t>
            </w:r>
            <w:r w:rsidR="00B51430" w:rsidRPr="00120FAC">
              <w:rPr>
                <w:rFonts w:ascii="Arial" w:hAnsi="Arial" w:cs="Arial"/>
                <w:noProof/>
                <w:webHidden/>
              </w:rPr>
              <w:tab/>
            </w:r>
            <w:r w:rsidR="00B51430" w:rsidRPr="00120FAC">
              <w:rPr>
                <w:rFonts w:ascii="Arial" w:hAnsi="Arial" w:cs="Arial"/>
                <w:noProof/>
                <w:webHidden/>
              </w:rPr>
              <w:fldChar w:fldCharType="begin"/>
            </w:r>
            <w:r w:rsidR="00B51430" w:rsidRPr="00120FAC">
              <w:rPr>
                <w:rFonts w:ascii="Arial" w:hAnsi="Arial" w:cs="Arial"/>
                <w:noProof/>
                <w:webHidden/>
              </w:rPr>
              <w:instrText xml:space="preserve"> PAGEREF _Toc510698408 \h </w:instrText>
            </w:r>
            <w:r w:rsidR="00B51430" w:rsidRPr="00120FAC">
              <w:rPr>
                <w:rFonts w:ascii="Arial" w:hAnsi="Arial" w:cs="Arial"/>
                <w:noProof/>
                <w:webHidden/>
              </w:rPr>
            </w:r>
            <w:r w:rsidR="00B51430" w:rsidRPr="00120FA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120FAC">
              <w:rPr>
                <w:rFonts w:ascii="Arial" w:hAnsi="Arial" w:cs="Arial"/>
                <w:noProof/>
                <w:webHidden/>
              </w:rPr>
              <w:t>5</w:t>
            </w:r>
            <w:r w:rsidR="00B51430" w:rsidRPr="00120FA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CCBD86D" w14:textId="77777777" w:rsidR="00B51430" w:rsidRPr="00B51430" w:rsidRDefault="00B51430" w:rsidP="00B51430">
          <w:pPr>
            <w:spacing w:line="480" w:lineRule="auto"/>
            <w:rPr>
              <w:rFonts w:ascii="Arial" w:hAnsi="Arial" w:cs="Arial"/>
              <w:lang w:val="pt-BR"/>
            </w:rPr>
            <w:sectPr w:rsidR="00B51430" w:rsidRPr="00B51430" w:rsidSect="00120FAC">
              <w:headerReference w:type="default" r:id="rId9"/>
              <w:footerReference w:type="even" r:id="rId10"/>
              <w:footerReference w:type="default" r:id="rId11"/>
              <w:pgSz w:w="11906" w:h="16838"/>
              <w:pgMar w:top="1417" w:right="1701" w:bottom="1417" w:left="1701" w:header="708" w:footer="708" w:gutter="0"/>
              <w:cols w:space="708"/>
              <w:titlePg/>
              <w:docGrid w:linePitch="360"/>
            </w:sectPr>
          </w:pPr>
          <w:r w:rsidRPr="00120FAC">
            <w:rPr>
              <w:rFonts w:ascii="Arial" w:hAnsi="Arial" w:cs="Arial"/>
              <w:lang w:val="pt-BR"/>
            </w:rPr>
            <w:fldChar w:fldCharType="end"/>
          </w:r>
        </w:p>
      </w:sdtContent>
    </w:sdt>
    <w:p w14:paraId="033A95D5" w14:textId="77777777" w:rsidR="00F61746" w:rsidRPr="00B51430" w:rsidRDefault="00B51430" w:rsidP="00B51430">
      <w:pPr>
        <w:pStyle w:val="Heading1"/>
        <w:rPr>
          <w:rFonts w:ascii="Arial" w:hAnsi="Arial" w:cs="Arial"/>
          <w:color w:val="auto"/>
          <w:sz w:val="24"/>
          <w:szCs w:val="24"/>
        </w:rPr>
      </w:pPr>
      <w:bookmarkStart w:id="3" w:name="_Ref384495901"/>
      <w:bookmarkStart w:id="4" w:name="_Toc510698406"/>
      <w:r>
        <w:rPr>
          <w:rFonts w:ascii="Arial" w:hAnsi="Arial" w:cs="Arial"/>
          <w:color w:val="auto"/>
          <w:sz w:val="24"/>
          <w:szCs w:val="24"/>
        </w:rPr>
        <w:lastRenderedPageBreak/>
        <w:t>S</w:t>
      </w:r>
      <w:r w:rsidR="00F61746" w:rsidRPr="00B51430">
        <w:rPr>
          <w:rFonts w:ascii="Arial" w:hAnsi="Arial" w:cs="Arial"/>
          <w:color w:val="auto"/>
          <w:sz w:val="24"/>
          <w:szCs w:val="24"/>
        </w:rPr>
        <w:t xml:space="preserve">upplemental Table </w:t>
      </w:r>
      <w:r w:rsidR="00F61746" w:rsidRPr="00B51430">
        <w:rPr>
          <w:rFonts w:ascii="Arial" w:hAnsi="Arial" w:cs="Arial"/>
          <w:color w:val="auto"/>
          <w:sz w:val="24"/>
          <w:szCs w:val="24"/>
        </w:rPr>
        <w:fldChar w:fldCharType="begin"/>
      </w:r>
      <w:r w:rsidR="00F61746" w:rsidRPr="00B51430">
        <w:rPr>
          <w:rFonts w:ascii="Arial" w:hAnsi="Arial" w:cs="Arial"/>
          <w:color w:val="auto"/>
          <w:sz w:val="24"/>
          <w:szCs w:val="24"/>
        </w:rPr>
        <w:instrText xml:space="preserve"> SEQ Supplemental_Table \* ARABIC </w:instrText>
      </w:r>
      <w:r w:rsidR="00F61746" w:rsidRPr="00B51430">
        <w:rPr>
          <w:rFonts w:ascii="Arial" w:hAnsi="Arial" w:cs="Arial"/>
          <w:color w:val="auto"/>
          <w:sz w:val="24"/>
          <w:szCs w:val="24"/>
        </w:rPr>
        <w:fldChar w:fldCharType="separate"/>
      </w:r>
      <w:r w:rsidR="00120FAC">
        <w:rPr>
          <w:rFonts w:ascii="Arial" w:hAnsi="Arial" w:cs="Arial"/>
          <w:noProof/>
          <w:color w:val="auto"/>
          <w:sz w:val="24"/>
          <w:szCs w:val="24"/>
        </w:rPr>
        <w:t>1</w:t>
      </w:r>
      <w:r w:rsidR="00F61746" w:rsidRPr="00B51430">
        <w:rPr>
          <w:rFonts w:ascii="Arial" w:hAnsi="Arial" w:cs="Arial"/>
          <w:color w:val="auto"/>
          <w:sz w:val="24"/>
          <w:szCs w:val="24"/>
        </w:rPr>
        <w:fldChar w:fldCharType="end"/>
      </w:r>
      <w:bookmarkEnd w:id="3"/>
      <w:r w:rsidR="00F61746" w:rsidRPr="00B51430">
        <w:rPr>
          <w:rFonts w:ascii="Arial" w:hAnsi="Arial" w:cs="Arial"/>
          <w:color w:val="auto"/>
          <w:sz w:val="24"/>
          <w:szCs w:val="24"/>
        </w:rPr>
        <w:t xml:space="preserve"> – Clinical and laboratory characteristics of the GHD, Non-GHD, ISS and SGA patients</w:t>
      </w:r>
      <w:bookmarkEnd w:id="4"/>
    </w:p>
    <w:tbl>
      <w:tblPr>
        <w:tblStyle w:val="SombreamentoClaro1"/>
        <w:tblW w:w="5000" w:type="pct"/>
        <w:tblLook w:val="04A0" w:firstRow="1" w:lastRow="0" w:firstColumn="1" w:lastColumn="0" w:noHBand="0" w:noVBand="1"/>
      </w:tblPr>
      <w:tblGrid>
        <w:gridCol w:w="4257"/>
        <w:gridCol w:w="2383"/>
        <w:gridCol w:w="2571"/>
        <w:gridCol w:w="2502"/>
        <w:gridCol w:w="2505"/>
      </w:tblGrid>
      <w:tr w:rsidR="00F61746" w:rsidRPr="00B51430" w14:paraId="5D8C7C69" w14:textId="77777777" w:rsidTr="00120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</w:tcPr>
          <w:p w14:paraId="7992C3BF" w14:textId="77777777" w:rsidR="00F61746" w:rsidRPr="00B51430" w:rsidRDefault="00F61746" w:rsidP="00120FA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838" w:type="pct"/>
          </w:tcPr>
          <w:p w14:paraId="0E6C7F83" w14:textId="77777777" w:rsidR="00F61746" w:rsidRPr="00B51430" w:rsidRDefault="00F61746" w:rsidP="00120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GHD</w:t>
            </w:r>
          </w:p>
        </w:tc>
        <w:tc>
          <w:tcPr>
            <w:tcW w:w="904" w:type="pct"/>
          </w:tcPr>
          <w:p w14:paraId="73647836" w14:textId="77777777" w:rsidR="00F61746" w:rsidRPr="00B51430" w:rsidRDefault="00F61746" w:rsidP="00120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Non-GHD</w:t>
            </w:r>
          </w:p>
        </w:tc>
        <w:tc>
          <w:tcPr>
            <w:tcW w:w="880" w:type="pct"/>
          </w:tcPr>
          <w:p w14:paraId="7064B596" w14:textId="77777777" w:rsidR="00F61746" w:rsidRPr="00B51430" w:rsidRDefault="00F61746" w:rsidP="00120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ISS*</w:t>
            </w:r>
          </w:p>
        </w:tc>
        <w:tc>
          <w:tcPr>
            <w:tcW w:w="881" w:type="pct"/>
          </w:tcPr>
          <w:p w14:paraId="62973300" w14:textId="77777777" w:rsidR="00F61746" w:rsidRPr="00B51430" w:rsidRDefault="00F61746" w:rsidP="00120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SGA*</w:t>
            </w:r>
          </w:p>
        </w:tc>
      </w:tr>
      <w:tr w:rsidR="00F61746" w:rsidRPr="00B51430" w14:paraId="720AB648" w14:textId="77777777" w:rsidTr="0012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shd w:val="clear" w:color="auto" w:fill="BFBFBF" w:themeFill="background1" w:themeFillShade="BF"/>
          </w:tcPr>
          <w:p w14:paraId="718DBA2F" w14:textId="77777777" w:rsidR="00F61746" w:rsidRPr="00B51430" w:rsidRDefault="00F61746" w:rsidP="00120FAC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N</w:t>
            </w:r>
          </w:p>
        </w:tc>
        <w:tc>
          <w:tcPr>
            <w:tcW w:w="838" w:type="pct"/>
            <w:shd w:val="clear" w:color="auto" w:fill="BFBFBF" w:themeFill="background1" w:themeFillShade="BF"/>
          </w:tcPr>
          <w:p w14:paraId="652C8872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23</w:t>
            </w:r>
          </w:p>
        </w:tc>
        <w:tc>
          <w:tcPr>
            <w:tcW w:w="904" w:type="pct"/>
            <w:shd w:val="clear" w:color="auto" w:fill="BFBFBF" w:themeFill="background1" w:themeFillShade="BF"/>
          </w:tcPr>
          <w:p w14:paraId="787B627D" w14:textId="77777777" w:rsidR="00F61746" w:rsidRPr="00B51430" w:rsidRDefault="00F61746" w:rsidP="00120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131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307E56E3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100</w:t>
            </w:r>
          </w:p>
        </w:tc>
        <w:tc>
          <w:tcPr>
            <w:tcW w:w="881" w:type="pct"/>
            <w:shd w:val="clear" w:color="auto" w:fill="BFBFBF" w:themeFill="background1" w:themeFillShade="BF"/>
          </w:tcPr>
          <w:p w14:paraId="79D81781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31</w:t>
            </w:r>
          </w:p>
        </w:tc>
      </w:tr>
      <w:tr w:rsidR="00F61746" w:rsidRPr="00B51430" w14:paraId="01E8B3E9" w14:textId="77777777" w:rsidTr="00ED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1FFFE344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Gender (M:F)</w:t>
            </w:r>
          </w:p>
        </w:tc>
        <w:tc>
          <w:tcPr>
            <w:tcW w:w="838" w:type="pct"/>
          </w:tcPr>
          <w:p w14:paraId="36BE6BF7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12:11</w:t>
            </w:r>
          </w:p>
        </w:tc>
        <w:tc>
          <w:tcPr>
            <w:tcW w:w="904" w:type="pct"/>
          </w:tcPr>
          <w:p w14:paraId="4240A86A" w14:textId="77777777" w:rsidR="00F61746" w:rsidRPr="00B51430" w:rsidRDefault="00F61746" w:rsidP="00120F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90:41</w:t>
            </w:r>
          </w:p>
        </w:tc>
        <w:tc>
          <w:tcPr>
            <w:tcW w:w="880" w:type="pct"/>
          </w:tcPr>
          <w:p w14:paraId="4589C180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78:22</w:t>
            </w:r>
          </w:p>
        </w:tc>
        <w:tc>
          <w:tcPr>
            <w:tcW w:w="881" w:type="pct"/>
          </w:tcPr>
          <w:p w14:paraId="50D120EB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12:19</w:t>
            </w:r>
          </w:p>
        </w:tc>
      </w:tr>
      <w:tr w:rsidR="00F61746" w:rsidRPr="00B51430" w14:paraId="5E5F1F99" w14:textId="77777777" w:rsidTr="00ED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shd w:val="clear" w:color="auto" w:fill="BFBFBF" w:themeFill="background1" w:themeFillShade="BF"/>
            <w:vAlign w:val="center"/>
          </w:tcPr>
          <w:p w14:paraId="574AB1A2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Midparental height SDS</w:t>
            </w:r>
          </w:p>
        </w:tc>
        <w:tc>
          <w:tcPr>
            <w:tcW w:w="838" w:type="pct"/>
            <w:shd w:val="clear" w:color="auto" w:fill="BFBFBF" w:themeFill="background1" w:themeFillShade="BF"/>
          </w:tcPr>
          <w:p w14:paraId="678D7256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-1.1 ± 0.9</w:t>
            </w:r>
          </w:p>
          <w:p w14:paraId="38683FF5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-1.1(-2.4 to 0.7)</w:t>
            </w:r>
          </w:p>
        </w:tc>
        <w:tc>
          <w:tcPr>
            <w:tcW w:w="904" w:type="pct"/>
            <w:shd w:val="clear" w:color="auto" w:fill="BFBFBF" w:themeFill="background1" w:themeFillShade="BF"/>
          </w:tcPr>
          <w:p w14:paraId="126A775E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-1.0 ± 0.9</w:t>
            </w:r>
          </w:p>
          <w:p w14:paraId="19721111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-0.9 (-2.6 to 0.3)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48056A54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-1.0 ± 0.9</w:t>
            </w:r>
          </w:p>
          <w:p w14:paraId="12CCF85A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-0.9 (-2.4 to 0.5)</w:t>
            </w:r>
          </w:p>
        </w:tc>
        <w:tc>
          <w:tcPr>
            <w:tcW w:w="881" w:type="pct"/>
            <w:shd w:val="clear" w:color="auto" w:fill="BFBFBF" w:themeFill="background1" w:themeFillShade="BF"/>
          </w:tcPr>
          <w:p w14:paraId="5C605462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-1.2 ± 0.8</w:t>
            </w:r>
          </w:p>
          <w:p w14:paraId="76921C93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-1.0 (-2.7 to -0.0)</w:t>
            </w:r>
          </w:p>
        </w:tc>
      </w:tr>
      <w:tr w:rsidR="00F61746" w:rsidRPr="00B51430" w14:paraId="18083131" w14:textId="77777777" w:rsidTr="00ED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024C1584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Chronological age (years)</w:t>
            </w:r>
          </w:p>
        </w:tc>
        <w:tc>
          <w:tcPr>
            <w:tcW w:w="838" w:type="pct"/>
          </w:tcPr>
          <w:p w14:paraId="3BE20FC4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13.1 ± 3.2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 a</w:t>
            </w:r>
          </w:p>
          <w:p w14:paraId="6A83AF7D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13.5 (8.5 to 17.3)</w:t>
            </w:r>
          </w:p>
        </w:tc>
        <w:tc>
          <w:tcPr>
            <w:tcW w:w="904" w:type="pct"/>
          </w:tcPr>
          <w:p w14:paraId="58F044B9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12.6 ± 2.4</w:t>
            </w:r>
          </w:p>
          <w:p w14:paraId="14893FC8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12.8 (8.5 to 16.2)</w:t>
            </w:r>
          </w:p>
        </w:tc>
        <w:tc>
          <w:tcPr>
            <w:tcW w:w="880" w:type="pct"/>
          </w:tcPr>
          <w:p w14:paraId="70609593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13.0 ± 2.3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b</w:t>
            </w:r>
          </w:p>
          <w:p w14:paraId="445711E7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13.2 (9.4 to 16.3)</w:t>
            </w:r>
          </w:p>
        </w:tc>
        <w:tc>
          <w:tcPr>
            <w:tcW w:w="881" w:type="pct"/>
          </w:tcPr>
          <w:p w14:paraId="5B569B2A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11.3 ± 2.3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a,b</w:t>
            </w:r>
          </w:p>
          <w:p w14:paraId="248B88B4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11.3 (8.1 to 15.7)</w:t>
            </w:r>
          </w:p>
        </w:tc>
      </w:tr>
      <w:tr w:rsidR="00F61746" w:rsidRPr="00B51430" w14:paraId="5D042AE4" w14:textId="77777777" w:rsidTr="00ED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shd w:val="clear" w:color="auto" w:fill="BFBFBF" w:themeFill="background1" w:themeFillShade="BF"/>
            <w:vAlign w:val="center"/>
          </w:tcPr>
          <w:p w14:paraId="0D53E970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Bone age (years)</w:t>
            </w:r>
          </w:p>
        </w:tc>
        <w:tc>
          <w:tcPr>
            <w:tcW w:w="838" w:type="pct"/>
            <w:shd w:val="clear" w:color="auto" w:fill="BFBFBF" w:themeFill="background1" w:themeFillShade="BF"/>
          </w:tcPr>
          <w:p w14:paraId="672F2FD9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10.1 ± 4.0</w:t>
            </w:r>
          </w:p>
          <w:p w14:paraId="184B8096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9.8 (3.7 to 17.4)</w:t>
            </w:r>
          </w:p>
        </w:tc>
        <w:tc>
          <w:tcPr>
            <w:tcW w:w="904" w:type="pct"/>
            <w:shd w:val="clear" w:color="auto" w:fill="BFBFBF" w:themeFill="background1" w:themeFillShade="BF"/>
          </w:tcPr>
          <w:p w14:paraId="2390AB6C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10.5 ± 2.2</w:t>
            </w:r>
          </w:p>
          <w:p w14:paraId="000D192B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11.0 (6.1 to 13.7)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118B2C50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10.8 ± 2.0</w:t>
            </w:r>
          </w:p>
          <w:p w14:paraId="232FBA8E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11.0 (7.0 to 13.5)</w:t>
            </w:r>
          </w:p>
        </w:tc>
        <w:tc>
          <w:tcPr>
            <w:tcW w:w="881" w:type="pct"/>
            <w:shd w:val="clear" w:color="auto" w:fill="BFBFBF" w:themeFill="background1" w:themeFillShade="BF"/>
          </w:tcPr>
          <w:p w14:paraId="79149146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9.8 ± 2.7</w:t>
            </w:r>
          </w:p>
          <w:p w14:paraId="25162131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10.0 (5.9 to 14.0)</w:t>
            </w:r>
          </w:p>
        </w:tc>
      </w:tr>
      <w:tr w:rsidR="00F61746" w:rsidRPr="00B51430" w14:paraId="4463E4D8" w14:textId="77777777" w:rsidTr="00ED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03EE61B8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Bone age delay (years)</w:t>
            </w:r>
          </w:p>
        </w:tc>
        <w:tc>
          <w:tcPr>
            <w:tcW w:w="838" w:type="pct"/>
          </w:tcPr>
          <w:p w14:paraId="6B27911B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-3.4 ± 2.0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  <w:p w14:paraId="67F69AAA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-3.9 (-6.7 to 0.6)</w:t>
            </w:r>
          </w:p>
        </w:tc>
        <w:tc>
          <w:tcPr>
            <w:tcW w:w="904" w:type="pct"/>
          </w:tcPr>
          <w:p w14:paraId="7A984E49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-2.1 ± 1.5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  <w:p w14:paraId="40004141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-2.1 (-4.5 to 0.6)</w:t>
            </w:r>
          </w:p>
        </w:tc>
        <w:tc>
          <w:tcPr>
            <w:tcW w:w="880" w:type="pct"/>
          </w:tcPr>
          <w:p w14:paraId="64D42278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-2.3 ± 1.6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a,b</w:t>
            </w:r>
          </w:p>
          <w:p w14:paraId="393B36DA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-2.3 (-4.5 to 1.0)</w:t>
            </w:r>
          </w:p>
        </w:tc>
        <w:tc>
          <w:tcPr>
            <w:tcW w:w="881" w:type="pct"/>
          </w:tcPr>
          <w:p w14:paraId="2FB41A32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-1.5 ± 1.0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a,b</w:t>
            </w:r>
          </w:p>
          <w:p w14:paraId="2B5DB134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-1.3 (-3.3 to -0.2)</w:t>
            </w:r>
          </w:p>
        </w:tc>
      </w:tr>
      <w:tr w:rsidR="00F61746" w:rsidRPr="00B51430" w14:paraId="259E247B" w14:textId="77777777" w:rsidTr="00ED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shd w:val="clear" w:color="auto" w:fill="BFBFBF" w:themeFill="background1" w:themeFillShade="BF"/>
            <w:vAlign w:val="center"/>
          </w:tcPr>
          <w:p w14:paraId="474EFAD9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Height SDS</w:t>
            </w:r>
          </w:p>
        </w:tc>
        <w:tc>
          <w:tcPr>
            <w:tcW w:w="838" w:type="pct"/>
            <w:shd w:val="clear" w:color="auto" w:fill="BFBFBF" w:themeFill="background1" w:themeFillShade="BF"/>
          </w:tcPr>
          <w:p w14:paraId="3BFA4281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-3.8 ± 1.7</w:t>
            </w:r>
          </w:p>
          <w:p w14:paraId="0AD62961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-3.5 (-6.5 to -0.9)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04" w:type="pct"/>
            <w:shd w:val="clear" w:color="auto" w:fill="BFBFBF" w:themeFill="background1" w:themeFillShade="BF"/>
          </w:tcPr>
          <w:p w14:paraId="54FE31E6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-2.7 ± 0.5</w:t>
            </w:r>
          </w:p>
          <w:p w14:paraId="36CD1F38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-2.8 (-3.4 to -1.8)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763378F0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-2.7 ± 0.5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  <w:p w14:paraId="2FB387F9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-2.7 (-3.4 to -1.7)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81" w:type="pct"/>
            <w:shd w:val="clear" w:color="auto" w:fill="BFBFBF" w:themeFill="background1" w:themeFillShade="BF"/>
          </w:tcPr>
          <w:p w14:paraId="15742DCE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-2.8 ± 0.5</w:t>
            </w:r>
          </w:p>
          <w:p w14:paraId="250E0337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-2.9 (-3.6 to -2.0)</w:t>
            </w:r>
          </w:p>
        </w:tc>
      </w:tr>
      <w:tr w:rsidR="00F61746" w:rsidRPr="00B51430" w14:paraId="3D442A53" w14:textId="77777777" w:rsidTr="00ED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3EEA51CF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BMI SDS</w:t>
            </w:r>
          </w:p>
        </w:tc>
        <w:tc>
          <w:tcPr>
            <w:tcW w:w="838" w:type="pct"/>
          </w:tcPr>
          <w:p w14:paraId="3E5144D8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-0.1 ± 1.5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  <w:p w14:paraId="4ECAF9B8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-0.1 (-2.5 to 2.3)</w:t>
            </w:r>
          </w:p>
        </w:tc>
        <w:tc>
          <w:tcPr>
            <w:tcW w:w="904" w:type="pct"/>
          </w:tcPr>
          <w:p w14:paraId="5BDAED38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-1.0 ± 1.5</w:t>
            </w:r>
          </w:p>
          <w:p w14:paraId="78CB7454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-0.8 (-3.8 to 1.1)</w:t>
            </w:r>
          </w:p>
        </w:tc>
        <w:tc>
          <w:tcPr>
            <w:tcW w:w="880" w:type="pct"/>
          </w:tcPr>
          <w:p w14:paraId="303AA571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-1.0 ± 1.6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  <w:p w14:paraId="54E99B51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-0.8 (-4.3 to 1.1)</w:t>
            </w:r>
          </w:p>
        </w:tc>
        <w:tc>
          <w:tcPr>
            <w:tcW w:w="881" w:type="pct"/>
          </w:tcPr>
          <w:p w14:paraId="20F86644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-0.8 ± 1.2</w:t>
            </w:r>
          </w:p>
          <w:p w14:paraId="7478117F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-0.7 (-3.1 to 0.9)</w:t>
            </w:r>
          </w:p>
        </w:tc>
      </w:tr>
      <w:tr w:rsidR="00F61746" w:rsidRPr="00B51430" w14:paraId="276AA805" w14:textId="77777777" w:rsidTr="00ED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shd w:val="clear" w:color="auto" w:fill="BFBFBF" w:themeFill="background1" w:themeFillShade="BF"/>
            <w:vAlign w:val="center"/>
          </w:tcPr>
          <w:p w14:paraId="7B188F49" w14:textId="77777777" w:rsidR="00F61746" w:rsidRPr="00B51430" w:rsidRDefault="00B51430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Pubertal stages  I</w:t>
            </w:r>
          </w:p>
          <w:p w14:paraId="783DDB40" w14:textId="77777777" w:rsidR="00F61746" w:rsidRPr="00B51430" w:rsidRDefault="00B51430" w:rsidP="00ED4992">
            <w:pPr>
              <w:ind w:left="1701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II</w:t>
            </w:r>
          </w:p>
          <w:p w14:paraId="781130A4" w14:textId="77777777" w:rsidR="00F61746" w:rsidRPr="00B51430" w:rsidRDefault="00B51430" w:rsidP="00ED4992">
            <w:pPr>
              <w:ind w:left="1701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III</w:t>
            </w:r>
          </w:p>
          <w:p w14:paraId="4683F04D" w14:textId="77777777" w:rsidR="00F61746" w:rsidRPr="00B51430" w:rsidRDefault="00B51430" w:rsidP="00ED4992">
            <w:pPr>
              <w:ind w:left="1701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IV</w:t>
            </w:r>
          </w:p>
        </w:tc>
        <w:tc>
          <w:tcPr>
            <w:tcW w:w="838" w:type="pct"/>
            <w:shd w:val="clear" w:color="auto" w:fill="BFBFBF" w:themeFill="background1" w:themeFillShade="BF"/>
          </w:tcPr>
          <w:p w14:paraId="4EA68307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65%</w:t>
            </w:r>
          </w:p>
          <w:p w14:paraId="64FD8134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4%</w:t>
            </w:r>
          </w:p>
          <w:p w14:paraId="6C5283AD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22%</w:t>
            </w:r>
          </w:p>
          <w:p w14:paraId="3492713E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9%</w:t>
            </w:r>
          </w:p>
        </w:tc>
        <w:tc>
          <w:tcPr>
            <w:tcW w:w="904" w:type="pct"/>
            <w:shd w:val="clear" w:color="auto" w:fill="BFBFBF" w:themeFill="background1" w:themeFillShade="BF"/>
          </w:tcPr>
          <w:p w14:paraId="710F38DA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50%</w:t>
            </w:r>
          </w:p>
          <w:p w14:paraId="70050186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35%</w:t>
            </w:r>
          </w:p>
          <w:p w14:paraId="0B18551D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10%</w:t>
            </w:r>
          </w:p>
          <w:p w14:paraId="3F85EE83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7%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101BDB2E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49%</w:t>
            </w:r>
          </w:p>
          <w:p w14:paraId="17B4210C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33%</w:t>
            </w:r>
          </w:p>
          <w:p w14:paraId="746478B6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10%</w:t>
            </w:r>
          </w:p>
          <w:p w14:paraId="4D77D687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7%</w:t>
            </w:r>
          </w:p>
        </w:tc>
        <w:tc>
          <w:tcPr>
            <w:tcW w:w="881" w:type="pct"/>
            <w:shd w:val="clear" w:color="auto" w:fill="BFBFBF" w:themeFill="background1" w:themeFillShade="BF"/>
          </w:tcPr>
          <w:p w14:paraId="096DCEFD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52%</w:t>
            </w:r>
          </w:p>
          <w:p w14:paraId="54AA807F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41%</w:t>
            </w:r>
          </w:p>
          <w:p w14:paraId="2C107802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7%</w:t>
            </w:r>
          </w:p>
          <w:p w14:paraId="0ED89F79" w14:textId="77777777" w:rsidR="00F61746" w:rsidRPr="00B51430" w:rsidRDefault="00F61746" w:rsidP="00120FAC">
            <w:pPr>
              <w:pStyle w:val="ListParagraph"/>
              <w:suppressAutoHyphens w:val="0"/>
              <w:spacing w:line="240" w:lineRule="auto"/>
              <w:ind w:left="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2"/>
                <w:szCs w:val="22"/>
                <w:lang w:val="en-US"/>
              </w:rPr>
            </w:pPr>
            <w:r w:rsidRPr="00B51430">
              <w:rPr>
                <w:rFonts w:eastAsia="Times New Roman"/>
                <w:color w:val="auto"/>
                <w:sz w:val="22"/>
                <w:szCs w:val="22"/>
                <w:lang w:val="en-US"/>
              </w:rPr>
              <w:t>0%</w:t>
            </w:r>
          </w:p>
        </w:tc>
      </w:tr>
      <w:tr w:rsidR="00F61746" w:rsidRPr="00B51430" w14:paraId="6AB05E82" w14:textId="77777777" w:rsidTr="00ED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41BC9119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Maximum GH peak (µg/L)</w:t>
            </w:r>
          </w:p>
        </w:tc>
        <w:tc>
          <w:tcPr>
            <w:tcW w:w="838" w:type="pct"/>
          </w:tcPr>
          <w:p w14:paraId="7A173848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1.3 ± 1.5</w:t>
            </w:r>
          </w:p>
          <w:p w14:paraId="67D717F1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0.9 (0.1 to 4.9)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04" w:type="pct"/>
          </w:tcPr>
          <w:p w14:paraId="41BE6712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9.4 ± 5.3</w:t>
            </w:r>
          </w:p>
          <w:p w14:paraId="4084F44E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8.1 (3.2 to 21.2)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80" w:type="pct"/>
          </w:tcPr>
          <w:p w14:paraId="479D3B36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9.2 ± 5.2</w:t>
            </w:r>
          </w:p>
          <w:p w14:paraId="75F56F84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8.1 (3.2 to 21.9)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81" w:type="pct"/>
          </w:tcPr>
          <w:p w14:paraId="63C4002E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10.4 ± 5.6</w:t>
            </w:r>
          </w:p>
          <w:p w14:paraId="7147CDD5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8.5 (3.0 to 20.1)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</w:tr>
      <w:tr w:rsidR="00F61746" w:rsidRPr="00B51430" w14:paraId="310741C6" w14:textId="77777777" w:rsidTr="00ED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shd w:val="clear" w:color="auto" w:fill="BFBFBF" w:themeFill="background1" w:themeFillShade="BF"/>
            <w:vAlign w:val="center"/>
          </w:tcPr>
          <w:p w14:paraId="0B26A46E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IGF1</w:t>
            </w:r>
            <w:r w:rsidR="00ED4992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SDS</w:t>
            </w:r>
            <w:r w:rsidR="00ED4992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CA</w:t>
            </w:r>
          </w:p>
        </w:tc>
        <w:tc>
          <w:tcPr>
            <w:tcW w:w="838" w:type="pct"/>
            <w:shd w:val="clear" w:color="auto" w:fill="BFBFBF" w:themeFill="background1" w:themeFillShade="BF"/>
          </w:tcPr>
          <w:p w14:paraId="647EC575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-3.1 ± 0.8</w:t>
            </w:r>
          </w:p>
          <w:p w14:paraId="6E6A0DDD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-3.2 (-4.1 to -0.9)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04" w:type="pct"/>
            <w:shd w:val="clear" w:color="auto" w:fill="BFBFBF" w:themeFill="background1" w:themeFillShade="BF"/>
          </w:tcPr>
          <w:p w14:paraId="75A2DADB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-1.2 ± 1.4</w:t>
            </w:r>
          </w:p>
          <w:p w14:paraId="03B30244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-1.3 (-3.1 to 1.1)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056AA42D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-1.4 ± 1.3</w:t>
            </w:r>
          </w:p>
          <w:p w14:paraId="67291209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-1.6 (-3.0 to 1.0)</w:t>
            </w:r>
            <w:proofErr w:type="spellStart"/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a,b</w:t>
            </w:r>
            <w:proofErr w:type="spellEnd"/>
          </w:p>
        </w:tc>
        <w:tc>
          <w:tcPr>
            <w:tcW w:w="881" w:type="pct"/>
            <w:shd w:val="clear" w:color="auto" w:fill="BFBFBF" w:themeFill="background1" w:themeFillShade="BF"/>
          </w:tcPr>
          <w:p w14:paraId="2DA5CC3F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-0.6 ± 1.4</w:t>
            </w:r>
          </w:p>
          <w:p w14:paraId="4C9952B8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-0.3 (-3.2 to 1.2)</w:t>
            </w:r>
            <w:proofErr w:type="spellStart"/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a,b</w:t>
            </w:r>
            <w:proofErr w:type="spellEnd"/>
          </w:p>
        </w:tc>
      </w:tr>
      <w:tr w:rsidR="00F61746" w:rsidRPr="00B51430" w14:paraId="61151F04" w14:textId="77777777" w:rsidTr="00ED49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vAlign w:val="center"/>
          </w:tcPr>
          <w:p w14:paraId="7E73161A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IGF1</w:t>
            </w:r>
            <w:r w:rsidR="00ED4992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SDS</w:t>
            </w:r>
            <w:r w:rsidR="00ED4992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BA</w:t>
            </w:r>
          </w:p>
        </w:tc>
        <w:tc>
          <w:tcPr>
            <w:tcW w:w="838" w:type="pct"/>
          </w:tcPr>
          <w:p w14:paraId="2023E719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-2.4 ± 1.2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  <w:p w14:paraId="1C65631B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-2.6 (-3.7 to 0.0)</w:t>
            </w:r>
          </w:p>
        </w:tc>
        <w:tc>
          <w:tcPr>
            <w:tcW w:w="904" w:type="pct"/>
          </w:tcPr>
          <w:p w14:paraId="7897BF0C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-0.5 ± 1.1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  <w:p w14:paraId="7089310F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-0.5 (-2.2 to 1.4)</w:t>
            </w:r>
          </w:p>
        </w:tc>
        <w:tc>
          <w:tcPr>
            <w:tcW w:w="880" w:type="pct"/>
          </w:tcPr>
          <w:p w14:paraId="5A2BF679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-0.5 ± 1.1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  <w:p w14:paraId="639B5AB1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-0.6 (-2.1 to 1.2)</w:t>
            </w:r>
          </w:p>
        </w:tc>
        <w:tc>
          <w:tcPr>
            <w:tcW w:w="881" w:type="pct"/>
          </w:tcPr>
          <w:p w14:paraId="59F3373A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-0.2 ± 1.3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  <w:p w14:paraId="629AA0BB" w14:textId="77777777" w:rsidR="00F61746" w:rsidRPr="00B51430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0.2 (-2.8 to 1.7)</w:t>
            </w:r>
          </w:p>
        </w:tc>
      </w:tr>
      <w:tr w:rsidR="00F61746" w:rsidRPr="00B51430" w14:paraId="791F9006" w14:textId="77777777" w:rsidTr="00ED4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7" w:type="pct"/>
            <w:shd w:val="clear" w:color="auto" w:fill="BFBFBF" w:themeFill="background1" w:themeFillShade="BF"/>
            <w:vAlign w:val="center"/>
          </w:tcPr>
          <w:p w14:paraId="0253CAAD" w14:textId="77777777" w:rsidR="00F61746" w:rsidRPr="00B51430" w:rsidRDefault="00F61746" w:rsidP="00ED499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IGF1</w:t>
            </w:r>
            <w:r w:rsidR="00ED4992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SDS</w:t>
            </w:r>
            <w:r w:rsidR="00ED4992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PS</w:t>
            </w:r>
          </w:p>
        </w:tc>
        <w:tc>
          <w:tcPr>
            <w:tcW w:w="838" w:type="pct"/>
            <w:shd w:val="clear" w:color="auto" w:fill="BFBFBF" w:themeFill="background1" w:themeFillShade="BF"/>
          </w:tcPr>
          <w:p w14:paraId="639309BD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-1.7 ± 0.8</w:t>
            </w:r>
          </w:p>
          <w:p w14:paraId="1AE98F07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-2.1 (-2.4 to -0.1)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904" w:type="pct"/>
            <w:shd w:val="clear" w:color="auto" w:fill="BFBFBF" w:themeFill="background1" w:themeFillShade="BF"/>
          </w:tcPr>
          <w:p w14:paraId="0D20B139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-0.1 ± 0.8</w:t>
            </w:r>
          </w:p>
          <w:p w14:paraId="3A3B9B98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-0.1 (-1.0 to 1.0)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80" w:type="pct"/>
            <w:shd w:val="clear" w:color="auto" w:fill="BFBFBF" w:themeFill="background1" w:themeFillShade="BF"/>
          </w:tcPr>
          <w:p w14:paraId="1BCCDF6D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-0.1 ± 0.9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  <w:p w14:paraId="1DA41DD5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-0.1 (-1.0 to 0.9)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881" w:type="pct"/>
            <w:shd w:val="clear" w:color="auto" w:fill="BFBFBF" w:themeFill="background1" w:themeFillShade="BF"/>
          </w:tcPr>
          <w:p w14:paraId="3C1947ED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0.0 ± 0.8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  <w:p w14:paraId="30E916E1" w14:textId="77777777" w:rsidR="00F61746" w:rsidRPr="00B51430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51430">
              <w:rPr>
                <w:rFonts w:ascii="Arial" w:hAnsi="Arial" w:cs="Arial"/>
                <w:color w:val="auto"/>
                <w:sz w:val="22"/>
                <w:szCs w:val="22"/>
              </w:rPr>
              <w:t>-0.1 (-1.0 to 1.1)</w:t>
            </w:r>
            <w:r w:rsidRPr="00B51430">
              <w:rPr>
                <w:rFonts w:ascii="Arial" w:hAnsi="Arial" w:cs="Arial"/>
                <w:color w:val="auto"/>
                <w:sz w:val="22"/>
                <w:szCs w:val="22"/>
                <w:vertAlign w:val="superscript"/>
              </w:rPr>
              <w:t>a</w:t>
            </w:r>
          </w:p>
        </w:tc>
      </w:tr>
    </w:tbl>
    <w:p w14:paraId="4AE531A9" w14:textId="77777777" w:rsidR="00F61746" w:rsidRPr="00B51430" w:rsidRDefault="00F61746" w:rsidP="000D1DEC">
      <w:pPr>
        <w:pStyle w:val="Body"/>
        <w:spacing w:line="240" w:lineRule="auto"/>
        <w:rPr>
          <w:rFonts w:eastAsia="Arial" w:hAnsi="Arial" w:cs="Arial"/>
          <w:color w:val="auto"/>
        </w:rPr>
      </w:pPr>
      <w:r w:rsidRPr="000D1DEC">
        <w:rPr>
          <w:rFonts w:eastAsia="Arial" w:hAnsi="Arial" w:cs="Arial"/>
          <w:color w:val="auto"/>
          <w:sz w:val="20"/>
          <w:lang w:val="en-US"/>
        </w:rPr>
        <w:t xml:space="preserve">* ISS and SGA groups </w:t>
      </w:r>
      <w:r w:rsidRPr="000D1DEC">
        <w:rPr>
          <w:rFonts w:hAnsi="Arial" w:cs="Arial"/>
          <w:color w:val="auto"/>
          <w:sz w:val="20"/>
          <w:lang w:val="en-US"/>
        </w:rPr>
        <w:t>compose the Non-GHD group</w:t>
      </w:r>
      <w:r w:rsidRPr="000D1DEC">
        <w:rPr>
          <w:rFonts w:eastAsia="Arial" w:hAnsi="Arial" w:cs="Arial"/>
          <w:color w:val="auto"/>
          <w:sz w:val="20"/>
          <w:lang w:val="en-US"/>
        </w:rPr>
        <w:t>. Data are shown as mean ± SD and median (5</w:t>
      </w:r>
      <w:r w:rsidRPr="000D1DEC">
        <w:rPr>
          <w:rFonts w:eastAsia="Arial" w:hAnsi="Arial" w:cs="Arial"/>
          <w:color w:val="auto"/>
          <w:sz w:val="20"/>
          <w:vertAlign w:val="superscript"/>
          <w:lang w:val="en-US"/>
        </w:rPr>
        <w:t>th</w:t>
      </w:r>
      <w:r w:rsidRPr="000D1DEC">
        <w:rPr>
          <w:rFonts w:eastAsia="Arial" w:hAnsi="Arial" w:cs="Arial"/>
          <w:color w:val="auto"/>
          <w:sz w:val="20"/>
          <w:lang w:val="en-US"/>
        </w:rPr>
        <w:t xml:space="preserve"> and 95</w:t>
      </w:r>
      <w:r w:rsidRPr="000D1DEC">
        <w:rPr>
          <w:rFonts w:eastAsia="Arial" w:hAnsi="Arial" w:cs="Arial"/>
          <w:color w:val="auto"/>
          <w:sz w:val="20"/>
          <w:vertAlign w:val="superscript"/>
          <w:lang w:val="en-US"/>
        </w:rPr>
        <w:t>th</w:t>
      </w:r>
      <w:r w:rsidRPr="000D1DEC">
        <w:rPr>
          <w:rFonts w:eastAsia="Arial" w:hAnsi="Arial" w:cs="Arial"/>
          <w:color w:val="auto"/>
          <w:sz w:val="20"/>
          <w:lang w:val="en-US"/>
        </w:rPr>
        <w:t xml:space="preserve"> centile range) for numerical variables and absolute number or percentage for categorical variables; a – significant difference between the GHD and Non-GHD groups (p &lt; 0.001) or between GHD group and ISS or SGA groups (p &lt; 0.05) when noted; b – significant difference between the ISS and SGA groups (p &lt; 0.05) when noted; GHD: Growth hormone deficiency; ISS: idiopathic short stature; SGA: patients born small for gestational age; SDS: standard deviation score; IGF-1-SDS-CA: IGF-1 SDS according to chronological age; IGF-1-SDS-BA: IGF-1 SDS according  to bone age; IGF-1-SDS-PS: IGF-1 SDS according to pubertal status.</w:t>
      </w:r>
      <w:r w:rsidRPr="00B51430">
        <w:rPr>
          <w:rFonts w:eastAsia="Arial" w:hAnsi="Arial" w:cs="Arial"/>
          <w:color w:val="auto"/>
          <w:lang w:val="en-US"/>
        </w:rPr>
        <w:br w:type="page"/>
      </w:r>
    </w:p>
    <w:p w14:paraId="55AF076C" w14:textId="77777777" w:rsidR="00F61746" w:rsidRPr="00CB7D2C" w:rsidRDefault="00F61746" w:rsidP="00B51430">
      <w:pPr>
        <w:pStyle w:val="Heading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Ref384495822"/>
      <w:bookmarkStart w:id="6" w:name="_Toc510698407"/>
      <w:bookmarkStart w:id="7" w:name="_Hlk511138889"/>
      <w:r w:rsidRPr="00B51430">
        <w:rPr>
          <w:rFonts w:ascii="Arial" w:hAnsi="Arial" w:cs="Arial"/>
          <w:color w:val="auto"/>
          <w:sz w:val="24"/>
          <w:szCs w:val="24"/>
        </w:rPr>
        <w:lastRenderedPageBreak/>
        <w:t xml:space="preserve">Supplemental Table </w:t>
      </w:r>
      <w:r w:rsidRPr="00B51430">
        <w:rPr>
          <w:rFonts w:ascii="Arial" w:hAnsi="Arial" w:cs="Arial"/>
          <w:color w:val="auto"/>
          <w:sz w:val="24"/>
          <w:szCs w:val="24"/>
        </w:rPr>
        <w:fldChar w:fldCharType="begin"/>
      </w:r>
      <w:r w:rsidRPr="00B51430">
        <w:rPr>
          <w:rFonts w:ascii="Arial" w:hAnsi="Arial" w:cs="Arial"/>
          <w:color w:val="auto"/>
          <w:sz w:val="24"/>
          <w:szCs w:val="24"/>
        </w:rPr>
        <w:instrText xml:space="preserve"> SEQ Supplemental_Table \* ARABIC </w:instrText>
      </w:r>
      <w:r w:rsidRPr="00B51430">
        <w:rPr>
          <w:rFonts w:ascii="Arial" w:hAnsi="Arial" w:cs="Arial"/>
          <w:color w:val="auto"/>
          <w:sz w:val="24"/>
          <w:szCs w:val="24"/>
        </w:rPr>
        <w:fldChar w:fldCharType="separate"/>
      </w:r>
      <w:r w:rsidR="00120FAC">
        <w:rPr>
          <w:rFonts w:ascii="Arial" w:hAnsi="Arial" w:cs="Arial"/>
          <w:noProof/>
          <w:color w:val="auto"/>
          <w:sz w:val="24"/>
          <w:szCs w:val="24"/>
        </w:rPr>
        <w:t>2</w:t>
      </w:r>
      <w:r w:rsidRPr="00B51430">
        <w:rPr>
          <w:rFonts w:ascii="Arial" w:hAnsi="Arial" w:cs="Arial"/>
          <w:color w:val="auto"/>
          <w:sz w:val="24"/>
          <w:szCs w:val="24"/>
        </w:rPr>
        <w:fldChar w:fldCharType="end"/>
      </w:r>
      <w:bookmarkEnd w:id="5"/>
      <w:r w:rsidRPr="00B51430">
        <w:rPr>
          <w:rFonts w:ascii="Arial" w:hAnsi="Arial" w:cs="Arial"/>
          <w:color w:val="auto"/>
          <w:sz w:val="24"/>
          <w:szCs w:val="24"/>
        </w:rPr>
        <w:t xml:space="preserve"> </w:t>
      </w:r>
      <w:r w:rsidRPr="00CB7D2C">
        <w:rPr>
          <w:rFonts w:ascii="Arial" w:hAnsi="Arial" w:cs="Arial"/>
          <w:b w:val="0"/>
          <w:color w:val="auto"/>
          <w:sz w:val="24"/>
          <w:szCs w:val="24"/>
        </w:rPr>
        <w:t>– Clinical and laboratorial characteristics of GHD patients with normal IGF-1-SDS and Non-GHD patients with abnormal IGF-1-SDS according to chronological age, bone age and pubertal status</w:t>
      </w:r>
      <w:bookmarkEnd w:id="6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1554"/>
        <w:gridCol w:w="1944"/>
        <w:gridCol w:w="1944"/>
        <w:gridCol w:w="93"/>
        <w:gridCol w:w="2082"/>
        <w:gridCol w:w="1944"/>
        <w:gridCol w:w="1551"/>
      </w:tblGrid>
      <w:tr w:rsidR="00F61746" w:rsidRPr="000D1DEC" w14:paraId="4733AE16" w14:textId="77777777" w:rsidTr="00120FAC">
        <w:trPr>
          <w:trHeight w:val="700"/>
        </w:trPr>
        <w:tc>
          <w:tcPr>
            <w:tcW w:w="103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bookmarkEnd w:id="7"/>
          <w:p w14:paraId="36BC8AB5" w14:textId="77777777" w:rsidR="00F61746" w:rsidRPr="000D1DEC" w:rsidRDefault="00F61746" w:rsidP="00120FAC">
            <w:pPr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bCs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1940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221EBD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bCs/>
                <w:kern w:val="24"/>
                <w:sz w:val="22"/>
                <w:szCs w:val="22"/>
                <w:lang w:eastAsia="pt-BR"/>
              </w:rPr>
              <w:t xml:space="preserve">GHD group with normal IGF-1-SDS </w:t>
            </w:r>
          </w:p>
        </w:tc>
        <w:tc>
          <w:tcPr>
            <w:tcW w:w="33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A022276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bCs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1988" w:type="pct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F0CEA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bCs/>
                <w:kern w:val="24"/>
                <w:sz w:val="22"/>
                <w:szCs w:val="22"/>
                <w:lang w:eastAsia="pt-BR"/>
              </w:rPr>
              <w:t xml:space="preserve">Non-GHD group with abnormal IGF-1-SDS </w:t>
            </w:r>
          </w:p>
        </w:tc>
      </w:tr>
      <w:tr w:rsidR="00F61746" w:rsidRPr="000D1DEC" w14:paraId="269A972B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4AA534B" w14:textId="77777777" w:rsidR="00F61746" w:rsidRPr="000D1DEC" w:rsidRDefault="00F61746" w:rsidP="00120FAC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54A1AC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>IGF-1-SDS-CA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F2C093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IGF-1-SDS-BA 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9D2B7A5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IGF-1-SDS-PS </w:t>
            </w:r>
          </w:p>
        </w:tc>
        <w:tc>
          <w:tcPr>
            <w:tcW w:w="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DC12AE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CC5599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>IGF-1-SDS-CA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0B5239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IGF-1-SDS-BA 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5E100E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0D1DEC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IGF-1-SDS-PS </w:t>
            </w:r>
          </w:p>
        </w:tc>
      </w:tr>
      <w:tr w:rsidR="00F61746" w:rsidRPr="000D1DEC" w14:paraId="74F0C4D5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A61B4D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N 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67201CE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BC3BD0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4F7DB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95D50E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91B473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46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686D2C0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50198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</w:t>
            </w:r>
          </w:p>
        </w:tc>
      </w:tr>
      <w:tr w:rsidR="00F61746" w:rsidRPr="000D1DEC" w14:paraId="36DADE10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BC0954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>Gender (M</w:t>
            </w:r>
            <w:proofErr w:type="gramStart"/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>:F</w:t>
            </w:r>
            <w:proofErr w:type="gramEnd"/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)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BEAF5C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2:0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15A4015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4:1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590937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6:3 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8C38DE6" w14:textId="77777777" w:rsidR="00F61746" w:rsidRPr="000D1DEC" w:rsidRDefault="00F61746" w:rsidP="00120FAC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1278CC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40:6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51123A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7:4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23503AD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0:2 </w:t>
            </w:r>
          </w:p>
        </w:tc>
      </w:tr>
      <w:tr w:rsidR="00F61746" w:rsidRPr="000D1DEC" w14:paraId="677F2C44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85D9F7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Chronological age (years)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079D83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10.8 and 10.9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E32A10D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10.9 (9.8 to 15.5)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759504F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12.2 (8.9 to 17.3) 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6A9F6C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72B8F8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14.0 (10.1 to 16.3)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2EC78D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14.5 (9.9 to 16.5)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EAA54A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11.2 and 13.2 </w:t>
            </w:r>
          </w:p>
        </w:tc>
      </w:tr>
      <w:tr w:rsidR="00F61746" w:rsidRPr="000D1DEC" w14:paraId="6EF4E964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D20832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Bone age delay (years)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911152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-4.9 and -2.8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52689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-4.4 (-6.8 to -3.1)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483D8C8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-4.3 (-6.3 to -1.4) 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120154C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6DDD7A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-2.7 (-4.47 to -0.7)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7A61F38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-2.0 (-3.0 to -0.4)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08781D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2.2 and 2.4 </w:t>
            </w:r>
          </w:p>
        </w:tc>
      </w:tr>
      <w:tr w:rsidR="00F61746" w:rsidRPr="000D1DEC" w14:paraId="0B62D273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AAA102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Height SDS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EF90F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-2.2 and -2.5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99E36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-3.1 (-4.9 to -2.3)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B671D6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-4.4 (-5.5 to -2.3) 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3A0325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5978B92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-3.0 (-3.6 to -2.4)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1D20D7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-3.4 (-3.7 to -2.6)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25AAB1A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-2.3 and -3.4 </w:t>
            </w:r>
          </w:p>
        </w:tc>
      </w:tr>
      <w:tr w:rsidR="00F61746" w:rsidRPr="000D1DEC" w14:paraId="53ADF2E8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9303C9F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BMI SDS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A929E76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0.8 and 2.0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5D61AFD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0.6 (-2.6 to 1.8)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D63B24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-0.3 (-2.3 to 2.0) 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A7CF1C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AC148C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-1.7 (-4.9 to 0.2)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10D706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-1.0 (-5.6 to 0.2)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515E2E3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-1.0 and 0.4 </w:t>
            </w:r>
          </w:p>
        </w:tc>
      </w:tr>
      <w:tr w:rsidR="00F61746" w:rsidRPr="000D1DEC" w14:paraId="0387609C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4CA352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Pubertal stages (n)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E224FFD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5637686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3C6D5D0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3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054BF4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3F9CBE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6CFB57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2F31C09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 xml:space="preserve">  </w:t>
            </w:r>
          </w:p>
        </w:tc>
      </w:tr>
      <w:tr w:rsidR="00F61746" w:rsidRPr="000D1DEC" w14:paraId="37251F03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920441" w14:textId="77777777" w:rsidR="00F61746" w:rsidRPr="00ED4992" w:rsidRDefault="00F61746" w:rsidP="00ED4992">
            <w:pPr>
              <w:jc w:val="right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>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BA2BAC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02A3B48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30EBD0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3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2D335F2" w14:textId="77777777" w:rsidR="00F61746" w:rsidRPr="000D1DEC" w:rsidRDefault="00F61746" w:rsidP="00120FAC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BC96545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3EF888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2D16BE7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0</w:t>
            </w:r>
          </w:p>
        </w:tc>
      </w:tr>
      <w:tr w:rsidR="00F61746" w:rsidRPr="000D1DEC" w14:paraId="11B4FF18" w14:textId="77777777" w:rsidTr="00120FAC">
        <w:trPr>
          <w:trHeight w:val="350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23825F" w14:textId="77777777" w:rsidR="00F61746" w:rsidRPr="00ED4992" w:rsidRDefault="00F61746" w:rsidP="00ED4992">
            <w:pPr>
              <w:jc w:val="right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>II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B4D3D8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D3EDED5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F742FC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3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BD17A77" w14:textId="77777777" w:rsidR="00F61746" w:rsidRPr="000D1DEC" w:rsidRDefault="00F61746" w:rsidP="00120FAC">
            <w:pPr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E53F48E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5D9D6D0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1129A45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</w:t>
            </w:r>
          </w:p>
        </w:tc>
      </w:tr>
      <w:tr w:rsidR="00F61746" w:rsidRPr="000D1DEC" w14:paraId="41DA54B6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7AAEDC5" w14:textId="77777777" w:rsidR="00F61746" w:rsidRPr="00ED4992" w:rsidRDefault="00F61746" w:rsidP="00ED4992">
            <w:pPr>
              <w:jc w:val="right"/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>III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70854C" w14:textId="77777777" w:rsidR="00F61746" w:rsidRPr="000D1DEC" w:rsidRDefault="00ED4992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EB66936" w14:textId="77777777" w:rsidR="00F61746" w:rsidRPr="000D1DEC" w:rsidRDefault="00ED4992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6EF03BA" w14:textId="77777777" w:rsidR="00F61746" w:rsidRPr="000D1DEC" w:rsidRDefault="00ED4992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3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A6EB882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4A92712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84CC132" w14:textId="77777777" w:rsidR="00F61746" w:rsidRPr="000D1DEC" w:rsidRDefault="00ED4992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39C64F8" w14:textId="77777777" w:rsidR="00F61746" w:rsidRPr="000D1DEC" w:rsidRDefault="00ED4992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0</w:t>
            </w:r>
          </w:p>
        </w:tc>
      </w:tr>
      <w:tr w:rsidR="00F61746" w:rsidRPr="000D1DEC" w14:paraId="2AB8F74C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FF0A30E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Maximum GH peak (µg/L)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AC4139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1.6 and 2.9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44F32B3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1.7 (0.8 to 2.8)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D58D4C4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1.8 (0.5 to 4.9)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E757F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D259263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8.1 (4.0 to 22.1)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56DD800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9.0 (5.1 to 22.6)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045189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5.7 and 6.3</w:t>
            </w:r>
          </w:p>
        </w:tc>
      </w:tr>
      <w:tr w:rsidR="00F61746" w:rsidRPr="000D1DEC" w14:paraId="5396C9BF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4F3E246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Normal IGF1</w:t>
            </w:r>
            <w:r w:rsidR="00825AB2"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-</w:t>
            </w: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SDS</w:t>
            </w:r>
            <w:r w:rsidR="00825AB2"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-</w:t>
            </w: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 xml:space="preserve">CA (n)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B3C4BBA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321689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39731E7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A62443C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6E0900F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03564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B10EE66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</w:t>
            </w:r>
          </w:p>
        </w:tc>
      </w:tr>
      <w:tr w:rsidR="00F61746" w:rsidRPr="000D1DEC" w14:paraId="102FA043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AC6869E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Normal IGF1</w:t>
            </w:r>
            <w:r w:rsidR="00825AB2"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-</w:t>
            </w: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SDS</w:t>
            </w:r>
            <w:r w:rsidR="00825AB2"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-</w:t>
            </w: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 xml:space="preserve">BA (n)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D273A43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4F2CE2B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1DC197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3C8EB60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DFAAE38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11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4FA8D35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B08158D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</w:t>
            </w:r>
          </w:p>
        </w:tc>
      </w:tr>
      <w:tr w:rsidR="00F61746" w:rsidRPr="000D1DEC" w14:paraId="0CB8EAB0" w14:textId="77777777" w:rsidTr="00120FAC">
        <w:trPr>
          <w:trHeight w:val="367"/>
        </w:trPr>
        <w:tc>
          <w:tcPr>
            <w:tcW w:w="1039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E23DC3F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val="pt-BR"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Normal IGF1</w:t>
            </w:r>
            <w:r w:rsidR="00825AB2"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-</w:t>
            </w: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SDS</w:t>
            </w:r>
            <w:r w:rsidR="00825AB2"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>-</w:t>
            </w: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val="pt-BR" w:eastAsia="pt-BR"/>
              </w:rPr>
              <w:t xml:space="preserve">PS (n) 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0C50F5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2E95344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C2C446C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-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49D2A7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0232E68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0B8082C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F1E6942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-</w:t>
            </w:r>
          </w:p>
        </w:tc>
      </w:tr>
      <w:tr w:rsidR="00F61746" w:rsidRPr="000D1DEC" w14:paraId="483F693C" w14:textId="77777777" w:rsidTr="00120FAC">
        <w:trPr>
          <w:trHeight w:val="385"/>
        </w:trPr>
        <w:tc>
          <w:tcPr>
            <w:tcW w:w="103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D101005" w14:textId="77777777" w:rsidR="00F61746" w:rsidRPr="00ED4992" w:rsidRDefault="00F61746" w:rsidP="00120FAC">
            <w:pPr>
              <w:textAlignment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ED4992">
              <w:rPr>
                <w:rFonts w:ascii="Arial" w:eastAsia="Times New Roman" w:hAnsi="Arial" w:cs="Arial"/>
                <w:b/>
                <w:kern w:val="24"/>
                <w:sz w:val="22"/>
                <w:szCs w:val="22"/>
                <w:lang w:eastAsia="pt-BR"/>
              </w:rPr>
              <w:t xml:space="preserve">Abnormal MRI 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C435E7D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F8CD6FA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91FE811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3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5816DDAB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042CEF4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E0A1459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3BB6C89" w14:textId="77777777" w:rsidR="00F61746" w:rsidRPr="000D1DEC" w:rsidRDefault="00F61746" w:rsidP="00120FAC">
            <w:pPr>
              <w:jc w:val="center"/>
              <w:textAlignment w:val="center"/>
              <w:rPr>
                <w:rFonts w:ascii="Arial" w:eastAsia="Times New Roman" w:hAnsi="Arial" w:cs="Arial"/>
                <w:lang w:eastAsia="pt-BR"/>
              </w:rPr>
            </w:pPr>
            <w:r w:rsidRPr="000D1DEC">
              <w:rPr>
                <w:rFonts w:ascii="Arial" w:eastAsia="Times New Roman" w:hAnsi="Arial" w:cs="Arial"/>
                <w:kern w:val="24"/>
                <w:sz w:val="22"/>
                <w:szCs w:val="22"/>
                <w:lang w:eastAsia="pt-BR"/>
              </w:rPr>
              <w:t>0</w:t>
            </w:r>
          </w:p>
        </w:tc>
      </w:tr>
    </w:tbl>
    <w:p w14:paraId="43B4F5BE" w14:textId="77777777" w:rsidR="00F61746" w:rsidRPr="000D1DEC" w:rsidRDefault="00F61746" w:rsidP="00F61746">
      <w:pPr>
        <w:jc w:val="both"/>
        <w:rPr>
          <w:rFonts w:ascii="Arial" w:eastAsia="Arial" w:hAnsi="Arial" w:cs="Arial"/>
          <w:sz w:val="22"/>
          <w:u w:color="000000"/>
          <w:lang w:eastAsia="pt-BR"/>
        </w:rPr>
      </w:pPr>
      <w:r w:rsidRPr="000D1DEC">
        <w:rPr>
          <w:rFonts w:ascii="Arial" w:eastAsia="Arial" w:hAnsi="Arial" w:cs="Arial"/>
          <w:sz w:val="22"/>
          <w:u w:color="000000"/>
          <w:lang w:eastAsia="pt-BR"/>
        </w:rPr>
        <w:t>Data are shown as median (5th and 95th centile range) for numerical variables and absolute number for categorical variables; IGF-1-SDS: IGF-1 Standard deviation score; IGF-1-SDS-CA: IGF-1 SDS according to chronological age; IGF-1-SDS-BA: IGF-1 SDS according to bone age; IGF-1-SDS-PS: IGF-1 SDS according to pubertal status.</w:t>
      </w:r>
    </w:p>
    <w:p w14:paraId="104456CA" w14:textId="77777777" w:rsidR="00F61746" w:rsidRPr="00B51430" w:rsidRDefault="00F61746">
      <w:pPr>
        <w:spacing w:after="200" w:line="276" w:lineRule="auto"/>
        <w:rPr>
          <w:rFonts w:ascii="Arial" w:eastAsia="Arial" w:hAnsi="Arial" w:cs="Arial"/>
          <w:u w:color="000000"/>
          <w:lang w:eastAsia="pt-BR"/>
        </w:rPr>
      </w:pPr>
      <w:r w:rsidRPr="00B51430">
        <w:rPr>
          <w:rFonts w:ascii="Arial" w:eastAsia="Arial" w:hAnsi="Arial" w:cs="Arial"/>
          <w:u w:color="000000"/>
          <w:lang w:eastAsia="pt-BR"/>
        </w:rPr>
        <w:br w:type="page"/>
      </w:r>
    </w:p>
    <w:p w14:paraId="28C231EA" w14:textId="77777777" w:rsidR="00F61746" w:rsidRPr="00B51430" w:rsidRDefault="00F61746" w:rsidP="00F61746">
      <w:pPr>
        <w:jc w:val="both"/>
        <w:rPr>
          <w:rFonts w:ascii="Arial" w:eastAsia="Arial" w:hAnsi="Arial" w:cs="Arial"/>
          <w:u w:color="000000"/>
          <w:lang w:eastAsia="pt-BR"/>
        </w:rPr>
      </w:pPr>
    </w:p>
    <w:p w14:paraId="3D01B021" w14:textId="77777777" w:rsidR="00F61746" w:rsidRPr="00B51430" w:rsidRDefault="00F61746" w:rsidP="00B51430">
      <w:pPr>
        <w:pStyle w:val="Heading1"/>
        <w:rPr>
          <w:rFonts w:ascii="Arial" w:hAnsi="Arial" w:cs="Arial"/>
          <w:color w:val="auto"/>
          <w:sz w:val="24"/>
          <w:szCs w:val="24"/>
        </w:rPr>
      </w:pPr>
      <w:bookmarkStart w:id="8" w:name="_Ref384497916"/>
      <w:bookmarkStart w:id="9" w:name="_Toc510698408"/>
      <w:bookmarkStart w:id="10" w:name="_Hlk511138861"/>
      <w:r w:rsidRPr="00B51430">
        <w:rPr>
          <w:rFonts w:ascii="Arial" w:hAnsi="Arial" w:cs="Arial"/>
          <w:color w:val="auto"/>
          <w:sz w:val="24"/>
          <w:szCs w:val="24"/>
        </w:rPr>
        <w:t xml:space="preserve">Supplemental Table </w:t>
      </w:r>
      <w:r w:rsidRPr="00B51430">
        <w:rPr>
          <w:rFonts w:ascii="Arial" w:hAnsi="Arial" w:cs="Arial"/>
          <w:color w:val="auto"/>
          <w:sz w:val="24"/>
          <w:szCs w:val="24"/>
        </w:rPr>
        <w:fldChar w:fldCharType="begin"/>
      </w:r>
      <w:r w:rsidRPr="00B51430">
        <w:rPr>
          <w:rFonts w:ascii="Arial" w:hAnsi="Arial" w:cs="Arial"/>
          <w:color w:val="auto"/>
          <w:sz w:val="24"/>
          <w:szCs w:val="24"/>
        </w:rPr>
        <w:instrText xml:space="preserve"> SEQ Supplemental_Table \* ARABIC </w:instrText>
      </w:r>
      <w:r w:rsidRPr="00B51430">
        <w:rPr>
          <w:rFonts w:ascii="Arial" w:hAnsi="Arial" w:cs="Arial"/>
          <w:color w:val="auto"/>
          <w:sz w:val="24"/>
          <w:szCs w:val="24"/>
        </w:rPr>
        <w:fldChar w:fldCharType="separate"/>
      </w:r>
      <w:r w:rsidR="00120FAC">
        <w:rPr>
          <w:rFonts w:ascii="Arial" w:hAnsi="Arial" w:cs="Arial"/>
          <w:noProof/>
          <w:color w:val="auto"/>
          <w:sz w:val="24"/>
          <w:szCs w:val="24"/>
        </w:rPr>
        <w:t>3</w:t>
      </w:r>
      <w:r w:rsidRPr="00B51430">
        <w:rPr>
          <w:rFonts w:ascii="Arial" w:hAnsi="Arial" w:cs="Arial"/>
          <w:color w:val="auto"/>
          <w:sz w:val="24"/>
          <w:szCs w:val="24"/>
        </w:rPr>
        <w:fldChar w:fldCharType="end"/>
      </w:r>
      <w:bookmarkEnd w:id="8"/>
      <w:r w:rsidRPr="00B51430">
        <w:rPr>
          <w:rFonts w:ascii="Arial" w:hAnsi="Arial" w:cs="Arial"/>
          <w:color w:val="auto"/>
          <w:sz w:val="24"/>
          <w:szCs w:val="24"/>
        </w:rPr>
        <w:t xml:space="preserve"> </w:t>
      </w:r>
      <w:r w:rsidRPr="00CB7D2C">
        <w:rPr>
          <w:rFonts w:ascii="Arial" w:hAnsi="Arial" w:cs="Arial"/>
          <w:b w:val="0"/>
          <w:color w:val="auto"/>
          <w:sz w:val="24"/>
          <w:szCs w:val="24"/>
        </w:rPr>
        <w:t xml:space="preserve">– Estimative of performance of a GH stimulation test (with an sensitivity of 88.5% and specificity of 97.4% </w:t>
      </w:r>
      <w:r w:rsidRPr="00CB7D2C">
        <w:rPr>
          <w:rFonts w:ascii="Arial" w:hAnsi="Arial" w:cs="Arial"/>
          <w:b w:val="0"/>
          <w:color w:val="auto"/>
          <w:sz w:val="24"/>
          <w:szCs w:val="24"/>
        </w:rPr>
        <w:fldChar w:fldCharType="begin"/>
      </w:r>
      <w:r w:rsidRPr="00CB7D2C">
        <w:rPr>
          <w:rFonts w:ascii="Arial" w:hAnsi="Arial" w:cs="Arial"/>
          <w:b w:val="0"/>
          <w:color w:val="auto"/>
          <w:sz w:val="24"/>
          <w:szCs w:val="24"/>
        </w:rPr>
        <w:instrText xml:space="preserve"> ADDIN EN.CITE &lt;EndNote&gt;&lt;Cite&gt;&lt;Author&gt;Guzzetti&lt;/Author&gt;&lt;Year&gt;2016&lt;/Year&gt;&lt;RecNum&gt;0&lt;/RecNum&gt;&lt;IDText&gt;Cut-off limits of the peak GH response to stimulation tests for the diagnosis of GH deficiency in children and adolescents: study in patients with organic GHD&lt;/IDText&gt;&lt;DisplayText&gt;(6)&lt;/DisplayText&gt;&lt;record&gt;&lt;dates&gt;&lt;pub-dates&gt;&lt;date&gt;Jul&lt;/date&gt;&lt;/pub-dates&gt;&lt;year&gt;2016&lt;/year&gt;&lt;/dates&gt;&lt;urls&gt;&lt;related-urls&gt;&lt;url&gt;https://www.ncbi.nlm.nih.gov/pubmed/27147639&lt;/url&gt;&lt;/related-urls&gt;&lt;/urls&gt;&lt;isbn&gt;1479-683X&lt;/isbn&gt;&lt;titles&gt;&lt;title&gt;Cut-off limits of the peak GH response to stimulation tests for the diagnosis of GH deficiency in children and adolescents: study in patients with organic GHD&lt;/title&gt;&lt;secondary-title&gt;Eur J Endocrinol&lt;/secondary-title&gt;&lt;/titles&gt;&lt;pages&gt;41-7&lt;/pages&gt;&lt;number&gt;1&lt;/number&gt;&lt;contributors&gt;&lt;authors&gt;&lt;author&gt;Guzzetti, C.&lt;/author&gt;&lt;author&gt;Ibba, A.&lt;/author&gt;&lt;author&gt;Pilia, S.&lt;/author&gt;&lt;author&gt;Beltrami, N.&lt;/author&gt;&lt;author&gt;Di Iorgi, N.&lt;/author&gt;&lt;author&gt;Rollo, A.&lt;/author&gt;&lt;author&gt;Fratangeli, N.&lt;/author&gt;&lt;author&gt;Radetti, G.&lt;/author&gt;&lt;author&gt;Zucchini, S.&lt;/author&gt;&lt;author&gt;Maghnie, M.&lt;/author&gt;&lt;author&gt;Cappa, M.&lt;/author&gt;&lt;author&gt;Loche, S.&lt;/author&gt;&lt;/authors&gt;&lt;/contributors&gt;&lt;language&gt;eng&lt;/language&gt;&lt;added-date format="utc"&gt;1476307542&lt;/added-date&gt;&lt;ref-type name="Journal Article"&gt;17&lt;/ref-type&gt;&lt;rec-number&gt;279&lt;/rec-number&gt;&lt;last-updated-date format="utc"&gt;1476307542&lt;/last-updated-date&gt;&lt;accession-num&gt;27147639&lt;/accession-num&gt;&lt;electronic-resource-num&gt;10.1530/EJE-16-0105&lt;/electronic-resource-num&gt;&lt;volume&gt;175&lt;/volume&gt;&lt;/record&gt;&lt;/Cite&gt;&lt;/EndNote&gt;</w:instrText>
      </w:r>
      <w:r w:rsidRPr="00CB7D2C">
        <w:rPr>
          <w:rFonts w:ascii="Arial" w:hAnsi="Arial" w:cs="Arial"/>
          <w:b w:val="0"/>
          <w:color w:val="auto"/>
          <w:sz w:val="24"/>
          <w:szCs w:val="24"/>
        </w:rPr>
        <w:fldChar w:fldCharType="separate"/>
      </w:r>
      <w:r w:rsidRPr="00CB7D2C">
        <w:rPr>
          <w:rFonts w:ascii="Arial" w:hAnsi="Arial" w:cs="Arial"/>
          <w:b w:val="0"/>
          <w:noProof/>
          <w:color w:val="auto"/>
          <w:sz w:val="24"/>
          <w:szCs w:val="24"/>
        </w:rPr>
        <w:t>(6)</w:t>
      </w:r>
      <w:r w:rsidRPr="00CB7D2C">
        <w:rPr>
          <w:rFonts w:ascii="Arial" w:hAnsi="Arial" w:cs="Arial"/>
          <w:b w:val="0"/>
          <w:color w:val="auto"/>
          <w:sz w:val="24"/>
          <w:szCs w:val="24"/>
        </w:rPr>
        <w:fldChar w:fldCharType="end"/>
      </w:r>
      <w:r w:rsidRPr="00CB7D2C">
        <w:rPr>
          <w:rFonts w:ascii="Arial" w:hAnsi="Arial" w:cs="Arial"/>
          <w:b w:val="0"/>
          <w:color w:val="auto"/>
          <w:sz w:val="24"/>
          <w:szCs w:val="24"/>
        </w:rPr>
        <w:t>) according to the pre-test probability</w:t>
      </w:r>
      <w:bookmarkEnd w:id="9"/>
    </w:p>
    <w:tbl>
      <w:tblPr>
        <w:tblStyle w:val="LightShading1"/>
        <w:tblW w:w="5000" w:type="pct"/>
        <w:jc w:val="center"/>
        <w:tblLook w:val="04A0" w:firstRow="1" w:lastRow="0" w:firstColumn="1" w:lastColumn="0" w:noHBand="0" w:noVBand="1"/>
      </w:tblPr>
      <w:tblGrid>
        <w:gridCol w:w="4904"/>
        <w:gridCol w:w="2319"/>
        <w:gridCol w:w="1963"/>
        <w:gridCol w:w="1966"/>
        <w:gridCol w:w="1315"/>
        <w:gridCol w:w="1751"/>
      </w:tblGrid>
      <w:tr w:rsidR="00F61746" w:rsidRPr="000D1DEC" w14:paraId="234F06CC" w14:textId="77777777" w:rsidTr="00120F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center"/>
            <w:hideMark/>
          </w:tcPr>
          <w:bookmarkEnd w:id="0"/>
          <w:bookmarkEnd w:id="1"/>
          <w:bookmarkEnd w:id="10"/>
          <w:p w14:paraId="04CEBED4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Pre-Test Probability</w:t>
            </w:r>
          </w:p>
          <w:p w14:paraId="0A7B8085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(estimated d</w:t>
            </w: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isease prevalence)</w:t>
            </w:r>
          </w:p>
        </w:tc>
        <w:tc>
          <w:tcPr>
            <w:tcW w:w="763" w:type="pct"/>
            <w:noWrap/>
            <w:vAlign w:val="center"/>
            <w:hideMark/>
          </w:tcPr>
          <w:p w14:paraId="3EFE15F4" w14:textId="77777777" w:rsidR="00F61746" w:rsidRPr="000D1DEC" w:rsidRDefault="00F61746" w:rsidP="00120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GH Stimulation Test</w:t>
            </w:r>
          </w:p>
        </w:tc>
        <w:tc>
          <w:tcPr>
            <w:tcW w:w="701" w:type="pct"/>
            <w:noWrap/>
            <w:vAlign w:val="center"/>
            <w:hideMark/>
          </w:tcPr>
          <w:p w14:paraId="349D0EDA" w14:textId="77777777" w:rsidR="00F61746" w:rsidRPr="000D1DEC" w:rsidRDefault="00F61746" w:rsidP="00120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Sensitivity</w:t>
            </w:r>
          </w:p>
        </w:tc>
        <w:tc>
          <w:tcPr>
            <w:tcW w:w="702" w:type="pct"/>
            <w:noWrap/>
            <w:vAlign w:val="center"/>
            <w:hideMark/>
          </w:tcPr>
          <w:p w14:paraId="084F998A" w14:textId="77777777" w:rsidR="00F61746" w:rsidRPr="000D1DEC" w:rsidRDefault="00F61746" w:rsidP="00120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Specificity</w:t>
            </w:r>
          </w:p>
        </w:tc>
        <w:tc>
          <w:tcPr>
            <w:tcW w:w="473" w:type="pct"/>
            <w:noWrap/>
            <w:vAlign w:val="center"/>
            <w:hideMark/>
          </w:tcPr>
          <w:p w14:paraId="70C1FC86" w14:textId="77777777" w:rsidR="00F61746" w:rsidRPr="000D1DEC" w:rsidRDefault="00F61746" w:rsidP="00120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PPV</w:t>
            </w:r>
          </w:p>
        </w:tc>
        <w:tc>
          <w:tcPr>
            <w:tcW w:w="626" w:type="pct"/>
            <w:noWrap/>
            <w:vAlign w:val="center"/>
            <w:hideMark/>
          </w:tcPr>
          <w:p w14:paraId="5D01A620" w14:textId="77777777" w:rsidR="00F61746" w:rsidRPr="000D1DEC" w:rsidRDefault="00F61746" w:rsidP="00120F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  <w:t>NPV</w:t>
            </w:r>
          </w:p>
        </w:tc>
      </w:tr>
      <w:tr w:rsidR="00F61746" w:rsidRPr="000D1DEC" w14:paraId="1370C5BD" w14:textId="77777777" w:rsidTr="0012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bottom"/>
            <w:hideMark/>
          </w:tcPr>
          <w:p w14:paraId="29C48C8A" w14:textId="77777777" w:rsidR="00F61746" w:rsidRPr="000D1DEC" w:rsidRDefault="00F61746" w:rsidP="00120FAC">
            <w:pPr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Height SDS &lt; -2: 2.0%*</w:t>
            </w:r>
          </w:p>
        </w:tc>
        <w:tc>
          <w:tcPr>
            <w:tcW w:w="763" w:type="pct"/>
            <w:noWrap/>
            <w:vAlign w:val="bottom"/>
            <w:hideMark/>
          </w:tcPr>
          <w:p w14:paraId="74504818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Clonidine</w:t>
            </w:r>
          </w:p>
        </w:tc>
        <w:tc>
          <w:tcPr>
            <w:tcW w:w="701" w:type="pct"/>
            <w:noWrap/>
            <w:vAlign w:val="bottom"/>
            <w:hideMark/>
          </w:tcPr>
          <w:p w14:paraId="46EAC93D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88.5</w:t>
            </w:r>
          </w:p>
        </w:tc>
        <w:tc>
          <w:tcPr>
            <w:tcW w:w="702" w:type="pct"/>
            <w:noWrap/>
            <w:vAlign w:val="bottom"/>
            <w:hideMark/>
          </w:tcPr>
          <w:p w14:paraId="38370134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97.4</w:t>
            </w:r>
          </w:p>
        </w:tc>
        <w:tc>
          <w:tcPr>
            <w:tcW w:w="473" w:type="pct"/>
            <w:noWrap/>
            <w:vAlign w:val="bottom"/>
            <w:hideMark/>
          </w:tcPr>
          <w:p w14:paraId="3135EBC7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41.0%</w:t>
            </w:r>
          </w:p>
        </w:tc>
        <w:tc>
          <w:tcPr>
            <w:tcW w:w="626" w:type="pct"/>
            <w:noWrap/>
            <w:vAlign w:val="bottom"/>
            <w:hideMark/>
          </w:tcPr>
          <w:p w14:paraId="7CA2FA7F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99.8%</w:t>
            </w:r>
          </w:p>
        </w:tc>
      </w:tr>
      <w:tr w:rsidR="00F61746" w:rsidRPr="000D1DEC" w14:paraId="3E3C2DD7" w14:textId="77777777" w:rsidTr="00120FAC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bottom"/>
            <w:hideMark/>
          </w:tcPr>
          <w:p w14:paraId="685E90D7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+ IGF-1-SDS-CA &lt; -2: 5.1%</w:t>
            </w:r>
          </w:p>
        </w:tc>
        <w:tc>
          <w:tcPr>
            <w:tcW w:w="763" w:type="pct"/>
            <w:noWrap/>
            <w:vAlign w:val="bottom"/>
            <w:hideMark/>
          </w:tcPr>
          <w:p w14:paraId="0EE77641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Clonidine</w:t>
            </w:r>
          </w:p>
        </w:tc>
        <w:tc>
          <w:tcPr>
            <w:tcW w:w="701" w:type="pct"/>
            <w:noWrap/>
            <w:vAlign w:val="bottom"/>
            <w:hideMark/>
          </w:tcPr>
          <w:p w14:paraId="60B04F89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88.5</w:t>
            </w:r>
          </w:p>
        </w:tc>
        <w:tc>
          <w:tcPr>
            <w:tcW w:w="702" w:type="pct"/>
            <w:noWrap/>
            <w:vAlign w:val="bottom"/>
            <w:hideMark/>
          </w:tcPr>
          <w:p w14:paraId="66E83640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97.4</w:t>
            </w:r>
          </w:p>
        </w:tc>
        <w:tc>
          <w:tcPr>
            <w:tcW w:w="473" w:type="pct"/>
            <w:noWrap/>
            <w:vAlign w:val="bottom"/>
            <w:hideMark/>
          </w:tcPr>
          <w:p w14:paraId="75761C46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64.8%</w:t>
            </w:r>
          </w:p>
        </w:tc>
        <w:tc>
          <w:tcPr>
            <w:tcW w:w="626" w:type="pct"/>
            <w:noWrap/>
            <w:vAlign w:val="bottom"/>
            <w:hideMark/>
          </w:tcPr>
          <w:p w14:paraId="4F27A044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99.4%</w:t>
            </w:r>
          </w:p>
        </w:tc>
      </w:tr>
      <w:tr w:rsidR="00F61746" w:rsidRPr="000D1DEC" w14:paraId="7532486C" w14:textId="77777777" w:rsidTr="0012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bottom"/>
            <w:hideMark/>
          </w:tcPr>
          <w:p w14:paraId="25B7627B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+ IGF-1-SDS-BA &lt;-2: 16.8%</w:t>
            </w:r>
          </w:p>
        </w:tc>
        <w:tc>
          <w:tcPr>
            <w:tcW w:w="763" w:type="pct"/>
            <w:noWrap/>
            <w:vAlign w:val="bottom"/>
            <w:hideMark/>
          </w:tcPr>
          <w:p w14:paraId="0749C634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Clonidine</w:t>
            </w:r>
          </w:p>
        </w:tc>
        <w:tc>
          <w:tcPr>
            <w:tcW w:w="701" w:type="pct"/>
            <w:noWrap/>
            <w:vAlign w:val="bottom"/>
            <w:hideMark/>
          </w:tcPr>
          <w:p w14:paraId="3445713D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88.5</w:t>
            </w:r>
          </w:p>
        </w:tc>
        <w:tc>
          <w:tcPr>
            <w:tcW w:w="702" w:type="pct"/>
            <w:noWrap/>
            <w:vAlign w:val="bottom"/>
            <w:hideMark/>
          </w:tcPr>
          <w:p w14:paraId="6715FB69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97.4</w:t>
            </w:r>
          </w:p>
        </w:tc>
        <w:tc>
          <w:tcPr>
            <w:tcW w:w="473" w:type="pct"/>
            <w:noWrap/>
            <w:vAlign w:val="bottom"/>
            <w:hideMark/>
          </w:tcPr>
          <w:p w14:paraId="515AEB92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87.3%</w:t>
            </w:r>
          </w:p>
        </w:tc>
        <w:tc>
          <w:tcPr>
            <w:tcW w:w="626" w:type="pct"/>
            <w:noWrap/>
            <w:vAlign w:val="bottom"/>
            <w:hideMark/>
          </w:tcPr>
          <w:p w14:paraId="280C269E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99.4%</w:t>
            </w:r>
          </w:p>
        </w:tc>
      </w:tr>
      <w:tr w:rsidR="00F61746" w:rsidRPr="000D1DEC" w14:paraId="07CCBF78" w14:textId="77777777" w:rsidTr="00120FAC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bottom"/>
            <w:hideMark/>
          </w:tcPr>
          <w:p w14:paraId="25114CF3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+ IGF-1-SDS-PS &lt;-2: 44.8%</w:t>
            </w:r>
          </w:p>
        </w:tc>
        <w:tc>
          <w:tcPr>
            <w:tcW w:w="763" w:type="pct"/>
            <w:noWrap/>
            <w:vAlign w:val="bottom"/>
            <w:hideMark/>
          </w:tcPr>
          <w:p w14:paraId="23C1C78B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Clonidine</w:t>
            </w:r>
          </w:p>
        </w:tc>
        <w:tc>
          <w:tcPr>
            <w:tcW w:w="701" w:type="pct"/>
            <w:noWrap/>
            <w:vAlign w:val="bottom"/>
            <w:hideMark/>
          </w:tcPr>
          <w:p w14:paraId="5C10DAFD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88.5</w:t>
            </w:r>
          </w:p>
        </w:tc>
        <w:tc>
          <w:tcPr>
            <w:tcW w:w="702" w:type="pct"/>
            <w:noWrap/>
            <w:vAlign w:val="bottom"/>
            <w:hideMark/>
          </w:tcPr>
          <w:p w14:paraId="0DADFE4B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97.4</w:t>
            </w:r>
          </w:p>
        </w:tc>
        <w:tc>
          <w:tcPr>
            <w:tcW w:w="473" w:type="pct"/>
            <w:noWrap/>
            <w:vAlign w:val="bottom"/>
            <w:hideMark/>
          </w:tcPr>
          <w:p w14:paraId="670149AD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96.5%</w:t>
            </w:r>
          </w:p>
        </w:tc>
        <w:tc>
          <w:tcPr>
            <w:tcW w:w="626" w:type="pct"/>
            <w:noWrap/>
            <w:vAlign w:val="bottom"/>
            <w:hideMark/>
          </w:tcPr>
          <w:p w14:paraId="37746829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99.4%</w:t>
            </w:r>
          </w:p>
        </w:tc>
      </w:tr>
      <w:tr w:rsidR="00F61746" w:rsidRPr="000D1DEC" w14:paraId="381FF94A" w14:textId="77777777" w:rsidTr="0012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bottom"/>
          </w:tcPr>
          <w:p w14:paraId="54DA1883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63" w:type="pct"/>
            <w:noWrap/>
            <w:vAlign w:val="bottom"/>
          </w:tcPr>
          <w:p w14:paraId="4DEB4317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01" w:type="pct"/>
            <w:noWrap/>
            <w:vAlign w:val="bottom"/>
          </w:tcPr>
          <w:p w14:paraId="5579999A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702" w:type="pct"/>
            <w:noWrap/>
            <w:vAlign w:val="bottom"/>
          </w:tcPr>
          <w:p w14:paraId="35069764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3" w:type="pct"/>
            <w:noWrap/>
            <w:vAlign w:val="bottom"/>
          </w:tcPr>
          <w:p w14:paraId="58EAA720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26" w:type="pct"/>
            <w:noWrap/>
            <w:vAlign w:val="bottom"/>
          </w:tcPr>
          <w:p w14:paraId="3D1A61A0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</w:tr>
      <w:tr w:rsidR="00F61746" w:rsidRPr="000D1DEC" w14:paraId="2B3DA0BB" w14:textId="77777777" w:rsidTr="00120FAC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bottom"/>
          </w:tcPr>
          <w:p w14:paraId="3DAB4E45" w14:textId="77777777" w:rsidR="00F61746" w:rsidRPr="000D1DEC" w:rsidRDefault="00F61746" w:rsidP="00120FAC">
            <w:p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Height SDS &lt; -2: 2.0%*</w:t>
            </w:r>
          </w:p>
        </w:tc>
        <w:tc>
          <w:tcPr>
            <w:tcW w:w="763" w:type="pct"/>
            <w:noWrap/>
            <w:vAlign w:val="bottom"/>
          </w:tcPr>
          <w:p w14:paraId="6FE6845B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ITT</w:t>
            </w:r>
          </w:p>
        </w:tc>
        <w:tc>
          <w:tcPr>
            <w:tcW w:w="701" w:type="pct"/>
            <w:noWrap/>
            <w:vAlign w:val="bottom"/>
          </w:tcPr>
          <w:p w14:paraId="79708859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94.4</w:t>
            </w:r>
          </w:p>
        </w:tc>
        <w:tc>
          <w:tcPr>
            <w:tcW w:w="702" w:type="pct"/>
            <w:noWrap/>
            <w:vAlign w:val="bottom"/>
          </w:tcPr>
          <w:p w14:paraId="6D2BB0BF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89.6</w:t>
            </w:r>
          </w:p>
        </w:tc>
        <w:tc>
          <w:tcPr>
            <w:tcW w:w="473" w:type="pct"/>
            <w:noWrap/>
            <w:vAlign w:val="bottom"/>
          </w:tcPr>
          <w:p w14:paraId="40287750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15.6%</w:t>
            </w:r>
          </w:p>
        </w:tc>
        <w:tc>
          <w:tcPr>
            <w:tcW w:w="626" w:type="pct"/>
            <w:noWrap/>
            <w:vAlign w:val="bottom"/>
          </w:tcPr>
          <w:p w14:paraId="6B760F80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99.9%</w:t>
            </w:r>
          </w:p>
        </w:tc>
      </w:tr>
      <w:tr w:rsidR="00F61746" w:rsidRPr="000D1DEC" w14:paraId="4C846438" w14:textId="77777777" w:rsidTr="0012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bottom"/>
          </w:tcPr>
          <w:p w14:paraId="764BE9E4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+ IGF-1-SDS-CA &lt; -2: 5.1%</w:t>
            </w:r>
          </w:p>
        </w:tc>
        <w:tc>
          <w:tcPr>
            <w:tcW w:w="763" w:type="pct"/>
            <w:noWrap/>
            <w:vAlign w:val="bottom"/>
          </w:tcPr>
          <w:p w14:paraId="5958C65D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ITT</w:t>
            </w:r>
          </w:p>
        </w:tc>
        <w:tc>
          <w:tcPr>
            <w:tcW w:w="701" w:type="pct"/>
            <w:noWrap/>
            <w:vAlign w:val="bottom"/>
          </w:tcPr>
          <w:p w14:paraId="3DBEC569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94.4</w:t>
            </w:r>
          </w:p>
        </w:tc>
        <w:tc>
          <w:tcPr>
            <w:tcW w:w="702" w:type="pct"/>
            <w:noWrap/>
            <w:vAlign w:val="bottom"/>
          </w:tcPr>
          <w:p w14:paraId="5AA82F00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89.6</w:t>
            </w:r>
          </w:p>
        </w:tc>
        <w:tc>
          <w:tcPr>
            <w:tcW w:w="473" w:type="pct"/>
            <w:noWrap/>
            <w:vAlign w:val="bottom"/>
          </w:tcPr>
          <w:p w14:paraId="011FF563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33.0%</w:t>
            </w:r>
          </w:p>
        </w:tc>
        <w:tc>
          <w:tcPr>
            <w:tcW w:w="626" w:type="pct"/>
            <w:noWrap/>
            <w:vAlign w:val="bottom"/>
          </w:tcPr>
          <w:p w14:paraId="42157709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99.7%</w:t>
            </w:r>
          </w:p>
        </w:tc>
      </w:tr>
      <w:tr w:rsidR="00F61746" w:rsidRPr="000D1DEC" w14:paraId="6419877C" w14:textId="77777777" w:rsidTr="00120FAC">
        <w:trPr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bottom"/>
          </w:tcPr>
          <w:p w14:paraId="0E059662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+ IGF-1-SDS-BA &lt;-2: 16.8%</w:t>
            </w:r>
          </w:p>
        </w:tc>
        <w:tc>
          <w:tcPr>
            <w:tcW w:w="763" w:type="pct"/>
            <w:noWrap/>
            <w:vAlign w:val="bottom"/>
          </w:tcPr>
          <w:p w14:paraId="0766DF82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ITT</w:t>
            </w:r>
          </w:p>
        </w:tc>
        <w:tc>
          <w:tcPr>
            <w:tcW w:w="701" w:type="pct"/>
            <w:noWrap/>
            <w:vAlign w:val="bottom"/>
          </w:tcPr>
          <w:p w14:paraId="109930A8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94.4</w:t>
            </w:r>
          </w:p>
        </w:tc>
        <w:tc>
          <w:tcPr>
            <w:tcW w:w="702" w:type="pct"/>
            <w:noWrap/>
            <w:vAlign w:val="bottom"/>
          </w:tcPr>
          <w:p w14:paraId="5FEC59DF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89.6</w:t>
            </w:r>
          </w:p>
        </w:tc>
        <w:tc>
          <w:tcPr>
            <w:tcW w:w="473" w:type="pct"/>
            <w:noWrap/>
            <w:vAlign w:val="bottom"/>
          </w:tcPr>
          <w:p w14:paraId="0940ACBD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64.7%</w:t>
            </w:r>
          </w:p>
        </w:tc>
        <w:tc>
          <w:tcPr>
            <w:tcW w:w="626" w:type="pct"/>
            <w:noWrap/>
            <w:vAlign w:val="bottom"/>
          </w:tcPr>
          <w:p w14:paraId="112F7148" w14:textId="77777777" w:rsidR="00F61746" w:rsidRPr="000D1DEC" w:rsidRDefault="00F61746" w:rsidP="00120F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98.8%</w:t>
            </w:r>
          </w:p>
        </w:tc>
      </w:tr>
      <w:tr w:rsidR="00F61746" w:rsidRPr="000D1DEC" w14:paraId="643E2BEC" w14:textId="77777777" w:rsidTr="00120F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5" w:type="pct"/>
            <w:noWrap/>
            <w:vAlign w:val="bottom"/>
          </w:tcPr>
          <w:p w14:paraId="426F7FF5" w14:textId="77777777" w:rsidR="00F61746" w:rsidRPr="000D1DEC" w:rsidRDefault="00F61746" w:rsidP="00120FAC">
            <w:pPr>
              <w:jc w:val="center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+ IGF-1-SDS-PS &lt;-2: 44.8%</w:t>
            </w:r>
          </w:p>
        </w:tc>
        <w:tc>
          <w:tcPr>
            <w:tcW w:w="763" w:type="pct"/>
            <w:noWrap/>
            <w:vAlign w:val="bottom"/>
          </w:tcPr>
          <w:p w14:paraId="4A8CA0A9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ITT</w:t>
            </w:r>
          </w:p>
        </w:tc>
        <w:tc>
          <w:tcPr>
            <w:tcW w:w="701" w:type="pct"/>
            <w:noWrap/>
            <w:vAlign w:val="bottom"/>
          </w:tcPr>
          <w:p w14:paraId="0FFC5840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94.4</w:t>
            </w:r>
          </w:p>
        </w:tc>
        <w:tc>
          <w:tcPr>
            <w:tcW w:w="702" w:type="pct"/>
            <w:noWrap/>
            <w:vAlign w:val="bottom"/>
          </w:tcPr>
          <w:p w14:paraId="5ED25575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89.6</w:t>
            </w:r>
          </w:p>
        </w:tc>
        <w:tc>
          <w:tcPr>
            <w:tcW w:w="473" w:type="pct"/>
            <w:noWrap/>
            <w:vAlign w:val="bottom"/>
          </w:tcPr>
          <w:p w14:paraId="46254AE9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88.0%</w:t>
            </w:r>
          </w:p>
        </w:tc>
        <w:tc>
          <w:tcPr>
            <w:tcW w:w="626" w:type="pct"/>
            <w:noWrap/>
            <w:vAlign w:val="bottom"/>
          </w:tcPr>
          <w:p w14:paraId="1FB7AB95" w14:textId="77777777" w:rsidR="00F61746" w:rsidRPr="000D1DEC" w:rsidRDefault="00F61746" w:rsidP="00120F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0D1DE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95.2%</w:t>
            </w:r>
          </w:p>
        </w:tc>
      </w:tr>
    </w:tbl>
    <w:p w14:paraId="4027F0CC" w14:textId="77777777" w:rsidR="00F61746" w:rsidRPr="000D1DEC" w:rsidRDefault="00F61746" w:rsidP="00F61746">
      <w:pPr>
        <w:jc w:val="both"/>
        <w:rPr>
          <w:rFonts w:ascii="Arial" w:eastAsia="Arial" w:hAnsi="Arial" w:cs="Arial"/>
          <w:sz w:val="22"/>
          <w:u w:color="000000"/>
          <w:lang w:eastAsia="pt-BR"/>
        </w:rPr>
      </w:pPr>
      <w:r w:rsidRPr="000D1DEC">
        <w:rPr>
          <w:rFonts w:ascii="Arial" w:eastAsia="Arial" w:hAnsi="Arial" w:cs="Arial"/>
          <w:sz w:val="22"/>
          <w:u w:color="000000"/>
          <w:lang w:eastAsia="pt-BR"/>
        </w:rPr>
        <w:t>PPV: positive predictive value; NPV: negative predictive value; IGF-1-SDS-CA: IGF-1 SDS according to chronological age; IGF-1-SDS-BA: IGF-1</w:t>
      </w:r>
      <w:r w:rsidR="00694A78">
        <w:rPr>
          <w:rFonts w:ascii="Arial" w:eastAsia="Arial" w:hAnsi="Arial" w:cs="Arial"/>
          <w:sz w:val="22"/>
          <w:u w:color="000000"/>
          <w:lang w:eastAsia="pt-BR"/>
        </w:rPr>
        <w:t xml:space="preserve"> </w:t>
      </w:r>
      <w:r w:rsidRPr="000D1DEC">
        <w:rPr>
          <w:rFonts w:ascii="Arial" w:eastAsia="Arial" w:hAnsi="Arial" w:cs="Arial"/>
          <w:sz w:val="22"/>
          <w:u w:color="000000"/>
          <w:lang w:eastAsia="pt-BR"/>
        </w:rPr>
        <w:t>SDS according to bone age; IGF-1-SDS-PS: IGF-1</w:t>
      </w:r>
      <w:r w:rsidR="00694A78">
        <w:rPr>
          <w:rFonts w:ascii="Arial" w:eastAsia="Arial" w:hAnsi="Arial" w:cs="Arial"/>
          <w:sz w:val="22"/>
          <w:u w:color="000000"/>
          <w:lang w:eastAsia="pt-BR"/>
        </w:rPr>
        <w:t xml:space="preserve"> </w:t>
      </w:r>
      <w:r w:rsidRPr="000D1DEC">
        <w:rPr>
          <w:rFonts w:ascii="Arial" w:eastAsia="Arial" w:hAnsi="Arial" w:cs="Arial"/>
          <w:sz w:val="22"/>
          <w:u w:color="000000"/>
          <w:lang w:eastAsia="pt-BR"/>
        </w:rPr>
        <w:t xml:space="preserve">SDS according to pubertal status. * for the assessment of the PPV and NPV we considered a maximum prevalence of GHD of 2% in peripubertal children with short stature </w:t>
      </w:r>
    </w:p>
    <w:p w14:paraId="574DA9CF" w14:textId="77777777" w:rsidR="00F61746" w:rsidRPr="00B51430" w:rsidRDefault="00F61746" w:rsidP="00F61746">
      <w:pPr>
        <w:jc w:val="both"/>
        <w:rPr>
          <w:rFonts w:ascii="Arial" w:eastAsia="Arial" w:hAnsi="Arial" w:cs="Arial"/>
          <w:u w:color="000000"/>
          <w:lang w:eastAsia="pt-BR"/>
        </w:rPr>
      </w:pPr>
      <w:r w:rsidRPr="00B51430">
        <w:rPr>
          <w:rFonts w:ascii="Arial" w:eastAsia="Arial" w:hAnsi="Arial" w:cs="Arial"/>
          <w:u w:color="000000"/>
          <w:lang w:eastAsia="pt-BR"/>
        </w:rPr>
        <w:t xml:space="preserve"> </w:t>
      </w:r>
    </w:p>
    <w:p w14:paraId="59785306" w14:textId="77777777" w:rsidR="00120FAC" w:rsidRPr="00B51430" w:rsidRDefault="00120FAC">
      <w:pPr>
        <w:rPr>
          <w:rFonts w:ascii="Arial" w:hAnsi="Arial" w:cs="Arial"/>
        </w:rPr>
      </w:pPr>
    </w:p>
    <w:sectPr w:rsidR="00120FAC" w:rsidRPr="00B51430" w:rsidSect="00B5143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3D950" w14:textId="77777777" w:rsidR="00120FAC" w:rsidRDefault="00120FAC" w:rsidP="000D1DEC">
      <w:r>
        <w:separator/>
      </w:r>
    </w:p>
  </w:endnote>
  <w:endnote w:type="continuationSeparator" w:id="0">
    <w:p w14:paraId="1AF9186C" w14:textId="77777777" w:rsidR="00120FAC" w:rsidRDefault="00120FAC" w:rsidP="000D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DB3B3" w14:textId="77777777" w:rsidR="00120FAC" w:rsidRDefault="00120FAC" w:rsidP="00120F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6209C" w14:textId="77777777" w:rsidR="00120FAC" w:rsidRDefault="00120FAC" w:rsidP="00120FAC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78F1F" w14:textId="77777777" w:rsidR="00120FAC" w:rsidRDefault="00120FAC" w:rsidP="00120F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3050">
      <w:rPr>
        <w:rStyle w:val="PageNumber"/>
        <w:noProof/>
      </w:rPr>
      <w:t>5</w:t>
    </w:r>
    <w:r>
      <w:rPr>
        <w:rStyle w:val="PageNumber"/>
      </w:rPr>
      <w:fldChar w:fldCharType="end"/>
    </w:r>
  </w:p>
  <w:p w14:paraId="33CA915E" w14:textId="77777777" w:rsidR="00120FAC" w:rsidRDefault="00120FAC" w:rsidP="00120F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5EB70" w14:textId="77777777" w:rsidR="00120FAC" w:rsidRDefault="00120FAC" w:rsidP="000D1DEC">
      <w:r>
        <w:separator/>
      </w:r>
    </w:p>
  </w:footnote>
  <w:footnote w:type="continuationSeparator" w:id="0">
    <w:p w14:paraId="2A8B086D" w14:textId="77777777" w:rsidR="00120FAC" w:rsidRDefault="00120FAC" w:rsidP="000D1D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6486402"/>
      <w:docPartObj>
        <w:docPartGallery w:val="Page Numbers (Top of Page)"/>
        <w:docPartUnique/>
      </w:docPartObj>
    </w:sdtPr>
    <w:sdtEndPr/>
    <w:sdtContent>
      <w:p w14:paraId="3B5E3FB4" w14:textId="77777777" w:rsidR="00120FAC" w:rsidRDefault="00120F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05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BEA73F" w14:textId="77777777" w:rsidR="00120FAC" w:rsidRDefault="00120FA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69ED"/>
    <w:multiLevelType w:val="hybridMultilevel"/>
    <w:tmpl w:val="08FE6FF2"/>
    <w:lvl w:ilvl="0" w:tplc="86145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746"/>
    <w:rsid w:val="000D1DEC"/>
    <w:rsid w:val="00120FAC"/>
    <w:rsid w:val="00430662"/>
    <w:rsid w:val="00691F9E"/>
    <w:rsid w:val="00694A78"/>
    <w:rsid w:val="00825AB2"/>
    <w:rsid w:val="00B51430"/>
    <w:rsid w:val="00BE7EB1"/>
    <w:rsid w:val="00C230A6"/>
    <w:rsid w:val="00C71F8A"/>
    <w:rsid w:val="00CB7D2C"/>
    <w:rsid w:val="00CF06B6"/>
    <w:rsid w:val="00D53050"/>
    <w:rsid w:val="00D8257C"/>
    <w:rsid w:val="00DA6DE5"/>
    <w:rsid w:val="00ED4992"/>
    <w:rsid w:val="00F61746"/>
    <w:rsid w:val="00F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909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46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4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F6174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jc w:val="both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ListParagraph">
    <w:name w:val="List Paragraph"/>
    <w:uiPriority w:val="34"/>
    <w:qFormat/>
    <w:rsid w:val="00F6174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720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val="pt-PT" w:eastAsia="pt-BR"/>
    </w:rPr>
  </w:style>
  <w:style w:type="paragraph" w:styleId="Caption">
    <w:name w:val="caption"/>
    <w:basedOn w:val="Normal"/>
    <w:next w:val="Normal"/>
    <w:uiPriority w:val="35"/>
    <w:unhideWhenUsed/>
    <w:qFormat/>
    <w:rsid w:val="00F61746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Times New Roman" w:eastAsia="Arial Unicode MS" w:hAnsi="Times New Roman" w:cs="Times New Roman"/>
      <w:b/>
      <w:bCs/>
      <w:color w:val="4F81BD" w:themeColor="accent1"/>
      <w:sz w:val="18"/>
      <w:szCs w:val="18"/>
      <w:bdr w:val="nil"/>
    </w:rPr>
  </w:style>
  <w:style w:type="table" w:customStyle="1" w:styleId="LightShading1">
    <w:name w:val="Light Shading1"/>
    <w:basedOn w:val="TableNormal"/>
    <w:uiPriority w:val="60"/>
    <w:rsid w:val="00F617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 w:themeColor="text1" w:themeShade="BF"/>
      <w:sz w:val="20"/>
      <w:szCs w:val="20"/>
      <w:bdr w:val="nil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leNormal"/>
    <w:uiPriority w:val="60"/>
    <w:rsid w:val="00F617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 w:themeColor="text1" w:themeShade="BF"/>
      <w:sz w:val="20"/>
      <w:szCs w:val="20"/>
      <w:bdr w:val="nil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51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1430"/>
    <w:pPr>
      <w:spacing w:line="276" w:lineRule="auto"/>
      <w:outlineLvl w:val="9"/>
    </w:pPr>
    <w:rPr>
      <w:lang w:val="pt-BR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514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514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30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D1DE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DEC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D1DE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DEC"/>
    <w:rPr>
      <w:rFonts w:eastAsiaTheme="minorEastAsia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20F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746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4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F6174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jc w:val="both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ListParagraph">
    <w:name w:val="List Paragraph"/>
    <w:uiPriority w:val="34"/>
    <w:qFormat/>
    <w:rsid w:val="00F6174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360" w:lineRule="auto"/>
      <w:ind w:left="720"/>
      <w:jc w:val="both"/>
    </w:pPr>
    <w:rPr>
      <w:rFonts w:ascii="Arial" w:eastAsia="Arial" w:hAnsi="Arial" w:cs="Arial"/>
      <w:color w:val="000000"/>
      <w:sz w:val="24"/>
      <w:szCs w:val="24"/>
      <w:u w:color="000000"/>
      <w:bdr w:val="nil"/>
      <w:lang w:val="pt-PT" w:eastAsia="pt-BR"/>
    </w:rPr>
  </w:style>
  <w:style w:type="paragraph" w:styleId="Caption">
    <w:name w:val="caption"/>
    <w:basedOn w:val="Normal"/>
    <w:next w:val="Normal"/>
    <w:uiPriority w:val="35"/>
    <w:unhideWhenUsed/>
    <w:qFormat/>
    <w:rsid w:val="00F61746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Times New Roman" w:eastAsia="Arial Unicode MS" w:hAnsi="Times New Roman" w:cs="Times New Roman"/>
      <w:b/>
      <w:bCs/>
      <w:color w:val="4F81BD" w:themeColor="accent1"/>
      <w:sz w:val="18"/>
      <w:szCs w:val="18"/>
      <w:bdr w:val="nil"/>
    </w:rPr>
  </w:style>
  <w:style w:type="table" w:customStyle="1" w:styleId="LightShading1">
    <w:name w:val="Light Shading1"/>
    <w:basedOn w:val="TableNormal"/>
    <w:uiPriority w:val="60"/>
    <w:rsid w:val="00F617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 w:themeColor="text1" w:themeShade="BF"/>
      <w:sz w:val="20"/>
      <w:szCs w:val="20"/>
      <w:bdr w:val="nil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1">
    <w:name w:val="Sombreamento Claro1"/>
    <w:basedOn w:val="TableNormal"/>
    <w:uiPriority w:val="60"/>
    <w:rsid w:val="00F6174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color w:val="000000" w:themeColor="text1" w:themeShade="BF"/>
      <w:sz w:val="20"/>
      <w:szCs w:val="20"/>
      <w:bdr w:val="nil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B514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1430"/>
    <w:pPr>
      <w:spacing w:line="276" w:lineRule="auto"/>
      <w:outlineLvl w:val="9"/>
    </w:pPr>
    <w:rPr>
      <w:lang w:val="pt-BR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5143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B514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30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D1DE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DEC"/>
    <w:rPr>
      <w:rFonts w:eastAsiaTheme="minorEastAsia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D1DE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DEC"/>
    <w:rPr>
      <w:rFonts w:eastAsiaTheme="minorEastAsia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12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0C94A-401B-1A4F-A56E-EB781E04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1208</Words>
  <Characters>6887</Characters>
  <Application>Microsoft Macintosh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ProfAlex</dc:creator>
  <cp:lastModifiedBy>Thais Hissami Inoue Lima</cp:lastModifiedBy>
  <cp:revision>4</cp:revision>
  <cp:lastPrinted>2018-04-19T20:21:00Z</cp:lastPrinted>
  <dcterms:created xsi:type="dcterms:W3CDTF">2018-04-19T20:20:00Z</dcterms:created>
  <dcterms:modified xsi:type="dcterms:W3CDTF">2018-10-08T12:44:00Z</dcterms:modified>
</cp:coreProperties>
</file>