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4F24B9" w14:textId="77777777" w:rsidR="00BE7679" w:rsidRDefault="00BE7679" w:rsidP="00BE7679">
      <w:pPr>
        <w:pStyle w:val="NormalWeb"/>
        <w:ind w:left="640" w:hanging="640"/>
        <w:rPr>
          <w:rFonts w:asciiTheme="minorHAnsi" w:hAnsiTheme="minorHAnsi"/>
          <w:i/>
          <w:sz w:val="22"/>
          <w:szCs w:val="22"/>
        </w:rPr>
      </w:pPr>
      <w:r w:rsidRPr="00D92EDC">
        <w:rPr>
          <w:rFonts w:asciiTheme="minorHAnsi" w:hAnsiTheme="minorHAnsi"/>
          <w:i/>
          <w:sz w:val="22"/>
          <w:szCs w:val="22"/>
        </w:rPr>
        <w:t xml:space="preserve">Supplementary Table. </w:t>
      </w:r>
    </w:p>
    <w:p w14:paraId="54B6F3A7" w14:textId="0E406D81" w:rsidR="00BE7679" w:rsidRDefault="00BE7679" w:rsidP="00BE7679">
      <w:r w:rsidRPr="00D92EDC">
        <w:rPr>
          <w:i/>
        </w:rPr>
        <w:t xml:space="preserve">Summary of growth outcomes and adherence in children treated with </w:t>
      </w:r>
      <w:proofErr w:type="spellStart"/>
      <w:r>
        <w:rPr>
          <w:i/>
        </w:rPr>
        <w:t>J</w:t>
      </w:r>
      <w:r w:rsidRPr="00D92EDC">
        <w:rPr>
          <w:i/>
        </w:rPr>
        <w:t>rGH</w:t>
      </w:r>
      <w:proofErr w:type="spellEnd"/>
      <w:r w:rsidRPr="00D92EDC">
        <w:rPr>
          <w:i/>
        </w:rPr>
        <w:t>.</w:t>
      </w:r>
      <w:bookmarkStart w:id="0" w:name="_GoBack"/>
      <w:bookmarkEnd w:id="0"/>
    </w:p>
    <w:tbl>
      <w:tblPr>
        <w:tblStyle w:val="TableGrid"/>
        <w:tblW w:w="14000" w:type="dxa"/>
        <w:tblLayout w:type="fixed"/>
        <w:tblLook w:val="04A0" w:firstRow="1" w:lastRow="0" w:firstColumn="1" w:lastColumn="0" w:noHBand="0" w:noVBand="1"/>
      </w:tblPr>
      <w:tblGrid>
        <w:gridCol w:w="989"/>
        <w:gridCol w:w="591"/>
        <w:gridCol w:w="1250"/>
        <w:gridCol w:w="2381"/>
        <w:gridCol w:w="1305"/>
        <w:gridCol w:w="1814"/>
        <w:gridCol w:w="1559"/>
        <w:gridCol w:w="1418"/>
        <w:gridCol w:w="2693"/>
      </w:tblGrid>
      <w:tr w:rsidR="004477E4" w14:paraId="6C8D6A9F" w14:textId="77777777" w:rsidTr="009C5901">
        <w:tc>
          <w:tcPr>
            <w:tcW w:w="989" w:type="dxa"/>
          </w:tcPr>
          <w:p w14:paraId="273B13FB" w14:textId="77777777" w:rsidR="004477E4" w:rsidRPr="00325BA3" w:rsidRDefault="004477E4" w:rsidP="009C5901">
            <w:pPr>
              <w:rPr>
                <w:b/>
              </w:rPr>
            </w:pPr>
            <w:r w:rsidRPr="00325BA3">
              <w:rPr>
                <w:b/>
              </w:rPr>
              <w:t>Study</w:t>
            </w:r>
          </w:p>
        </w:tc>
        <w:tc>
          <w:tcPr>
            <w:tcW w:w="591" w:type="dxa"/>
          </w:tcPr>
          <w:p w14:paraId="207A4599" w14:textId="77777777" w:rsidR="004477E4" w:rsidRPr="00325BA3" w:rsidRDefault="004477E4" w:rsidP="009C5901">
            <w:pPr>
              <w:rPr>
                <w:b/>
              </w:rPr>
            </w:pPr>
            <w:r w:rsidRPr="00325BA3">
              <w:rPr>
                <w:b/>
              </w:rPr>
              <w:t>N</w:t>
            </w:r>
          </w:p>
        </w:tc>
        <w:tc>
          <w:tcPr>
            <w:tcW w:w="1250" w:type="dxa"/>
          </w:tcPr>
          <w:p w14:paraId="0DCCC804" w14:textId="77777777" w:rsidR="004477E4" w:rsidRPr="00325BA3" w:rsidRDefault="004477E4" w:rsidP="009C5901">
            <w:pPr>
              <w:rPr>
                <w:b/>
              </w:rPr>
            </w:pPr>
            <w:r w:rsidRPr="00325BA3">
              <w:rPr>
                <w:b/>
              </w:rPr>
              <w:t>Study period</w:t>
            </w:r>
          </w:p>
        </w:tc>
        <w:tc>
          <w:tcPr>
            <w:tcW w:w="2381" w:type="dxa"/>
          </w:tcPr>
          <w:p w14:paraId="0421F53C" w14:textId="77777777" w:rsidR="004477E4" w:rsidRPr="00325BA3" w:rsidRDefault="004477E4" w:rsidP="009C5901">
            <w:pPr>
              <w:rPr>
                <w:b/>
              </w:rPr>
            </w:pPr>
            <w:r w:rsidRPr="00325BA3">
              <w:rPr>
                <w:b/>
              </w:rPr>
              <w:t>Method</w:t>
            </w:r>
          </w:p>
        </w:tc>
        <w:tc>
          <w:tcPr>
            <w:tcW w:w="1305" w:type="dxa"/>
          </w:tcPr>
          <w:p w14:paraId="25C99F9E" w14:textId="77777777" w:rsidR="004477E4" w:rsidRPr="00325BA3" w:rsidRDefault="004477E4" w:rsidP="009C5901">
            <w:pPr>
              <w:rPr>
                <w:b/>
              </w:rPr>
            </w:pPr>
            <w:r w:rsidRPr="00325BA3">
              <w:rPr>
                <w:b/>
              </w:rPr>
              <w:t>Adherence</w:t>
            </w:r>
          </w:p>
          <w:p w14:paraId="42FD394E" w14:textId="77777777" w:rsidR="004477E4" w:rsidRPr="00325BA3" w:rsidRDefault="004477E4" w:rsidP="009C5901">
            <w:pPr>
              <w:rPr>
                <w:b/>
              </w:rPr>
            </w:pPr>
            <w:r w:rsidRPr="00325BA3">
              <w:rPr>
                <w:b/>
              </w:rPr>
              <w:t>measure</w:t>
            </w:r>
          </w:p>
        </w:tc>
        <w:tc>
          <w:tcPr>
            <w:tcW w:w="1814" w:type="dxa"/>
          </w:tcPr>
          <w:p w14:paraId="078C3510" w14:textId="77777777" w:rsidR="004477E4" w:rsidRPr="00325BA3" w:rsidRDefault="004477E4" w:rsidP="009C5901">
            <w:pPr>
              <w:rPr>
                <w:b/>
              </w:rPr>
            </w:pPr>
            <w:r w:rsidRPr="00325BA3">
              <w:rPr>
                <w:b/>
              </w:rPr>
              <w:t>Growth outcome measure</w:t>
            </w:r>
          </w:p>
        </w:tc>
        <w:tc>
          <w:tcPr>
            <w:tcW w:w="1559" w:type="dxa"/>
          </w:tcPr>
          <w:p w14:paraId="28DC647B" w14:textId="77777777" w:rsidR="004477E4" w:rsidRPr="00325BA3" w:rsidRDefault="004477E4" w:rsidP="009C5901">
            <w:pPr>
              <w:rPr>
                <w:b/>
              </w:rPr>
            </w:pPr>
            <w:r w:rsidRPr="00325BA3">
              <w:rPr>
                <w:b/>
              </w:rPr>
              <w:t>% less-adherent</w:t>
            </w:r>
          </w:p>
        </w:tc>
        <w:tc>
          <w:tcPr>
            <w:tcW w:w="1418" w:type="dxa"/>
          </w:tcPr>
          <w:p w14:paraId="2A0788F8" w14:textId="77777777" w:rsidR="004477E4" w:rsidRPr="00325BA3" w:rsidRDefault="004477E4" w:rsidP="009C5901">
            <w:pPr>
              <w:rPr>
                <w:b/>
              </w:rPr>
            </w:pPr>
            <w:r w:rsidRPr="00325BA3">
              <w:rPr>
                <w:b/>
              </w:rPr>
              <w:t>Median age (</w:t>
            </w:r>
            <w:proofErr w:type="spellStart"/>
            <w:r w:rsidRPr="00325BA3">
              <w:rPr>
                <w:b/>
              </w:rPr>
              <w:t>yr</w:t>
            </w:r>
            <w:proofErr w:type="spellEnd"/>
            <w:r w:rsidRPr="00325BA3">
              <w:rPr>
                <w:b/>
              </w:rPr>
              <w:t>)</w:t>
            </w:r>
          </w:p>
        </w:tc>
        <w:tc>
          <w:tcPr>
            <w:tcW w:w="2693" w:type="dxa"/>
          </w:tcPr>
          <w:p w14:paraId="7E1E541A" w14:textId="77777777" w:rsidR="004477E4" w:rsidRPr="00325BA3" w:rsidRDefault="004477E4" w:rsidP="009C5901">
            <w:pPr>
              <w:rPr>
                <w:b/>
              </w:rPr>
            </w:pPr>
            <w:r w:rsidRPr="00325BA3">
              <w:rPr>
                <w:b/>
              </w:rPr>
              <w:t>Conclusion</w:t>
            </w:r>
          </w:p>
        </w:tc>
      </w:tr>
      <w:tr w:rsidR="004477E4" w14:paraId="5976CEBB" w14:textId="77777777" w:rsidTr="009C5901">
        <w:tc>
          <w:tcPr>
            <w:tcW w:w="989" w:type="dxa"/>
          </w:tcPr>
          <w:p w14:paraId="0840354D" w14:textId="77777777" w:rsidR="004477E4" w:rsidRDefault="004477E4" w:rsidP="009C5901">
            <w:r>
              <w:t>Kapoor et al, 2008 [20]</w:t>
            </w:r>
          </w:p>
        </w:tc>
        <w:tc>
          <w:tcPr>
            <w:tcW w:w="591" w:type="dxa"/>
          </w:tcPr>
          <w:p w14:paraId="22496EDE" w14:textId="77777777" w:rsidR="004477E4" w:rsidRDefault="004477E4" w:rsidP="009C5901">
            <w:r>
              <w:t>31</w:t>
            </w:r>
          </w:p>
        </w:tc>
        <w:tc>
          <w:tcPr>
            <w:tcW w:w="1250" w:type="dxa"/>
          </w:tcPr>
          <w:p w14:paraId="762EEE59" w14:textId="77777777" w:rsidR="004477E4" w:rsidRDefault="004477E4" w:rsidP="009C5901">
            <w:r>
              <w:t>2 year periods between 1999-2003</w:t>
            </w:r>
          </w:p>
        </w:tc>
        <w:tc>
          <w:tcPr>
            <w:tcW w:w="2381" w:type="dxa"/>
          </w:tcPr>
          <w:p w14:paraId="017AB2EA" w14:textId="77777777" w:rsidR="004477E4" w:rsidRDefault="004477E4" w:rsidP="009C5901">
            <w:r>
              <w:t>Number of RGH injections dispensed by GP over 12 months</w:t>
            </w:r>
          </w:p>
        </w:tc>
        <w:tc>
          <w:tcPr>
            <w:tcW w:w="1305" w:type="dxa"/>
          </w:tcPr>
          <w:p w14:paraId="5B2E61BF" w14:textId="77777777" w:rsidR="004477E4" w:rsidRDefault="004477E4" w:rsidP="009C5901">
            <w:r>
              <w:t xml:space="preserve">Missed &lt;2 injections per week </w:t>
            </w:r>
          </w:p>
        </w:tc>
        <w:tc>
          <w:tcPr>
            <w:tcW w:w="1814" w:type="dxa"/>
          </w:tcPr>
          <w:p w14:paraId="1D68B2B5" w14:textId="77777777" w:rsidR="004477E4" w:rsidRDefault="004477E4" w:rsidP="009C5901">
            <w:r>
              <w:t>Height velocity</w:t>
            </w:r>
          </w:p>
        </w:tc>
        <w:tc>
          <w:tcPr>
            <w:tcW w:w="1559" w:type="dxa"/>
          </w:tcPr>
          <w:p w14:paraId="549C9249" w14:textId="77777777" w:rsidR="004477E4" w:rsidRDefault="004477E4" w:rsidP="009C5901">
            <w:r>
              <w:t>23%</w:t>
            </w:r>
          </w:p>
        </w:tc>
        <w:tc>
          <w:tcPr>
            <w:tcW w:w="1418" w:type="dxa"/>
          </w:tcPr>
          <w:p w14:paraId="15A4CDC5" w14:textId="77777777" w:rsidR="004477E4" w:rsidRDefault="004477E4" w:rsidP="009C5901">
            <w:r>
              <w:t>12.3</w:t>
            </w:r>
          </w:p>
        </w:tc>
        <w:tc>
          <w:tcPr>
            <w:tcW w:w="2693" w:type="dxa"/>
          </w:tcPr>
          <w:p w14:paraId="6E76AA79" w14:textId="77777777" w:rsidR="004477E4" w:rsidRDefault="004477E4" w:rsidP="009C5901">
            <w:r>
              <w:t xml:space="preserve">Correlation between lower adherence and reduced height velocity, particularly in the first 2 years of treatment </w:t>
            </w:r>
          </w:p>
        </w:tc>
      </w:tr>
      <w:tr w:rsidR="004477E4" w14:paraId="37CF98BF" w14:textId="77777777" w:rsidTr="009C5901">
        <w:tc>
          <w:tcPr>
            <w:tcW w:w="989" w:type="dxa"/>
          </w:tcPr>
          <w:p w14:paraId="3DE5AFA1" w14:textId="77777777" w:rsidR="004477E4" w:rsidRDefault="004477E4" w:rsidP="009C5901">
            <w:proofErr w:type="spellStart"/>
            <w:r>
              <w:t>Cutfield</w:t>
            </w:r>
            <w:proofErr w:type="spellEnd"/>
            <w:r>
              <w:t xml:space="preserve"> et al, 2011 [4]</w:t>
            </w:r>
          </w:p>
        </w:tc>
        <w:tc>
          <w:tcPr>
            <w:tcW w:w="591" w:type="dxa"/>
          </w:tcPr>
          <w:p w14:paraId="2F8F8935" w14:textId="77777777" w:rsidR="004477E4" w:rsidRDefault="004477E4" w:rsidP="009C5901">
            <w:r>
              <w:t>150</w:t>
            </w:r>
          </w:p>
        </w:tc>
        <w:tc>
          <w:tcPr>
            <w:tcW w:w="1250" w:type="dxa"/>
          </w:tcPr>
          <w:p w14:paraId="308F884D" w14:textId="77777777" w:rsidR="004477E4" w:rsidRDefault="004477E4" w:rsidP="009C5901">
            <w:r>
              <w:t>4 month interval in 2007</w:t>
            </w:r>
          </w:p>
        </w:tc>
        <w:tc>
          <w:tcPr>
            <w:tcW w:w="2381" w:type="dxa"/>
          </w:tcPr>
          <w:p w14:paraId="0D6CC7D8" w14:textId="77777777" w:rsidR="004477E4" w:rsidRDefault="004477E4" w:rsidP="009C5901">
            <w:r>
              <w:t xml:space="preserve">Number of vials requested by family/number of empty vials returned </w:t>
            </w:r>
          </w:p>
        </w:tc>
        <w:tc>
          <w:tcPr>
            <w:tcW w:w="1305" w:type="dxa"/>
          </w:tcPr>
          <w:p w14:paraId="213B6317" w14:textId="77777777" w:rsidR="004477E4" w:rsidRDefault="004477E4" w:rsidP="009C5901">
            <w:r>
              <w:t>&gt;85% (no more than one missed dose per week)</w:t>
            </w:r>
          </w:p>
        </w:tc>
        <w:tc>
          <w:tcPr>
            <w:tcW w:w="1814" w:type="dxa"/>
          </w:tcPr>
          <w:p w14:paraId="7E5536FA" w14:textId="77777777" w:rsidR="004477E4" w:rsidRDefault="004477E4" w:rsidP="009C5901">
            <w:r>
              <w:t>Height velocity</w:t>
            </w:r>
          </w:p>
          <w:p w14:paraId="262B1BEB" w14:textId="77777777" w:rsidR="004477E4" w:rsidRDefault="004477E4" w:rsidP="009C5901">
            <w:r>
              <w:t>Average linear growth (over 6-8 months)</w:t>
            </w:r>
          </w:p>
        </w:tc>
        <w:tc>
          <w:tcPr>
            <w:tcW w:w="1559" w:type="dxa"/>
          </w:tcPr>
          <w:p w14:paraId="5EDACD07" w14:textId="77777777" w:rsidR="004477E4" w:rsidRDefault="004477E4" w:rsidP="009C5901">
            <w:r>
              <w:t>66%</w:t>
            </w:r>
          </w:p>
        </w:tc>
        <w:tc>
          <w:tcPr>
            <w:tcW w:w="1418" w:type="dxa"/>
          </w:tcPr>
          <w:p w14:paraId="0AF86A66" w14:textId="77777777" w:rsidR="004477E4" w:rsidRDefault="004477E4" w:rsidP="009C5901">
            <w:r>
              <w:t>12.1</w:t>
            </w:r>
          </w:p>
        </w:tc>
        <w:tc>
          <w:tcPr>
            <w:tcW w:w="2693" w:type="dxa"/>
          </w:tcPr>
          <w:p w14:paraId="77169142" w14:textId="77777777" w:rsidR="004477E4" w:rsidRDefault="004477E4" w:rsidP="009C5901">
            <w:r>
              <w:t>Positive correlation between adherence (rate of returned vials) and height velocity SDS and linear growth</w:t>
            </w:r>
          </w:p>
        </w:tc>
      </w:tr>
      <w:tr w:rsidR="004477E4" w14:paraId="54269E53" w14:textId="77777777" w:rsidTr="009C5901">
        <w:tc>
          <w:tcPr>
            <w:tcW w:w="989" w:type="dxa"/>
          </w:tcPr>
          <w:p w14:paraId="3223B652" w14:textId="77777777" w:rsidR="004477E4" w:rsidRDefault="004477E4" w:rsidP="009C5901">
            <w:proofErr w:type="spellStart"/>
            <w:r>
              <w:t>Bozzola</w:t>
            </w:r>
            <w:proofErr w:type="spellEnd"/>
            <w:r>
              <w:t xml:space="preserve"> et al, 2014 [21]</w:t>
            </w:r>
          </w:p>
        </w:tc>
        <w:tc>
          <w:tcPr>
            <w:tcW w:w="591" w:type="dxa"/>
          </w:tcPr>
          <w:p w14:paraId="1F1646F3" w14:textId="77777777" w:rsidR="004477E4" w:rsidRDefault="004477E4" w:rsidP="009C5901">
            <w:r>
              <w:t>106</w:t>
            </w:r>
          </w:p>
        </w:tc>
        <w:tc>
          <w:tcPr>
            <w:tcW w:w="1250" w:type="dxa"/>
          </w:tcPr>
          <w:p w14:paraId="34ACA5FB" w14:textId="77777777" w:rsidR="004477E4" w:rsidRDefault="004477E4" w:rsidP="009C5901">
            <w:r w:rsidRPr="00B2703A">
              <w:t>5.43 ± 3.01 years</w:t>
            </w:r>
          </w:p>
        </w:tc>
        <w:tc>
          <w:tcPr>
            <w:tcW w:w="2381" w:type="dxa"/>
          </w:tcPr>
          <w:p w14:paraId="5E684F85" w14:textId="77777777" w:rsidR="004477E4" w:rsidRDefault="004477E4" w:rsidP="009C5901">
            <w:r>
              <w:t xml:space="preserve">11/106 patients were identified as exhibiting growth failure despite </w:t>
            </w:r>
            <w:proofErr w:type="spellStart"/>
            <w:r>
              <w:t>rGH</w:t>
            </w:r>
            <w:proofErr w:type="spellEnd"/>
            <w:r>
              <w:t xml:space="preserve"> and were then interviewed </w:t>
            </w:r>
          </w:p>
        </w:tc>
        <w:tc>
          <w:tcPr>
            <w:tcW w:w="1305" w:type="dxa"/>
          </w:tcPr>
          <w:p w14:paraId="62BF8A24" w14:textId="77777777" w:rsidR="004477E4" w:rsidRDefault="004477E4" w:rsidP="009C5901">
            <w:r>
              <w:t>Medical interview</w:t>
            </w:r>
          </w:p>
        </w:tc>
        <w:tc>
          <w:tcPr>
            <w:tcW w:w="1814" w:type="dxa"/>
          </w:tcPr>
          <w:p w14:paraId="69236556" w14:textId="77777777" w:rsidR="004477E4" w:rsidRDefault="004477E4" w:rsidP="009C5901">
            <w:r>
              <w:t>Height velocity</w:t>
            </w:r>
          </w:p>
        </w:tc>
        <w:tc>
          <w:tcPr>
            <w:tcW w:w="1559" w:type="dxa"/>
          </w:tcPr>
          <w:p w14:paraId="0DF3816B" w14:textId="77777777" w:rsidR="004477E4" w:rsidRDefault="004477E4" w:rsidP="009C5901">
            <w:r>
              <w:t>NA*</w:t>
            </w:r>
          </w:p>
        </w:tc>
        <w:tc>
          <w:tcPr>
            <w:tcW w:w="1418" w:type="dxa"/>
          </w:tcPr>
          <w:p w14:paraId="51B88BEF" w14:textId="77777777" w:rsidR="004477E4" w:rsidRDefault="004477E4" w:rsidP="009C5901">
            <w:r>
              <w:t>10.5</w:t>
            </w:r>
          </w:p>
        </w:tc>
        <w:tc>
          <w:tcPr>
            <w:tcW w:w="2693" w:type="dxa"/>
          </w:tcPr>
          <w:p w14:paraId="2FDD3428" w14:textId="77777777" w:rsidR="004477E4" w:rsidRDefault="004477E4" w:rsidP="009C5901">
            <w:r>
              <w:t xml:space="preserve">Non-adherence to growth hormone treatment is associated with growth failure </w:t>
            </w:r>
          </w:p>
        </w:tc>
      </w:tr>
      <w:tr w:rsidR="004477E4" w14:paraId="7A4689DA" w14:textId="77777777" w:rsidTr="009C5901">
        <w:tc>
          <w:tcPr>
            <w:tcW w:w="989" w:type="dxa"/>
          </w:tcPr>
          <w:p w14:paraId="6894AE0B" w14:textId="77777777" w:rsidR="004477E4" w:rsidRDefault="004477E4" w:rsidP="009C5901">
            <w:r>
              <w:t>Aydin et al, 2014 [22]</w:t>
            </w:r>
          </w:p>
        </w:tc>
        <w:tc>
          <w:tcPr>
            <w:tcW w:w="591" w:type="dxa"/>
          </w:tcPr>
          <w:p w14:paraId="2AE5B84F" w14:textId="77777777" w:rsidR="004477E4" w:rsidRDefault="004477E4" w:rsidP="009C5901">
            <w:r>
              <w:t>217</w:t>
            </w:r>
          </w:p>
        </w:tc>
        <w:tc>
          <w:tcPr>
            <w:tcW w:w="1250" w:type="dxa"/>
          </w:tcPr>
          <w:p w14:paraId="49DC8025" w14:textId="77777777" w:rsidR="004477E4" w:rsidRDefault="004477E4" w:rsidP="009C5901">
            <w:r>
              <w:t>12 months</w:t>
            </w:r>
          </w:p>
        </w:tc>
        <w:tc>
          <w:tcPr>
            <w:tcW w:w="2381" w:type="dxa"/>
          </w:tcPr>
          <w:p w14:paraId="2B2CF64A" w14:textId="77777777" w:rsidR="004477E4" w:rsidRDefault="004477E4" w:rsidP="009C5901">
            <w:r>
              <w:t>Percentage of RGH doses omitted</w:t>
            </w:r>
          </w:p>
        </w:tc>
        <w:tc>
          <w:tcPr>
            <w:tcW w:w="1305" w:type="dxa"/>
          </w:tcPr>
          <w:p w14:paraId="76F14F78" w14:textId="77777777" w:rsidR="004477E4" w:rsidRDefault="004477E4" w:rsidP="009C5901">
            <w:r>
              <w:t>Missed &lt;5% of injections</w:t>
            </w:r>
          </w:p>
        </w:tc>
        <w:tc>
          <w:tcPr>
            <w:tcW w:w="1814" w:type="dxa"/>
          </w:tcPr>
          <w:p w14:paraId="22829F96" w14:textId="77777777" w:rsidR="004477E4" w:rsidRDefault="004477E4" w:rsidP="009C5901">
            <w:r>
              <w:t xml:space="preserve">Height SDS, height velocity SDS (HVSDS), IGF-1 </w:t>
            </w:r>
          </w:p>
        </w:tc>
        <w:tc>
          <w:tcPr>
            <w:tcW w:w="1559" w:type="dxa"/>
          </w:tcPr>
          <w:p w14:paraId="0831140A" w14:textId="77777777" w:rsidR="004477E4" w:rsidRDefault="004477E4" w:rsidP="009C5901">
            <w:r>
              <w:t>90.7%</w:t>
            </w:r>
          </w:p>
        </w:tc>
        <w:tc>
          <w:tcPr>
            <w:tcW w:w="1418" w:type="dxa"/>
          </w:tcPr>
          <w:p w14:paraId="5DDA6F3D" w14:textId="77777777" w:rsidR="004477E4" w:rsidRDefault="004477E4" w:rsidP="009C5901">
            <w:r>
              <w:t>11.1 (M) 11.6 (F)</w:t>
            </w:r>
          </w:p>
        </w:tc>
        <w:tc>
          <w:tcPr>
            <w:tcW w:w="2693" w:type="dxa"/>
          </w:tcPr>
          <w:p w14:paraId="1FEA6C6D" w14:textId="77777777" w:rsidR="004477E4" w:rsidRDefault="004477E4" w:rsidP="009C5901">
            <w:r>
              <w:t xml:space="preserve">Negative correlation between number of missed injections and HVSDS. </w:t>
            </w:r>
          </w:p>
          <w:p w14:paraId="7F4E4F56" w14:textId="77777777" w:rsidR="004477E4" w:rsidRDefault="004477E4" w:rsidP="009C5901">
            <w:r w:rsidRPr="005F04FE">
              <w:t>Positive correlation between delta IGF-1 and HVDS</w:t>
            </w:r>
          </w:p>
        </w:tc>
      </w:tr>
      <w:tr w:rsidR="004477E4" w14:paraId="3477B193" w14:textId="77777777" w:rsidTr="009C5901">
        <w:tc>
          <w:tcPr>
            <w:tcW w:w="989" w:type="dxa"/>
          </w:tcPr>
          <w:p w14:paraId="7F237AE2" w14:textId="77777777" w:rsidR="004477E4" w:rsidRDefault="004477E4" w:rsidP="009C5901">
            <w:proofErr w:type="spellStart"/>
            <w:r>
              <w:t>Loche</w:t>
            </w:r>
            <w:proofErr w:type="spellEnd"/>
            <w:r>
              <w:t xml:space="preserve"> et al, 2016 [17]</w:t>
            </w:r>
          </w:p>
        </w:tc>
        <w:tc>
          <w:tcPr>
            <w:tcW w:w="591" w:type="dxa"/>
          </w:tcPr>
          <w:p w14:paraId="0F2E38B3" w14:textId="77777777" w:rsidR="004477E4" w:rsidRDefault="004477E4" w:rsidP="009C5901">
            <w:r>
              <w:t>53</w:t>
            </w:r>
          </w:p>
        </w:tc>
        <w:tc>
          <w:tcPr>
            <w:tcW w:w="1250" w:type="dxa"/>
          </w:tcPr>
          <w:p w14:paraId="7B41E398" w14:textId="77777777" w:rsidR="004477E4" w:rsidRDefault="004477E4" w:rsidP="009C5901">
            <w:r>
              <w:t>12 months</w:t>
            </w:r>
          </w:p>
        </w:tc>
        <w:tc>
          <w:tcPr>
            <w:tcW w:w="2381" w:type="dxa"/>
          </w:tcPr>
          <w:p w14:paraId="29C543BE" w14:textId="77777777" w:rsidR="004477E4" w:rsidRDefault="004477E4" w:rsidP="009C5901">
            <w:r>
              <w:t xml:space="preserve">Proportion of injections correctly administered using the </w:t>
            </w:r>
            <w:proofErr w:type="spellStart"/>
            <w:r>
              <w:t>easypod</w:t>
            </w:r>
            <w:proofErr w:type="spellEnd"/>
            <w:r>
              <w:t xml:space="preserve"> device</w:t>
            </w:r>
          </w:p>
        </w:tc>
        <w:tc>
          <w:tcPr>
            <w:tcW w:w="1305" w:type="dxa"/>
          </w:tcPr>
          <w:p w14:paraId="0FC49DE1" w14:textId="77777777" w:rsidR="004477E4" w:rsidRDefault="004477E4" w:rsidP="009C5901">
            <w:r>
              <w:t>&gt;300 injections over 12 months</w:t>
            </w:r>
          </w:p>
        </w:tc>
        <w:tc>
          <w:tcPr>
            <w:tcW w:w="1814" w:type="dxa"/>
          </w:tcPr>
          <w:p w14:paraId="04E969A7" w14:textId="77777777" w:rsidR="004477E4" w:rsidRDefault="004477E4" w:rsidP="009C5901">
            <w:r>
              <w:t>Height SDS increment, IGF-1</w:t>
            </w:r>
          </w:p>
        </w:tc>
        <w:tc>
          <w:tcPr>
            <w:tcW w:w="1559" w:type="dxa"/>
          </w:tcPr>
          <w:p w14:paraId="0986E5E4" w14:textId="77777777" w:rsidR="004477E4" w:rsidRDefault="004477E4" w:rsidP="009C5901">
            <w:r>
              <w:t>43.3%</w:t>
            </w:r>
          </w:p>
        </w:tc>
        <w:tc>
          <w:tcPr>
            <w:tcW w:w="1418" w:type="dxa"/>
          </w:tcPr>
          <w:p w14:paraId="172E147A" w14:textId="77777777" w:rsidR="004477E4" w:rsidRDefault="004477E4" w:rsidP="009C5901">
            <w:r>
              <w:t>10.0</w:t>
            </w:r>
          </w:p>
        </w:tc>
        <w:tc>
          <w:tcPr>
            <w:tcW w:w="2693" w:type="dxa"/>
          </w:tcPr>
          <w:p w14:paraId="5DD44C15" w14:textId="77777777" w:rsidR="004477E4" w:rsidRDefault="004477E4" w:rsidP="009C5901">
            <w:r>
              <w:t>No correlation between adherence and height SDS increment or IGF-1.</w:t>
            </w:r>
          </w:p>
        </w:tc>
      </w:tr>
      <w:tr w:rsidR="004477E4" w14:paraId="2DB087DF" w14:textId="77777777" w:rsidTr="009C5901">
        <w:tc>
          <w:tcPr>
            <w:tcW w:w="989" w:type="dxa"/>
          </w:tcPr>
          <w:p w14:paraId="6EE4161D" w14:textId="77777777" w:rsidR="004477E4" w:rsidRDefault="004477E4" w:rsidP="009C5901">
            <w:proofErr w:type="spellStart"/>
            <w:r>
              <w:lastRenderedPageBreak/>
              <w:t>Gau</w:t>
            </w:r>
            <w:proofErr w:type="spellEnd"/>
            <w:r>
              <w:t xml:space="preserve"> et al, 2017 [18]</w:t>
            </w:r>
          </w:p>
        </w:tc>
        <w:tc>
          <w:tcPr>
            <w:tcW w:w="591" w:type="dxa"/>
          </w:tcPr>
          <w:p w14:paraId="3F313BD7" w14:textId="77777777" w:rsidR="004477E4" w:rsidRDefault="004477E4" w:rsidP="009C5901">
            <w:r>
              <w:t>46</w:t>
            </w:r>
          </w:p>
        </w:tc>
        <w:tc>
          <w:tcPr>
            <w:tcW w:w="1250" w:type="dxa"/>
          </w:tcPr>
          <w:p w14:paraId="5ED170C2" w14:textId="77777777" w:rsidR="004477E4" w:rsidRDefault="004477E4" w:rsidP="009C5901">
            <w:r>
              <w:t>3 years</w:t>
            </w:r>
          </w:p>
        </w:tc>
        <w:tc>
          <w:tcPr>
            <w:tcW w:w="2381" w:type="dxa"/>
          </w:tcPr>
          <w:p w14:paraId="23DFB186" w14:textId="77777777" w:rsidR="004477E4" w:rsidRDefault="004477E4" w:rsidP="009C5901">
            <w:r>
              <w:t>Missed injections based on self-reports</w:t>
            </w:r>
          </w:p>
        </w:tc>
        <w:tc>
          <w:tcPr>
            <w:tcW w:w="1305" w:type="dxa"/>
          </w:tcPr>
          <w:p w14:paraId="57AA1C7F" w14:textId="77777777" w:rsidR="004477E4" w:rsidRDefault="004477E4" w:rsidP="009C5901">
            <w:r>
              <w:t xml:space="preserve">Missed injections </w:t>
            </w:r>
          </w:p>
        </w:tc>
        <w:tc>
          <w:tcPr>
            <w:tcW w:w="1814" w:type="dxa"/>
          </w:tcPr>
          <w:p w14:paraId="34142488" w14:textId="77777777" w:rsidR="004477E4" w:rsidRDefault="004477E4" w:rsidP="009C5901">
            <w:r>
              <w:t>Height SDS increment, IGF-1</w:t>
            </w:r>
          </w:p>
        </w:tc>
        <w:tc>
          <w:tcPr>
            <w:tcW w:w="1559" w:type="dxa"/>
          </w:tcPr>
          <w:p w14:paraId="03CA3A92" w14:textId="77777777" w:rsidR="004477E4" w:rsidRDefault="004477E4" w:rsidP="009C5901">
            <w:r w:rsidRPr="00764CDC">
              <w:t>7.1</w:t>
            </w:r>
            <w:r>
              <w:t>% with choice 33% without choice</w:t>
            </w:r>
          </w:p>
        </w:tc>
        <w:tc>
          <w:tcPr>
            <w:tcW w:w="1418" w:type="dxa"/>
          </w:tcPr>
          <w:p w14:paraId="00359942" w14:textId="77777777" w:rsidR="004477E4" w:rsidRDefault="004477E4" w:rsidP="009C5901">
            <w:r>
              <w:rPr>
                <w:rStyle w:val="foldable-text"/>
              </w:rPr>
              <w:t xml:space="preserve">7.70 ± 3.12 (mean </w:t>
            </w:r>
            <w:r>
              <w:rPr>
                <w:rStyle w:val="foldable-text"/>
                <w:rFonts w:ascii="Times New Roman" w:hAnsi="Times New Roman" w:cs="Times New Roman"/>
              </w:rPr>
              <w:t>±</w:t>
            </w:r>
            <w:r>
              <w:rPr>
                <w:rStyle w:val="foldable-text"/>
              </w:rPr>
              <w:t xml:space="preserve"> SD)</w:t>
            </w:r>
          </w:p>
        </w:tc>
        <w:tc>
          <w:tcPr>
            <w:tcW w:w="2693" w:type="dxa"/>
          </w:tcPr>
          <w:p w14:paraId="23451E85" w14:textId="77777777" w:rsidR="004477E4" w:rsidRDefault="004477E4" w:rsidP="009C5901">
            <w:r>
              <w:t>P</w:t>
            </w:r>
            <w:r w:rsidRPr="00764CDC">
              <w:t>atient choice reduced the proportion of patients with l</w:t>
            </w:r>
            <w:r>
              <w:t>ess</w:t>
            </w:r>
            <w:r w:rsidRPr="00764CDC">
              <w:t xml:space="preserve"> adherence </w:t>
            </w:r>
          </w:p>
        </w:tc>
      </w:tr>
    </w:tbl>
    <w:p w14:paraId="474D55C4" w14:textId="685936AC" w:rsidR="00E7249B" w:rsidRDefault="004477E4">
      <w:r>
        <w:t xml:space="preserve">* Not Applicable. All 11 patients with growth failure had poor adherence which was established in 4 patients by; lack of verification of adequate dosage, the possible onset of other chronic diseases such as celiac disease and the presence of anti-GH antibodies, together with interviews of patients and parents; and in 7 patients </w:t>
      </w:r>
      <w:r>
        <w:rPr>
          <w:rFonts w:ascii="MinionPro-Regular" w:hAnsi="MinionPro-Regular"/>
        </w:rPr>
        <w:t>by “patients admitted poor adherence, although the patients were unwilling to openly confirm their parent’s declarations”.</w:t>
      </w:r>
    </w:p>
    <w:sectPr w:rsidR="00E7249B" w:rsidSect="004477E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nionPro-Regular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7E4"/>
    <w:rsid w:val="004477E4"/>
    <w:rsid w:val="00BE7679"/>
    <w:rsid w:val="00E72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CC4D37"/>
  <w15:chartTrackingRefBased/>
  <w15:docId w15:val="{38418DF9-C066-4E5A-A9C1-E9B5D6FA9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477E4"/>
    <w:pPr>
      <w:spacing w:after="0" w:line="240" w:lineRule="auto"/>
    </w:pPr>
    <w:rPr>
      <w:rFonts w:eastAsiaTheme="minorEastAsia"/>
      <w:lang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ldable-text">
    <w:name w:val="foldable-text"/>
    <w:basedOn w:val="DefaultParagraphFont"/>
    <w:rsid w:val="004477E4"/>
  </w:style>
  <w:style w:type="paragraph" w:styleId="NormalWeb">
    <w:name w:val="Normal (Web)"/>
    <w:basedOn w:val="Normal"/>
    <w:uiPriority w:val="99"/>
    <w:unhideWhenUsed/>
    <w:rsid w:val="00BE767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Alastair Knight</dc:creator>
  <cp:keywords/>
  <dc:description/>
  <cp:lastModifiedBy>PDMR1</cp:lastModifiedBy>
  <cp:revision>2</cp:revision>
  <dcterms:created xsi:type="dcterms:W3CDTF">2018-10-04T10:28:00Z</dcterms:created>
  <dcterms:modified xsi:type="dcterms:W3CDTF">2019-02-14T12:12:00Z</dcterms:modified>
</cp:coreProperties>
</file>