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B78D" w14:textId="65D9DA91" w:rsidR="001C4C15" w:rsidRPr="00597890" w:rsidRDefault="001C4C15" w:rsidP="001C4C15">
      <w:pPr>
        <w:pStyle w:val="NoSpacing"/>
        <w:jc w:val="center"/>
        <w:rPr>
          <w:rFonts w:ascii="dcr10" w:hAnsi="dcr10"/>
          <w:b/>
          <w:bCs/>
          <w:sz w:val="32"/>
          <w:szCs w:val="32"/>
        </w:rPr>
      </w:pPr>
      <w:r w:rsidRPr="00597890">
        <w:rPr>
          <w:rFonts w:ascii="dcr10" w:hAnsi="dcr10"/>
          <w:b/>
          <w:bCs/>
          <w:sz w:val="32"/>
          <w:szCs w:val="32"/>
        </w:rPr>
        <w:t>Supplementary Appendix</w:t>
      </w:r>
    </w:p>
    <w:p w14:paraId="23F25E9C" w14:textId="77777777" w:rsidR="001C4C15" w:rsidRPr="00597890" w:rsidRDefault="001C4C15" w:rsidP="001C4C15">
      <w:pPr>
        <w:pStyle w:val="NoSpacing"/>
        <w:jc w:val="center"/>
        <w:rPr>
          <w:rFonts w:ascii="dcr10" w:hAnsi="dcr10"/>
        </w:rPr>
      </w:pPr>
    </w:p>
    <w:p w14:paraId="24245DF7" w14:textId="0114BD45" w:rsidR="001C4C15" w:rsidRPr="00597890" w:rsidRDefault="001C4C15" w:rsidP="001C4C15">
      <w:pPr>
        <w:pStyle w:val="NoSpacing"/>
        <w:jc w:val="center"/>
        <w:rPr>
          <w:rFonts w:ascii="dcr10" w:hAnsi="dcr10"/>
        </w:rPr>
      </w:pPr>
    </w:p>
    <w:p w14:paraId="0C9AD3DD" w14:textId="77777777" w:rsidR="00A10E61" w:rsidRPr="00597890" w:rsidRDefault="00A10E61" w:rsidP="00A10E61">
      <w:pPr>
        <w:pStyle w:val="NoSpacing"/>
        <w:jc w:val="center"/>
        <w:rPr>
          <w:rFonts w:ascii="dcr10" w:hAnsi="dcr10"/>
          <w:b/>
          <w:bCs/>
          <w:sz w:val="28"/>
          <w:szCs w:val="28"/>
        </w:rPr>
      </w:pPr>
      <w:r w:rsidRPr="00597890">
        <w:rPr>
          <w:rFonts w:ascii="dcr10" w:hAnsi="dcr10"/>
          <w:b/>
          <w:bCs/>
          <w:sz w:val="28"/>
          <w:szCs w:val="28"/>
        </w:rPr>
        <w:t>A Mountain of Debt: Navigating the Legacy of the Pandemic</w:t>
      </w:r>
    </w:p>
    <w:p w14:paraId="2ABE7A7C" w14:textId="77777777" w:rsidR="00A10E61" w:rsidRPr="00597890" w:rsidRDefault="00A10E61" w:rsidP="00A10E61">
      <w:pPr>
        <w:pStyle w:val="NoSpacing"/>
        <w:jc w:val="center"/>
        <w:rPr>
          <w:rFonts w:ascii="dcr10" w:hAnsi="dcr10"/>
        </w:rPr>
      </w:pPr>
    </w:p>
    <w:p w14:paraId="686DBF89" w14:textId="77777777" w:rsidR="00A10E61" w:rsidRPr="00597890" w:rsidRDefault="00A10E61" w:rsidP="00A10E61">
      <w:pPr>
        <w:pStyle w:val="NoSpacing"/>
        <w:jc w:val="center"/>
        <w:rPr>
          <w:rFonts w:ascii="dcr10" w:hAnsi="dcr10"/>
        </w:rPr>
      </w:pPr>
    </w:p>
    <w:p w14:paraId="5559D877" w14:textId="1DE7DC4A" w:rsidR="00A10E61" w:rsidRPr="00597890" w:rsidRDefault="00A10E61" w:rsidP="00A10E61">
      <w:pPr>
        <w:pStyle w:val="NoSpacing"/>
        <w:jc w:val="center"/>
        <w:rPr>
          <w:rFonts w:ascii="dcr10" w:hAnsi="dcr10"/>
        </w:rPr>
      </w:pPr>
      <w:r w:rsidRPr="00597890">
        <w:rPr>
          <w:rFonts w:ascii="dcr10" w:hAnsi="dcr10"/>
        </w:rPr>
        <w:t>M. Ayhan Kose, Franziska Ohnsorge, and Naotaka Sugawara</w:t>
      </w:r>
      <w:r w:rsidR="00597890" w:rsidRPr="00DC59BC">
        <w:rPr>
          <w:rStyle w:val="FootnoteReference"/>
          <w:rFonts w:ascii="dcr10" w:hAnsi="dcr10" w:cs="Times New Roman"/>
        </w:rPr>
        <w:footnoteReference w:customMarkFollows="1" w:id="1"/>
        <w:sym w:font="Symbol" w:char="F02A"/>
      </w:r>
    </w:p>
    <w:p w14:paraId="72D22412" w14:textId="77777777" w:rsidR="00A10E61" w:rsidRPr="00597890" w:rsidRDefault="00A10E61" w:rsidP="00A10E61">
      <w:pPr>
        <w:pStyle w:val="NoSpacing"/>
        <w:rPr>
          <w:rFonts w:ascii="dcr10" w:hAnsi="dcr10"/>
        </w:rPr>
      </w:pPr>
    </w:p>
    <w:p w14:paraId="13ADA89B" w14:textId="082A000E" w:rsidR="00A10E61" w:rsidRPr="00597890" w:rsidRDefault="00A10E61" w:rsidP="001C4C15">
      <w:pPr>
        <w:pStyle w:val="NoSpacing"/>
        <w:jc w:val="center"/>
        <w:rPr>
          <w:rFonts w:ascii="dcr10" w:hAnsi="dcr10"/>
        </w:rPr>
      </w:pPr>
    </w:p>
    <w:p w14:paraId="3C9E2E7C" w14:textId="77777777" w:rsidR="00837B29" w:rsidRPr="00597890" w:rsidRDefault="00837B29" w:rsidP="00837B29">
      <w:pPr>
        <w:pStyle w:val="NoSpacing"/>
        <w:jc w:val="center"/>
        <w:rPr>
          <w:rFonts w:ascii="dcr10" w:hAnsi="dcr10"/>
        </w:rPr>
      </w:pPr>
    </w:p>
    <w:p w14:paraId="1B6A1527" w14:textId="77777777" w:rsidR="00837B29" w:rsidRPr="00597890" w:rsidRDefault="00837B29" w:rsidP="00837B29">
      <w:pPr>
        <w:pStyle w:val="NoSpacing"/>
        <w:jc w:val="center"/>
        <w:rPr>
          <w:rFonts w:ascii="dcr10" w:hAnsi="dcr10"/>
          <w:b/>
          <w:bCs/>
          <w:i/>
          <w:iCs/>
          <w:sz w:val="28"/>
          <w:szCs w:val="28"/>
        </w:rPr>
      </w:pPr>
      <w:r w:rsidRPr="00597890">
        <w:rPr>
          <w:rFonts w:ascii="dcr10" w:hAnsi="dcr10"/>
          <w:b/>
          <w:bCs/>
          <w:i/>
          <w:iCs/>
          <w:sz w:val="28"/>
          <w:szCs w:val="28"/>
        </w:rPr>
        <w:t>Not for Publication</w:t>
      </w:r>
    </w:p>
    <w:p w14:paraId="7D07FA71" w14:textId="77777777" w:rsidR="001C4C15" w:rsidRPr="00597890" w:rsidRDefault="001C4C15" w:rsidP="001C4C15">
      <w:pPr>
        <w:pStyle w:val="NoSpacing"/>
        <w:jc w:val="center"/>
        <w:rPr>
          <w:rFonts w:ascii="dcr10" w:hAnsi="dcr10"/>
        </w:rPr>
      </w:pPr>
    </w:p>
    <w:p w14:paraId="361FCF44" w14:textId="77777777" w:rsidR="001C4C15" w:rsidRPr="00597890" w:rsidRDefault="001C4C15" w:rsidP="001C4C15">
      <w:pPr>
        <w:pStyle w:val="NoSpacing"/>
        <w:jc w:val="center"/>
        <w:rPr>
          <w:rFonts w:ascii="dcr10" w:hAnsi="dcr10"/>
        </w:rPr>
      </w:pPr>
    </w:p>
    <w:p w14:paraId="7D5F343F" w14:textId="77777777" w:rsidR="001C4C15" w:rsidRPr="00597890" w:rsidRDefault="001C4C15" w:rsidP="001C4C15">
      <w:pPr>
        <w:pStyle w:val="NoSpacing"/>
        <w:jc w:val="center"/>
        <w:rPr>
          <w:rFonts w:ascii="dcr10" w:hAnsi="dcr10"/>
        </w:rPr>
      </w:pPr>
    </w:p>
    <w:p w14:paraId="788C9667" w14:textId="77777777" w:rsidR="001C4C15" w:rsidRPr="00597890" w:rsidRDefault="001C4C15" w:rsidP="001C4C15">
      <w:pPr>
        <w:pStyle w:val="NoSpacing"/>
        <w:rPr>
          <w:rFonts w:ascii="dcr10" w:hAnsi="dcr10"/>
        </w:rPr>
      </w:pPr>
    </w:p>
    <w:p w14:paraId="4472E23B" w14:textId="77777777" w:rsidR="001C4C15" w:rsidRPr="00597890" w:rsidRDefault="001C4C15" w:rsidP="001C4C15">
      <w:pPr>
        <w:pStyle w:val="NoSpacing"/>
        <w:rPr>
          <w:rFonts w:ascii="dcr10" w:hAnsi="dcr10"/>
        </w:rPr>
      </w:pPr>
    </w:p>
    <w:p w14:paraId="065DD22B" w14:textId="77777777" w:rsidR="001C4C15" w:rsidRPr="00597890" w:rsidRDefault="001C4C15" w:rsidP="001C4C15">
      <w:pPr>
        <w:pStyle w:val="NoSpacing"/>
        <w:rPr>
          <w:rFonts w:ascii="dcr10" w:hAnsi="dcr10"/>
        </w:rPr>
      </w:pPr>
    </w:p>
    <w:p w14:paraId="58548234" w14:textId="77777777" w:rsidR="001C4C15" w:rsidRPr="00597890" w:rsidRDefault="001C4C15" w:rsidP="001C4C15">
      <w:pPr>
        <w:pStyle w:val="NoSpacing"/>
        <w:rPr>
          <w:rFonts w:ascii="dcr10" w:hAnsi="dcr10"/>
          <w:b/>
        </w:rPr>
      </w:pPr>
      <w:r w:rsidRPr="00597890">
        <w:rPr>
          <w:rFonts w:ascii="dcr10" w:hAnsi="dcr10"/>
          <w:b/>
        </w:rPr>
        <w:t>This appendix contains:</w:t>
      </w:r>
    </w:p>
    <w:p w14:paraId="3D13E2C7" w14:textId="77777777" w:rsidR="001C4C15" w:rsidRPr="00597890" w:rsidRDefault="001C4C15" w:rsidP="001C4C15">
      <w:pPr>
        <w:pStyle w:val="NoSpacing"/>
        <w:rPr>
          <w:rFonts w:ascii="dcr10" w:hAnsi="dcr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830"/>
      </w:tblGrid>
      <w:tr w:rsidR="001C4C15" w:rsidRPr="00597890" w14:paraId="17CC9834" w14:textId="77777777" w:rsidTr="003A08E0">
        <w:trPr>
          <w:trHeight w:val="297"/>
          <w:jc w:val="center"/>
        </w:trPr>
        <w:tc>
          <w:tcPr>
            <w:tcW w:w="1530" w:type="dxa"/>
          </w:tcPr>
          <w:p w14:paraId="3EEFB69F" w14:textId="77777777" w:rsidR="001C4C15" w:rsidRPr="00597890" w:rsidRDefault="001C4C15" w:rsidP="001C4C15">
            <w:pPr>
              <w:pStyle w:val="NoSpacing"/>
              <w:rPr>
                <w:rFonts w:ascii="dcr10" w:hAnsi="dcr10"/>
              </w:rPr>
            </w:pPr>
            <w:r w:rsidRPr="00597890">
              <w:rPr>
                <w:rFonts w:ascii="dcr10" w:hAnsi="dcr10"/>
              </w:rPr>
              <w:t>Table S1.</w:t>
            </w:r>
          </w:p>
        </w:tc>
        <w:tc>
          <w:tcPr>
            <w:tcW w:w="7830" w:type="dxa"/>
          </w:tcPr>
          <w:p w14:paraId="0D3DD2CC" w14:textId="77777777" w:rsidR="001C4C15" w:rsidRPr="00597890" w:rsidRDefault="001C4C15" w:rsidP="005C094F">
            <w:pPr>
              <w:pStyle w:val="NoSpacing"/>
              <w:jc w:val="both"/>
              <w:rPr>
                <w:rFonts w:ascii="dcr10" w:hAnsi="dcr10"/>
              </w:rPr>
            </w:pPr>
            <w:r w:rsidRPr="00597890">
              <w:rPr>
                <w:rFonts w:ascii="dcr10" w:hAnsi="dcr10"/>
              </w:rPr>
              <w:t>Countries with deterioration in fiscal indicators</w:t>
            </w:r>
          </w:p>
        </w:tc>
      </w:tr>
      <w:tr w:rsidR="001C4C15" w:rsidRPr="00597890" w14:paraId="794340D8" w14:textId="77777777" w:rsidTr="003A08E0">
        <w:trPr>
          <w:trHeight w:val="297"/>
          <w:jc w:val="center"/>
        </w:trPr>
        <w:tc>
          <w:tcPr>
            <w:tcW w:w="1530" w:type="dxa"/>
          </w:tcPr>
          <w:p w14:paraId="1EF7D04B" w14:textId="77777777" w:rsidR="001C4C15" w:rsidRPr="00597890" w:rsidRDefault="001C4C15" w:rsidP="001C4C15">
            <w:pPr>
              <w:pStyle w:val="NoSpacing"/>
              <w:rPr>
                <w:rFonts w:ascii="dcr10" w:hAnsi="dcr10"/>
              </w:rPr>
            </w:pPr>
            <w:r w:rsidRPr="00597890">
              <w:rPr>
                <w:rFonts w:ascii="dcr10" w:hAnsi="dcr10"/>
              </w:rPr>
              <w:t>Table S2.</w:t>
            </w:r>
          </w:p>
        </w:tc>
        <w:tc>
          <w:tcPr>
            <w:tcW w:w="7830" w:type="dxa"/>
          </w:tcPr>
          <w:p w14:paraId="23FE9913" w14:textId="77777777" w:rsidR="001C4C15" w:rsidRPr="00597890" w:rsidRDefault="001C4C15" w:rsidP="005C094F">
            <w:pPr>
              <w:pStyle w:val="NoSpacing"/>
              <w:jc w:val="both"/>
              <w:rPr>
                <w:rFonts w:ascii="dcr10" w:hAnsi="dcr10"/>
              </w:rPr>
            </w:pPr>
            <w:r w:rsidRPr="00597890">
              <w:rPr>
                <w:rFonts w:ascii="dcr10" w:hAnsi="dcr10"/>
              </w:rPr>
              <w:t>Features of private debt booms</w:t>
            </w:r>
          </w:p>
        </w:tc>
      </w:tr>
      <w:tr w:rsidR="001C4C15" w:rsidRPr="00597890" w14:paraId="1EBCFF66" w14:textId="77777777" w:rsidTr="003A08E0">
        <w:trPr>
          <w:trHeight w:val="288"/>
          <w:jc w:val="center"/>
        </w:trPr>
        <w:tc>
          <w:tcPr>
            <w:tcW w:w="1530" w:type="dxa"/>
          </w:tcPr>
          <w:p w14:paraId="241BA198" w14:textId="77777777" w:rsidR="001C4C15" w:rsidRPr="00597890" w:rsidRDefault="001C4C15" w:rsidP="001C4C15">
            <w:pPr>
              <w:pStyle w:val="NoSpacing"/>
              <w:rPr>
                <w:rFonts w:ascii="dcr10" w:hAnsi="dcr10"/>
              </w:rPr>
            </w:pPr>
            <w:r w:rsidRPr="00597890">
              <w:rPr>
                <w:rFonts w:ascii="dcr10" w:hAnsi="dcr10"/>
              </w:rPr>
              <w:t>Table S3.</w:t>
            </w:r>
          </w:p>
        </w:tc>
        <w:tc>
          <w:tcPr>
            <w:tcW w:w="7830" w:type="dxa"/>
          </w:tcPr>
          <w:p w14:paraId="53131943" w14:textId="77777777" w:rsidR="001C4C15" w:rsidRPr="00597890" w:rsidRDefault="001C4C15" w:rsidP="005C094F">
            <w:pPr>
              <w:pStyle w:val="NoSpacing"/>
              <w:jc w:val="both"/>
              <w:rPr>
                <w:rFonts w:ascii="dcr10" w:hAnsi="dcr10"/>
              </w:rPr>
            </w:pPr>
            <w:r w:rsidRPr="00597890">
              <w:rPr>
                <w:rFonts w:ascii="dcr10" w:hAnsi="dcr10"/>
              </w:rPr>
              <w:t>Features of total debt booms</w:t>
            </w:r>
          </w:p>
        </w:tc>
      </w:tr>
      <w:tr w:rsidR="001C4C15" w:rsidRPr="00597890" w14:paraId="2D320A54" w14:textId="77777777" w:rsidTr="003A08E0">
        <w:trPr>
          <w:trHeight w:val="288"/>
          <w:jc w:val="center"/>
        </w:trPr>
        <w:tc>
          <w:tcPr>
            <w:tcW w:w="1530" w:type="dxa"/>
          </w:tcPr>
          <w:p w14:paraId="539EC0A6" w14:textId="77777777" w:rsidR="001C4C15" w:rsidRPr="00597890" w:rsidRDefault="001C4C15" w:rsidP="001C4C15">
            <w:pPr>
              <w:pStyle w:val="NoSpacing"/>
              <w:rPr>
                <w:rFonts w:ascii="dcr10" w:hAnsi="dcr10"/>
              </w:rPr>
            </w:pPr>
            <w:r w:rsidRPr="00597890">
              <w:rPr>
                <w:rFonts w:ascii="dcr10" w:hAnsi="dcr10"/>
              </w:rPr>
              <w:t>Table S4.</w:t>
            </w:r>
          </w:p>
        </w:tc>
        <w:tc>
          <w:tcPr>
            <w:tcW w:w="7830" w:type="dxa"/>
          </w:tcPr>
          <w:p w14:paraId="0C517CEB" w14:textId="6EC25EDD" w:rsidR="001C4C15" w:rsidRPr="00597890" w:rsidRDefault="001C4C15" w:rsidP="005C094F">
            <w:pPr>
              <w:pStyle w:val="NoSpacing"/>
              <w:jc w:val="both"/>
              <w:rPr>
                <w:rFonts w:ascii="dcr10" w:hAnsi="dcr10"/>
              </w:rPr>
            </w:pPr>
            <w:r w:rsidRPr="00597890">
              <w:rPr>
                <w:rFonts w:ascii="dcr10" w:hAnsi="dcr10"/>
              </w:rPr>
              <w:t xml:space="preserve">Balance sheet composition </w:t>
            </w:r>
            <w:r w:rsidR="00817F4E" w:rsidRPr="00597890">
              <w:rPr>
                <w:rFonts w:ascii="dcr10" w:hAnsi="dcr10"/>
              </w:rPr>
              <w:t xml:space="preserve">during </w:t>
            </w:r>
            <w:r w:rsidRPr="00597890">
              <w:rPr>
                <w:rFonts w:ascii="dcr10" w:hAnsi="dcr10"/>
              </w:rPr>
              <w:t>government debt booms</w:t>
            </w:r>
          </w:p>
        </w:tc>
      </w:tr>
      <w:tr w:rsidR="001C4C15" w:rsidRPr="00597890" w14:paraId="3B5D0AA2" w14:textId="77777777" w:rsidTr="003A08E0">
        <w:trPr>
          <w:trHeight w:val="288"/>
          <w:jc w:val="center"/>
        </w:trPr>
        <w:tc>
          <w:tcPr>
            <w:tcW w:w="1530" w:type="dxa"/>
          </w:tcPr>
          <w:p w14:paraId="73C312E0" w14:textId="77777777" w:rsidR="001C4C15" w:rsidRPr="00597890" w:rsidRDefault="001C4C15" w:rsidP="001C4C15">
            <w:pPr>
              <w:pStyle w:val="NoSpacing"/>
              <w:rPr>
                <w:rFonts w:ascii="dcr10" w:hAnsi="dcr10"/>
              </w:rPr>
            </w:pPr>
            <w:r w:rsidRPr="00597890">
              <w:rPr>
                <w:rFonts w:ascii="dcr10" w:hAnsi="dcr10"/>
              </w:rPr>
              <w:t>Table S5.</w:t>
            </w:r>
          </w:p>
        </w:tc>
        <w:tc>
          <w:tcPr>
            <w:tcW w:w="7830" w:type="dxa"/>
          </w:tcPr>
          <w:p w14:paraId="1DB81DD4" w14:textId="5BE7BF9D" w:rsidR="001C4C15" w:rsidRPr="00597890" w:rsidRDefault="001C4C15" w:rsidP="005C094F">
            <w:pPr>
              <w:pStyle w:val="NoSpacing"/>
              <w:jc w:val="both"/>
              <w:rPr>
                <w:rFonts w:ascii="dcr10" w:hAnsi="dcr10"/>
              </w:rPr>
            </w:pPr>
            <w:r w:rsidRPr="00597890">
              <w:rPr>
                <w:rFonts w:ascii="dcr10" w:hAnsi="dcr10"/>
              </w:rPr>
              <w:t xml:space="preserve">Balance sheet composition </w:t>
            </w:r>
            <w:r w:rsidR="00817F4E" w:rsidRPr="00597890">
              <w:rPr>
                <w:rFonts w:ascii="dcr10" w:hAnsi="dcr10"/>
              </w:rPr>
              <w:t>during</w:t>
            </w:r>
            <w:r w:rsidRPr="00597890">
              <w:rPr>
                <w:rFonts w:ascii="dcr10" w:hAnsi="dcr10"/>
              </w:rPr>
              <w:t xml:space="preserve"> government debt booms </w:t>
            </w:r>
            <w:r w:rsidR="00817F4E" w:rsidRPr="00597890">
              <w:rPr>
                <w:rFonts w:ascii="dcr10" w:hAnsi="dcr10"/>
              </w:rPr>
              <w:t>(</w:t>
            </w:r>
            <w:r w:rsidRPr="00597890">
              <w:rPr>
                <w:rFonts w:ascii="dcr10" w:hAnsi="dcr10"/>
              </w:rPr>
              <w:t>relative to non-boom years</w:t>
            </w:r>
            <w:r w:rsidR="00817F4E" w:rsidRPr="00597890">
              <w:rPr>
                <w:rFonts w:ascii="dcr10" w:hAnsi="dcr10"/>
              </w:rPr>
              <w:t>)</w:t>
            </w:r>
          </w:p>
        </w:tc>
      </w:tr>
      <w:tr w:rsidR="001C4C15" w:rsidRPr="00597890" w14:paraId="5D60EBDF" w14:textId="77777777" w:rsidTr="003A08E0">
        <w:trPr>
          <w:trHeight w:val="288"/>
          <w:jc w:val="center"/>
        </w:trPr>
        <w:tc>
          <w:tcPr>
            <w:tcW w:w="1530" w:type="dxa"/>
          </w:tcPr>
          <w:p w14:paraId="7B6DC0AA" w14:textId="77777777" w:rsidR="001C4C15" w:rsidRPr="00597890" w:rsidRDefault="001C4C15" w:rsidP="001C4C15">
            <w:pPr>
              <w:pStyle w:val="NoSpacing"/>
              <w:rPr>
                <w:rFonts w:ascii="dcr10" w:hAnsi="dcr10"/>
              </w:rPr>
            </w:pPr>
            <w:r w:rsidRPr="00597890">
              <w:rPr>
                <w:rFonts w:ascii="dcr10" w:hAnsi="dcr10"/>
              </w:rPr>
              <w:t>Table S6.</w:t>
            </w:r>
          </w:p>
        </w:tc>
        <w:tc>
          <w:tcPr>
            <w:tcW w:w="7830" w:type="dxa"/>
          </w:tcPr>
          <w:p w14:paraId="3C853577" w14:textId="3B7CED42" w:rsidR="001C4C15" w:rsidRPr="00597890" w:rsidRDefault="001C4C15" w:rsidP="005C094F">
            <w:pPr>
              <w:pStyle w:val="NoSpacing"/>
              <w:jc w:val="both"/>
              <w:rPr>
                <w:rFonts w:ascii="dcr10" w:hAnsi="dcr10"/>
              </w:rPr>
            </w:pPr>
            <w:r w:rsidRPr="00597890">
              <w:rPr>
                <w:rFonts w:ascii="dcr10" w:hAnsi="dcr10"/>
              </w:rPr>
              <w:t xml:space="preserve">Balance sheet composition </w:t>
            </w:r>
            <w:r w:rsidR="00817F4E" w:rsidRPr="00597890">
              <w:rPr>
                <w:rFonts w:ascii="dcr10" w:hAnsi="dcr10"/>
              </w:rPr>
              <w:t>during</w:t>
            </w:r>
            <w:r w:rsidRPr="00597890">
              <w:rPr>
                <w:rFonts w:ascii="dcr10" w:hAnsi="dcr10"/>
              </w:rPr>
              <w:t xml:space="preserve"> government debt booms</w:t>
            </w:r>
            <w:r w:rsidR="00817F4E" w:rsidRPr="00597890">
              <w:rPr>
                <w:rFonts w:ascii="dcr10" w:hAnsi="dcr10"/>
              </w:rPr>
              <w:t xml:space="preserve"> (crises vs. no</w:t>
            </w:r>
            <w:r w:rsidR="009D57CB" w:rsidRPr="00597890">
              <w:rPr>
                <w:rFonts w:ascii="dcr10" w:hAnsi="dcr10"/>
              </w:rPr>
              <w:t>n</w:t>
            </w:r>
            <w:r w:rsidR="00817F4E" w:rsidRPr="00597890">
              <w:rPr>
                <w:rFonts w:ascii="dcr10" w:hAnsi="dcr10"/>
              </w:rPr>
              <w:t>-crises)</w:t>
            </w:r>
          </w:p>
        </w:tc>
      </w:tr>
      <w:tr w:rsidR="001C4C15" w:rsidRPr="00597890" w14:paraId="62C47098" w14:textId="77777777" w:rsidTr="003A08E0">
        <w:trPr>
          <w:trHeight w:val="288"/>
          <w:jc w:val="center"/>
        </w:trPr>
        <w:tc>
          <w:tcPr>
            <w:tcW w:w="1530" w:type="dxa"/>
          </w:tcPr>
          <w:p w14:paraId="6A45BB73" w14:textId="77777777" w:rsidR="001C4C15" w:rsidRPr="00597890" w:rsidRDefault="001C4C15" w:rsidP="001C4C15">
            <w:pPr>
              <w:pStyle w:val="NoSpacing"/>
              <w:rPr>
                <w:rFonts w:ascii="dcr10" w:hAnsi="dcr10"/>
              </w:rPr>
            </w:pPr>
            <w:r w:rsidRPr="00597890">
              <w:rPr>
                <w:rFonts w:ascii="dcr10" w:hAnsi="dcr10"/>
              </w:rPr>
              <w:t>Table S7.</w:t>
            </w:r>
          </w:p>
        </w:tc>
        <w:tc>
          <w:tcPr>
            <w:tcW w:w="7830" w:type="dxa"/>
          </w:tcPr>
          <w:p w14:paraId="10352B22" w14:textId="1AC7C808" w:rsidR="001C4C15" w:rsidRPr="00597890" w:rsidRDefault="001C4C15" w:rsidP="005C094F">
            <w:pPr>
              <w:pStyle w:val="NoSpacing"/>
              <w:jc w:val="both"/>
              <w:rPr>
                <w:rFonts w:ascii="dcr10" w:hAnsi="dcr10"/>
              </w:rPr>
            </w:pPr>
            <w:r w:rsidRPr="00597890">
              <w:rPr>
                <w:rFonts w:ascii="dcr10" w:hAnsi="dcr10"/>
              </w:rPr>
              <w:t xml:space="preserve">Balance sheet composition </w:t>
            </w:r>
            <w:r w:rsidR="00817F4E" w:rsidRPr="00597890">
              <w:rPr>
                <w:rFonts w:ascii="dcr10" w:hAnsi="dcr10"/>
              </w:rPr>
              <w:t>during government debt booms (</w:t>
            </w:r>
            <w:r w:rsidRPr="00597890">
              <w:rPr>
                <w:rFonts w:ascii="dcr10" w:hAnsi="dcr10"/>
              </w:rPr>
              <w:t xml:space="preserve">completed </w:t>
            </w:r>
            <w:r w:rsidR="00817F4E" w:rsidRPr="00597890">
              <w:rPr>
                <w:rFonts w:ascii="dcr10" w:hAnsi="dcr10"/>
              </w:rPr>
              <w:t>vs.</w:t>
            </w:r>
            <w:r w:rsidRPr="00597890">
              <w:rPr>
                <w:rFonts w:ascii="dcr10" w:hAnsi="dcr10"/>
              </w:rPr>
              <w:t xml:space="preserve"> ongoing booms</w:t>
            </w:r>
            <w:r w:rsidR="00817F4E" w:rsidRPr="00597890">
              <w:rPr>
                <w:rFonts w:ascii="dcr10" w:hAnsi="dcr10"/>
              </w:rPr>
              <w:t>)</w:t>
            </w:r>
          </w:p>
        </w:tc>
      </w:tr>
      <w:tr w:rsidR="001C4C15" w:rsidRPr="00597890" w14:paraId="3229115B" w14:textId="77777777" w:rsidTr="003A08E0">
        <w:trPr>
          <w:trHeight w:val="288"/>
          <w:jc w:val="center"/>
        </w:trPr>
        <w:tc>
          <w:tcPr>
            <w:tcW w:w="1530" w:type="dxa"/>
          </w:tcPr>
          <w:p w14:paraId="25206EBB" w14:textId="77777777" w:rsidR="001C4C15" w:rsidRPr="00597890" w:rsidRDefault="001C4C15" w:rsidP="001C4C15">
            <w:pPr>
              <w:pStyle w:val="NoSpacing"/>
              <w:rPr>
                <w:rFonts w:ascii="dcr10" w:hAnsi="dcr10"/>
              </w:rPr>
            </w:pPr>
          </w:p>
        </w:tc>
        <w:tc>
          <w:tcPr>
            <w:tcW w:w="7830" w:type="dxa"/>
          </w:tcPr>
          <w:p w14:paraId="6844CAE8" w14:textId="77777777" w:rsidR="001C4C15" w:rsidRPr="00597890" w:rsidRDefault="001C4C15" w:rsidP="005C094F">
            <w:pPr>
              <w:pStyle w:val="NoSpacing"/>
              <w:jc w:val="both"/>
              <w:rPr>
                <w:rFonts w:ascii="dcr10" w:hAnsi="dcr10"/>
              </w:rPr>
            </w:pPr>
          </w:p>
        </w:tc>
      </w:tr>
      <w:tr w:rsidR="001C4C15" w:rsidRPr="00597890" w14:paraId="5D2F82EA" w14:textId="77777777" w:rsidTr="003A08E0">
        <w:trPr>
          <w:trHeight w:val="288"/>
          <w:jc w:val="center"/>
        </w:trPr>
        <w:tc>
          <w:tcPr>
            <w:tcW w:w="1530" w:type="dxa"/>
          </w:tcPr>
          <w:p w14:paraId="6C8B9930" w14:textId="77777777" w:rsidR="001C4C15" w:rsidRPr="00597890" w:rsidRDefault="001C4C15" w:rsidP="001C4C15">
            <w:pPr>
              <w:pStyle w:val="NoSpacing"/>
              <w:rPr>
                <w:rFonts w:ascii="dcr10" w:hAnsi="dcr10"/>
              </w:rPr>
            </w:pPr>
            <w:r w:rsidRPr="00597890">
              <w:rPr>
                <w:rFonts w:ascii="dcr10" w:hAnsi="dcr10"/>
              </w:rPr>
              <w:t>Figure S1.</w:t>
            </w:r>
          </w:p>
        </w:tc>
        <w:tc>
          <w:tcPr>
            <w:tcW w:w="7830" w:type="dxa"/>
          </w:tcPr>
          <w:p w14:paraId="4280AB11" w14:textId="77777777" w:rsidR="001C4C15" w:rsidRPr="00597890" w:rsidRDefault="001C4C15" w:rsidP="005C094F">
            <w:pPr>
              <w:pStyle w:val="NoSpacing"/>
              <w:jc w:val="both"/>
              <w:rPr>
                <w:rFonts w:ascii="dcr10" w:hAnsi="dcr10"/>
              </w:rPr>
            </w:pPr>
            <w:r w:rsidRPr="00597890">
              <w:rPr>
                <w:rFonts w:ascii="dcr10" w:hAnsi="dcr10"/>
              </w:rPr>
              <w:t>Long-term interest rates</w:t>
            </w:r>
          </w:p>
        </w:tc>
      </w:tr>
      <w:tr w:rsidR="001C4C15" w:rsidRPr="00597890" w14:paraId="3DF92F01" w14:textId="77777777" w:rsidTr="003A08E0">
        <w:trPr>
          <w:trHeight w:val="288"/>
          <w:jc w:val="center"/>
        </w:trPr>
        <w:tc>
          <w:tcPr>
            <w:tcW w:w="1530" w:type="dxa"/>
          </w:tcPr>
          <w:p w14:paraId="02BE3FC0" w14:textId="77777777" w:rsidR="001C4C15" w:rsidRPr="00597890" w:rsidRDefault="001C4C15" w:rsidP="001C4C15">
            <w:pPr>
              <w:pStyle w:val="NoSpacing"/>
              <w:rPr>
                <w:rFonts w:ascii="dcr10" w:hAnsi="dcr10"/>
              </w:rPr>
            </w:pPr>
            <w:r w:rsidRPr="00597890">
              <w:rPr>
                <w:rFonts w:ascii="dcr10" w:hAnsi="dcr10"/>
              </w:rPr>
              <w:t>Figure S2.</w:t>
            </w:r>
          </w:p>
        </w:tc>
        <w:tc>
          <w:tcPr>
            <w:tcW w:w="7830" w:type="dxa"/>
          </w:tcPr>
          <w:p w14:paraId="57A05C13" w14:textId="77777777" w:rsidR="001C4C15" w:rsidRPr="00597890" w:rsidRDefault="001C4C15" w:rsidP="005C094F">
            <w:pPr>
              <w:pStyle w:val="NoSpacing"/>
              <w:jc w:val="both"/>
              <w:rPr>
                <w:rFonts w:ascii="dcr10" w:hAnsi="dcr10"/>
              </w:rPr>
            </w:pPr>
            <w:r w:rsidRPr="00597890">
              <w:rPr>
                <w:rFonts w:ascii="dcr10" w:hAnsi="dcr10"/>
              </w:rPr>
              <w:t xml:space="preserve">Interest payments and interest rates in </w:t>
            </w:r>
            <w:proofErr w:type="gramStart"/>
            <w:r w:rsidRPr="00597890">
              <w:rPr>
                <w:rFonts w:ascii="dcr10" w:hAnsi="dcr10"/>
              </w:rPr>
              <w:t>commodity-exporting</w:t>
            </w:r>
            <w:proofErr w:type="gramEnd"/>
            <w:r w:rsidRPr="00597890">
              <w:rPr>
                <w:rFonts w:ascii="dcr10" w:hAnsi="dcr10"/>
              </w:rPr>
              <w:t xml:space="preserve"> EMDEs</w:t>
            </w:r>
          </w:p>
        </w:tc>
      </w:tr>
    </w:tbl>
    <w:p w14:paraId="1B8D0BA3" w14:textId="77777777" w:rsidR="001C4C15" w:rsidRPr="00597890" w:rsidRDefault="001C4C15" w:rsidP="001C4C15">
      <w:pPr>
        <w:pStyle w:val="NoSpacing"/>
        <w:rPr>
          <w:rFonts w:ascii="dcr10" w:hAnsi="dcr10"/>
        </w:rPr>
      </w:pPr>
    </w:p>
    <w:p w14:paraId="0D0430A1" w14:textId="77777777" w:rsidR="001C4C15" w:rsidRPr="00597890" w:rsidRDefault="001C4C15" w:rsidP="001C4C15">
      <w:pPr>
        <w:pStyle w:val="NoSpacing"/>
        <w:rPr>
          <w:rFonts w:ascii="dcr10" w:hAnsi="dcr10"/>
        </w:rPr>
      </w:pPr>
    </w:p>
    <w:p w14:paraId="74CA3DBE" w14:textId="77777777" w:rsidR="001C4C15" w:rsidRPr="00597890" w:rsidRDefault="001C4C15">
      <w:pPr>
        <w:rPr>
          <w:rFonts w:ascii="dcr10" w:hAnsi="dcr10"/>
        </w:rPr>
      </w:pPr>
      <w:r w:rsidRPr="00597890">
        <w:rPr>
          <w:rFonts w:ascii="dcr10" w:hAnsi="dcr1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8"/>
      </w:tblGrid>
      <w:tr w:rsidR="001C4C15" w:rsidRPr="00597890" w14:paraId="2A136678" w14:textId="77777777" w:rsidTr="001C0681">
        <w:trPr>
          <w:jc w:val="center"/>
        </w:trPr>
        <w:tc>
          <w:tcPr>
            <w:tcW w:w="7848" w:type="dxa"/>
          </w:tcPr>
          <w:p w14:paraId="2445EFF6" w14:textId="77777777" w:rsidR="001C4C15" w:rsidRPr="00597890" w:rsidRDefault="001C4C15" w:rsidP="001C4C15">
            <w:pPr>
              <w:pStyle w:val="NoSpacing"/>
              <w:rPr>
                <w:rFonts w:ascii="dcr10" w:hAnsi="dcr10"/>
                <w:b/>
                <w:bCs/>
              </w:rPr>
            </w:pPr>
            <w:r w:rsidRPr="00597890">
              <w:rPr>
                <w:rFonts w:ascii="dcr10" w:hAnsi="dcr10"/>
                <w:b/>
                <w:bCs/>
              </w:rPr>
              <w:lastRenderedPageBreak/>
              <w:t>Table S1. Countries with deterioration in fiscal indicators</w:t>
            </w:r>
          </w:p>
        </w:tc>
      </w:tr>
      <w:tr w:rsidR="001C4C15" w:rsidRPr="00597890" w14:paraId="798CE3A3" w14:textId="77777777" w:rsidTr="001C0681">
        <w:trPr>
          <w:jc w:val="center"/>
        </w:trPr>
        <w:tc>
          <w:tcPr>
            <w:tcW w:w="7848" w:type="dxa"/>
          </w:tcPr>
          <w:p w14:paraId="454EC29D" w14:textId="77777777" w:rsidR="001C4C15" w:rsidRPr="00597890" w:rsidRDefault="001C4C15" w:rsidP="001C4C15">
            <w:pPr>
              <w:pStyle w:val="NoSpacing"/>
              <w:rPr>
                <w:rFonts w:ascii="dcr10" w:hAnsi="dcr10"/>
              </w:rPr>
            </w:pPr>
            <w:r w:rsidRPr="00597890">
              <w:rPr>
                <w:rFonts w:ascii="dcr10" w:hAnsi="dcr10"/>
              </w:rPr>
              <w:t>(Percent of countries)</w:t>
            </w:r>
          </w:p>
        </w:tc>
      </w:tr>
      <w:tr w:rsidR="001C4C15" w:rsidRPr="00597890" w14:paraId="56522C08" w14:textId="77777777" w:rsidTr="001C0681">
        <w:trPr>
          <w:jc w:val="center"/>
        </w:trPr>
        <w:tc>
          <w:tcPr>
            <w:tcW w:w="7848" w:type="dxa"/>
          </w:tcPr>
          <w:p w14:paraId="2D05E5EB" w14:textId="0F293F94" w:rsidR="001C4C15" w:rsidRPr="00597890" w:rsidRDefault="00B86584" w:rsidP="001C4C15">
            <w:pPr>
              <w:pStyle w:val="NoSpacing"/>
              <w:rPr>
                <w:rFonts w:ascii="dcr10" w:hAnsi="dcr10"/>
              </w:rPr>
            </w:pPr>
            <w:r w:rsidRPr="00987DDF">
              <w:rPr>
                <w:rFonts w:ascii="dcr10" w:hAnsi="dcr10"/>
                <w:noProof/>
              </w:rPr>
              <w:drawing>
                <wp:inline distT="0" distB="0" distL="0" distR="0" wp14:anchorId="3ACD5A4C" wp14:editId="730DDFA3">
                  <wp:extent cx="4846320" cy="2895209"/>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6320" cy="2895209"/>
                          </a:xfrm>
                          <a:prstGeom prst="rect">
                            <a:avLst/>
                          </a:prstGeom>
                          <a:noFill/>
                          <a:ln>
                            <a:noFill/>
                          </a:ln>
                        </pic:spPr>
                      </pic:pic>
                    </a:graphicData>
                  </a:graphic>
                </wp:inline>
              </w:drawing>
            </w:r>
          </w:p>
        </w:tc>
      </w:tr>
      <w:tr w:rsidR="001C4C15" w:rsidRPr="00597890" w14:paraId="4A2BF7A3" w14:textId="77777777" w:rsidTr="001C0681">
        <w:trPr>
          <w:trHeight w:val="738"/>
          <w:jc w:val="center"/>
        </w:trPr>
        <w:tc>
          <w:tcPr>
            <w:tcW w:w="7848" w:type="dxa"/>
            <w:vAlign w:val="center"/>
          </w:tcPr>
          <w:p w14:paraId="29700992" w14:textId="77777777" w:rsidR="001C4C15" w:rsidRPr="00597890" w:rsidRDefault="001C4C15" w:rsidP="001C4C15">
            <w:pPr>
              <w:pStyle w:val="NoSpacing"/>
              <w:jc w:val="both"/>
              <w:rPr>
                <w:rFonts w:ascii="dcr10" w:hAnsi="dcr10"/>
                <w:sz w:val="18"/>
                <w:szCs w:val="18"/>
              </w:rPr>
            </w:pPr>
            <w:r w:rsidRPr="00597890">
              <w:rPr>
                <w:rFonts w:ascii="dcr10" w:hAnsi="dcr10"/>
                <w:sz w:val="18"/>
                <w:szCs w:val="18"/>
              </w:rPr>
              <w:t>Note: Table shows the share of countries in respective country groups with an increase in government debt or the deterioration in primary balance over the denoted period. The classification of countries follows World Bank (2021).</w:t>
            </w:r>
          </w:p>
        </w:tc>
      </w:tr>
    </w:tbl>
    <w:p w14:paraId="13C7FAA4" w14:textId="77777777" w:rsidR="001C4C15" w:rsidRPr="00597890" w:rsidRDefault="001C4C15" w:rsidP="001C4C15">
      <w:pPr>
        <w:pStyle w:val="NoSpacing"/>
        <w:rPr>
          <w:rFonts w:ascii="dcr10" w:hAnsi="dcr10"/>
        </w:rPr>
      </w:pPr>
    </w:p>
    <w:p w14:paraId="79E7118F" w14:textId="77777777" w:rsidR="001C4C15" w:rsidRPr="00597890" w:rsidRDefault="001C4C15" w:rsidP="001C4C15">
      <w:pPr>
        <w:pStyle w:val="NoSpacing"/>
        <w:rPr>
          <w:rFonts w:ascii="dcr10" w:hAnsi="dcr10"/>
        </w:rPr>
      </w:pPr>
    </w:p>
    <w:p w14:paraId="30998CB1" w14:textId="77777777" w:rsidR="001C4C15" w:rsidRPr="00597890" w:rsidRDefault="001C4C15" w:rsidP="001C4C15">
      <w:pPr>
        <w:pStyle w:val="NoSpacing"/>
        <w:rPr>
          <w:rFonts w:ascii="dcr10" w:hAnsi="dcr10"/>
        </w:rPr>
      </w:pPr>
      <w:r w:rsidRPr="00597890">
        <w:rPr>
          <w:rFonts w:ascii="dcr10" w:hAnsi="dcr1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1C4C15" w:rsidRPr="00597890" w14:paraId="5F8D1802" w14:textId="77777777" w:rsidTr="001C0681">
        <w:trPr>
          <w:jc w:val="center"/>
        </w:trPr>
        <w:tc>
          <w:tcPr>
            <w:tcW w:w="8856" w:type="dxa"/>
          </w:tcPr>
          <w:p w14:paraId="48041457" w14:textId="77777777" w:rsidR="001C4C15" w:rsidRPr="00597890" w:rsidRDefault="001C4C15" w:rsidP="001C4C15">
            <w:pPr>
              <w:pStyle w:val="NoSpacing"/>
              <w:rPr>
                <w:rFonts w:ascii="dcr10" w:hAnsi="dcr10"/>
                <w:b/>
                <w:bCs/>
              </w:rPr>
            </w:pPr>
            <w:r w:rsidRPr="00597890">
              <w:rPr>
                <w:rFonts w:ascii="dcr10" w:hAnsi="dcr10"/>
                <w:b/>
                <w:bCs/>
              </w:rPr>
              <w:lastRenderedPageBreak/>
              <w:t>Table S2. Features of private debt booms</w:t>
            </w:r>
          </w:p>
        </w:tc>
      </w:tr>
      <w:tr w:rsidR="001C4C15" w:rsidRPr="00597890" w14:paraId="7D2C79E7" w14:textId="77777777" w:rsidTr="001C0681">
        <w:trPr>
          <w:jc w:val="center"/>
        </w:trPr>
        <w:tc>
          <w:tcPr>
            <w:tcW w:w="8856" w:type="dxa"/>
          </w:tcPr>
          <w:p w14:paraId="42DEECBA" w14:textId="1688DF49" w:rsidR="001C4C15" w:rsidRPr="00597890" w:rsidRDefault="00B86584" w:rsidP="001C4C15">
            <w:pPr>
              <w:pStyle w:val="NoSpacing"/>
              <w:rPr>
                <w:rFonts w:ascii="dcr10" w:hAnsi="dcr10"/>
              </w:rPr>
            </w:pPr>
            <w:r w:rsidRPr="00987DDF">
              <w:rPr>
                <w:rFonts w:ascii="dcr10" w:hAnsi="dcr10"/>
                <w:noProof/>
              </w:rPr>
              <w:drawing>
                <wp:inline distT="0" distB="0" distL="0" distR="0" wp14:anchorId="0C96C4FE" wp14:editId="0F0FFB93">
                  <wp:extent cx="5486400" cy="58312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5831280"/>
                          </a:xfrm>
                          <a:prstGeom prst="rect">
                            <a:avLst/>
                          </a:prstGeom>
                          <a:noFill/>
                          <a:ln>
                            <a:noFill/>
                          </a:ln>
                        </pic:spPr>
                      </pic:pic>
                    </a:graphicData>
                  </a:graphic>
                </wp:inline>
              </w:drawing>
            </w:r>
          </w:p>
        </w:tc>
      </w:tr>
      <w:tr w:rsidR="001C4C15" w:rsidRPr="00597890" w14:paraId="6F4312E7" w14:textId="77777777" w:rsidTr="001C0681">
        <w:trPr>
          <w:trHeight w:val="1377"/>
          <w:jc w:val="center"/>
        </w:trPr>
        <w:tc>
          <w:tcPr>
            <w:tcW w:w="8856" w:type="dxa"/>
            <w:vAlign w:val="center"/>
          </w:tcPr>
          <w:p w14:paraId="2E4D870F" w14:textId="71AEB79C" w:rsidR="001C4C15" w:rsidRPr="00597890" w:rsidRDefault="001C4C15" w:rsidP="001C4C15">
            <w:pPr>
              <w:pStyle w:val="NoSpacing"/>
              <w:jc w:val="both"/>
              <w:rPr>
                <w:rFonts w:ascii="dcr10" w:hAnsi="dcr10"/>
                <w:sz w:val="18"/>
                <w:szCs w:val="18"/>
              </w:rPr>
            </w:pPr>
            <w:r w:rsidRPr="00597890">
              <w:rPr>
                <w:rFonts w:ascii="dcr10" w:hAnsi="dcr10"/>
                <w:sz w:val="18"/>
                <w:szCs w:val="18"/>
              </w:rPr>
              <w:t xml:space="preserve">Note: Table shows medians, as well as interquartile ranges (i.e., two numbers in brackets), based on </w:t>
            </w:r>
            <w:r w:rsidR="0076400F" w:rsidRPr="00597890">
              <w:rPr>
                <w:rFonts w:ascii="dcr10" w:hAnsi="dcr10"/>
                <w:sz w:val="18"/>
                <w:szCs w:val="18"/>
              </w:rPr>
              <w:t>51</w:t>
            </w:r>
            <w:r w:rsidR="0076400F">
              <w:rPr>
                <w:rFonts w:ascii="dcr10" w:hAnsi="dcr10"/>
                <w:sz w:val="18"/>
                <w:szCs w:val="18"/>
              </w:rPr>
              <w:t>3</w:t>
            </w:r>
            <w:r w:rsidR="0076400F" w:rsidRPr="00597890">
              <w:rPr>
                <w:rFonts w:ascii="dcr10" w:hAnsi="dcr10"/>
                <w:sz w:val="18"/>
                <w:szCs w:val="18"/>
              </w:rPr>
              <w:t xml:space="preserve"> </w:t>
            </w:r>
            <w:r w:rsidRPr="00597890">
              <w:rPr>
                <w:rFonts w:ascii="dcr10" w:hAnsi="dcr10"/>
                <w:sz w:val="18"/>
                <w:szCs w:val="18"/>
              </w:rPr>
              <w:t xml:space="preserve">private debt booms, of which </w:t>
            </w:r>
            <w:r w:rsidR="0076400F">
              <w:rPr>
                <w:rFonts w:ascii="dcr10" w:hAnsi="dcr10"/>
                <w:sz w:val="18"/>
                <w:szCs w:val="18"/>
              </w:rPr>
              <w:t>99</w:t>
            </w:r>
            <w:r w:rsidR="0076400F" w:rsidRPr="00597890">
              <w:rPr>
                <w:rFonts w:ascii="dcr10" w:hAnsi="dcr10"/>
                <w:sz w:val="18"/>
                <w:szCs w:val="18"/>
              </w:rPr>
              <w:t xml:space="preserve"> </w:t>
            </w:r>
            <w:r w:rsidR="00104F73">
              <w:rPr>
                <w:rFonts w:ascii="dcr10" w:hAnsi="dcr10"/>
                <w:sz w:val="18"/>
                <w:szCs w:val="18"/>
              </w:rPr>
              <w:t xml:space="preserve">debt </w:t>
            </w:r>
            <w:r w:rsidRPr="00597890">
              <w:rPr>
                <w:rFonts w:ascii="dcr10" w:hAnsi="dcr10"/>
                <w:sz w:val="18"/>
                <w:szCs w:val="18"/>
              </w:rPr>
              <w:t xml:space="preserve">booms are in advanced economies and </w:t>
            </w:r>
            <w:r w:rsidR="0076400F" w:rsidRPr="00597890">
              <w:rPr>
                <w:rFonts w:ascii="dcr10" w:hAnsi="dcr10"/>
                <w:sz w:val="18"/>
                <w:szCs w:val="18"/>
              </w:rPr>
              <w:t>41</w:t>
            </w:r>
            <w:r w:rsidR="0076400F">
              <w:rPr>
                <w:rFonts w:ascii="dcr10" w:hAnsi="dcr10"/>
                <w:sz w:val="18"/>
                <w:szCs w:val="18"/>
              </w:rPr>
              <w:t>4</w:t>
            </w:r>
            <w:r w:rsidR="0076400F" w:rsidRPr="00597890">
              <w:rPr>
                <w:rFonts w:ascii="dcr10" w:hAnsi="dcr10"/>
                <w:sz w:val="18"/>
                <w:szCs w:val="18"/>
              </w:rPr>
              <w:t xml:space="preserve"> </w:t>
            </w:r>
            <w:r w:rsidRPr="00597890">
              <w:rPr>
                <w:rFonts w:ascii="dcr10" w:hAnsi="dcr10"/>
                <w:sz w:val="18"/>
                <w:szCs w:val="18"/>
              </w:rPr>
              <w:t xml:space="preserve">are in EMDEs. Amplitude is the trough-to-peak change in the private debt-to-GDP ratio during a private debt boom. Speed is the ratio of the amplitude to the duration. *, **, and *** denote that medians between advanced economies and EMDEs in all debt booms, and between completed and ongoing booms or between completed </w:t>
            </w:r>
            <w:r w:rsidR="00C33F9A">
              <w:rPr>
                <w:rFonts w:ascii="dcr10" w:hAnsi="dcr10"/>
                <w:sz w:val="18"/>
                <w:szCs w:val="18"/>
              </w:rPr>
              <w:t xml:space="preserve">debt </w:t>
            </w:r>
            <w:r w:rsidRPr="00597890">
              <w:rPr>
                <w:rFonts w:ascii="dcr10" w:hAnsi="dcr10"/>
                <w:sz w:val="18"/>
                <w:szCs w:val="18"/>
              </w:rPr>
              <w:t>booms with and without crises in respective country groups, are statistically significantly different at the 10 percent, 5 percent, and 1 percent levels, respectively.</w:t>
            </w:r>
          </w:p>
        </w:tc>
      </w:tr>
    </w:tbl>
    <w:p w14:paraId="7B391A8E" w14:textId="77777777" w:rsidR="001C4C15" w:rsidRPr="00597890" w:rsidRDefault="001C4C15" w:rsidP="001C4C15">
      <w:pPr>
        <w:pStyle w:val="NoSpacing"/>
        <w:rPr>
          <w:rFonts w:ascii="dcr10" w:hAnsi="dcr10"/>
        </w:rPr>
      </w:pPr>
    </w:p>
    <w:p w14:paraId="58BCB67D" w14:textId="77777777" w:rsidR="001C4C15" w:rsidRPr="00597890" w:rsidRDefault="001C4C15" w:rsidP="001C4C15">
      <w:pPr>
        <w:pStyle w:val="NoSpacing"/>
        <w:rPr>
          <w:rFonts w:ascii="dcr10" w:hAnsi="dcr10"/>
        </w:rPr>
      </w:pPr>
    </w:p>
    <w:p w14:paraId="5AB1D1D2" w14:textId="77777777" w:rsidR="001C4C15" w:rsidRPr="00597890" w:rsidRDefault="001C4C15" w:rsidP="001C4C15">
      <w:pPr>
        <w:pStyle w:val="NoSpacing"/>
        <w:rPr>
          <w:rFonts w:ascii="dcr10" w:hAnsi="dcr10"/>
        </w:rPr>
      </w:pPr>
      <w:r w:rsidRPr="00597890">
        <w:rPr>
          <w:rFonts w:ascii="dcr10" w:hAnsi="dcr1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1C4C15" w:rsidRPr="00597890" w14:paraId="6F0F8EA7" w14:textId="77777777" w:rsidTr="001C0681">
        <w:trPr>
          <w:jc w:val="center"/>
        </w:trPr>
        <w:tc>
          <w:tcPr>
            <w:tcW w:w="8856" w:type="dxa"/>
          </w:tcPr>
          <w:p w14:paraId="79A94D83" w14:textId="77777777" w:rsidR="001C4C15" w:rsidRPr="00597890" w:rsidRDefault="001C4C15" w:rsidP="001C4C15">
            <w:pPr>
              <w:pStyle w:val="NoSpacing"/>
              <w:rPr>
                <w:rFonts w:ascii="dcr10" w:hAnsi="dcr10"/>
                <w:b/>
                <w:bCs/>
              </w:rPr>
            </w:pPr>
            <w:r w:rsidRPr="00597890">
              <w:rPr>
                <w:rFonts w:ascii="dcr10" w:hAnsi="dcr10"/>
                <w:b/>
                <w:bCs/>
              </w:rPr>
              <w:lastRenderedPageBreak/>
              <w:t>Table S3. Features of total debt booms</w:t>
            </w:r>
          </w:p>
        </w:tc>
      </w:tr>
      <w:tr w:rsidR="001C4C15" w:rsidRPr="00597890" w14:paraId="3A45D2EB" w14:textId="77777777" w:rsidTr="001C0681">
        <w:trPr>
          <w:jc w:val="center"/>
        </w:trPr>
        <w:tc>
          <w:tcPr>
            <w:tcW w:w="8856" w:type="dxa"/>
          </w:tcPr>
          <w:p w14:paraId="42E08472" w14:textId="51880DA3" w:rsidR="001C4C15" w:rsidRPr="00597890" w:rsidRDefault="00B86584" w:rsidP="001C4C15">
            <w:pPr>
              <w:pStyle w:val="NoSpacing"/>
              <w:rPr>
                <w:rFonts w:ascii="dcr10" w:hAnsi="dcr10"/>
              </w:rPr>
            </w:pPr>
            <w:r w:rsidRPr="00987DDF">
              <w:rPr>
                <w:rFonts w:ascii="dcr10" w:hAnsi="dcr10"/>
                <w:noProof/>
              </w:rPr>
              <w:drawing>
                <wp:inline distT="0" distB="0" distL="0" distR="0" wp14:anchorId="266C7491" wp14:editId="29C0B4EC">
                  <wp:extent cx="5486400" cy="583128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5831280"/>
                          </a:xfrm>
                          <a:prstGeom prst="rect">
                            <a:avLst/>
                          </a:prstGeom>
                          <a:noFill/>
                          <a:ln>
                            <a:noFill/>
                          </a:ln>
                        </pic:spPr>
                      </pic:pic>
                    </a:graphicData>
                  </a:graphic>
                </wp:inline>
              </w:drawing>
            </w:r>
          </w:p>
        </w:tc>
      </w:tr>
      <w:tr w:rsidR="001C4C15" w:rsidRPr="00597890" w14:paraId="1A03CBBF" w14:textId="77777777" w:rsidTr="001C0681">
        <w:trPr>
          <w:trHeight w:val="1377"/>
          <w:jc w:val="center"/>
        </w:trPr>
        <w:tc>
          <w:tcPr>
            <w:tcW w:w="8856" w:type="dxa"/>
            <w:vAlign w:val="center"/>
          </w:tcPr>
          <w:p w14:paraId="23B9627B" w14:textId="0AA3388C" w:rsidR="001C4C15" w:rsidRPr="00597890" w:rsidRDefault="001C4C15" w:rsidP="001C4C15">
            <w:pPr>
              <w:pStyle w:val="NoSpacing"/>
              <w:jc w:val="both"/>
              <w:rPr>
                <w:rFonts w:ascii="dcr10" w:hAnsi="dcr10"/>
                <w:sz w:val="18"/>
                <w:szCs w:val="18"/>
              </w:rPr>
            </w:pPr>
            <w:r w:rsidRPr="00597890">
              <w:rPr>
                <w:rFonts w:ascii="dcr10" w:hAnsi="dcr10"/>
                <w:sz w:val="18"/>
                <w:szCs w:val="18"/>
              </w:rPr>
              <w:t xml:space="preserve">Note: Table shows medians, as well as interquartile ranges (i.e., two numbers in brackets), based on 448 total debt booms, of which </w:t>
            </w:r>
            <w:r w:rsidR="0076400F" w:rsidRPr="00597890">
              <w:rPr>
                <w:rFonts w:ascii="dcr10" w:hAnsi="dcr10"/>
                <w:sz w:val="18"/>
                <w:szCs w:val="18"/>
              </w:rPr>
              <w:t>9</w:t>
            </w:r>
            <w:r w:rsidR="0076400F">
              <w:rPr>
                <w:rFonts w:ascii="dcr10" w:hAnsi="dcr10"/>
                <w:sz w:val="18"/>
                <w:szCs w:val="18"/>
              </w:rPr>
              <w:t>0</w:t>
            </w:r>
            <w:r w:rsidR="0076400F" w:rsidRPr="00597890">
              <w:rPr>
                <w:rFonts w:ascii="dcr10" w:hAnsi="dcr10"/>
                <w:sz w:val="18"/>
                <w:szCs w:val="18"/>
              </w:rPr>
              <w:t xml:space="preserve"> </w:t>
            </w:r>
            <w:r w:rsidR="00E04A43">
              <w:rPr>
                <w:rFonts w:ascii="dcr10" w:hAnsi="dcr10"/>
                <w:sz w:val="18"/>
                <w:szCs w:val="18"/>
              </w:rPr>
              <w:t xml:space="preserve">debt </w:t>
            </w:r>
            <w:r w:rsidRPr="00597890">
              <w:rPr>
                <w:rFonts w:ascii="dcr10" w:hAnsi="dcr10"/>
                <w:sz w:val="18"/>
                <w:szCs w:val="18"/>
              </w:rPr>
              <w:t xml:space="preserve">booms are in advanced economies and </w:t>
            </w:r>
            <w:r w:rsidR="0076400F" w:rsidRPr="00597890">
              <w:rPr>
                <w:rFonts w:ascii="dcr10" w:hAnsi="dcr10"/>
                <w:sz w:val="18"/>
                <w:szCs w:val="18"/>
              </w:rPr>
              <w:t>35</w:t>
            </w:r>
            <w:r w:rsidR="0076400F">
              <w:rPr>
                <w:rFonts w:ascii="dcr10" w:hAnsi="dcr10"/>
                <w:sz w:val="18"/>
                <w:szCs w:val="18"/>
              </w:rPr>
              <w:t>8</w:t>
            </w:r>
            <w:r w:rsidR="0076400F" w:rsidRPr="00597890">
              <w:rPr>
                <w:rFonts w:ascii="dcr10" w:hAnsi="dcr10"/>
                <w:sz w:val="18"/>
                <w:szCs w:val="18"/>
              </w:rPr>
              <w:t xml:space="preserve"> </w:t>
            </w:r>
            <w:r w:rsidRPr="00597890">
              <w:rPr>
                <w:rFonts w:ascii="dcr10" w:hAnsi="dcr10"/>
                <w:sz w:val="18"/>
                <w:szCs w:val="18"/>
              </w:rPr>
              <w:t xml:space="preserve">are in EMDEs. Amplitude is the trough-to-peak change in the total debt-to-GDP ratio during a total debt boom. Speed is the ratio of the amplitude to the duration. *, **, and *** denote that medians between advanced economies and EMDEs in all debt booms, and between completed and ongoing booms or between completed </w:t>
            </w:r>
            <w:r w:rsidR="00E04A43">
              <w:rPr>
                <w:rFonts w:ascii="dcr10" w:hAnsi="dcr10"/>
                <w:sz w:val="18"/>
                <w:szCs w:val="18"/>
              </w:rPr>
              <w:t xml:space="preserve">debt </w:t>
            </w:r>
            <w:r w:rsidRPr="00597890">
              <w:rPr>
                <w:rFonts w:ascii="dcr10" w:hAnsi="dcr10"/>
                <w:sz w:val="18"/>
                <w:szCs w:val="18"/>
              </w:rPr>
              <w:t>booms with and without crises in respective country groups, are statistically significantly different at the 10 percent, 5 percent, and 1 percent levels, respectively.</w:t>
            </w:r>
          </w:p>
        </w:tc>
      </w:tr>
    </w:tbl>
    <w:p w14:paraId="1EAC27AB" w14:textId="77777777" w:rsidR="001C4C15" w:rsidRPr="00597890" w:rsidRDefault="001C4C15" w:rsidP="001C4C15">
      <w:pPr>
        <w:pStyle w:val="NoSpacing"/>
        <w:rPr>
          <w:rFonts w:ascii="dcr10" w:hAnsi="dcr10"/>
        </w:rPr>
      </w:pPr>
    </w:p>
    <w:p w14:paraId="4D7A9753" w14:textId="77777777" w:rsidR="001C4C15" w:rsidRPr="00597890" w:rsidRDefault="001C4C15" w:rsidP="001C4C15">
      <w:pPr>
        <w:pStyle w:val="NoSpacing"/>
        <w:rPr>
          <w:rFonts w:ascii="dcr10" w:hAnsi="dcr10"/>
        </w:rPr>
      </w:pPr>
    </w:p>
    <w:p w14:paraId="730C1A93" w14:textId="77777777" w:rsidR="001C4C15" w:rsidRPr="00597890" w:rsidRDefault="001C4C15" w:rsidP="001C4C15">
      <w:pPr>
        <w:pStyle w:val="NoSpacing"/>
        <w:rPr>
          <w:rFonts w:ascii="dcr10" w:hAnsi="dcr10"/>
        </w:rPr>
      </w:pPr>
      <w:r w:rsidRPr="00597890">
        <w:rPr>
          <w:rFonts w:ascii="dcr10" w:hAnsi="dcr1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6"/>
      </w:tblGrid>
      <w:tr w:rsidR="001C4C15" w:rsidRPr="00597890" w14:paraId="2D3DB840" w14:textId="77777777" w:rsidTr="001C0681">
        <w:trPr>
          <w:jc w:val="center"/>
        </w:trPr>
        <w:tc>
          <w:tcPr>
            <w:tcW w:w="7716" w:type="dxa"/>
          </w:tcPr>
          <w:p w14:paraId="50F39F93" w14:textId="747AFB12" w:rsidR="001C4C15" w:rsidRPr="00597890" w:rsidRDefault="001C4C15" w:rsidP="001C4C15">
            <w:pPr>
              <w:pStyle w:val="NoSpacing"/>
              <w:rPr>
                <w:rFonts w:ascii="dcr10" w:hAnsi="dcr10"/>
                <w:b/>
                <w:bCs/>
              </w:rPr>
            </w:pPr>
            <w:r w:rsidRPr="00597890">
              <w:rPr>
                <w:rFonts w:ascii="dcr10" w:hAnsi="dcr10"/>
                <w:b/>
                <w:bCs/>
              </w:rPr>
              <w:lastRenderedPageBreak/>
              <w:t xml:space="preserve">Table S4. Balance sheet composition </w:t>
            </w:r>
            <w:r w:rsidR="009A4EE1" w:rsidRPr="00597890">
              <w:rPr>
                <w:rFonts w:ascii="dcr10" w:hAnsi="dcr10"/>
                <w:b/>
                <w:bCs/>
              </w:rPr>
              <w:t>during</w:t>
            </w:r>
            <w:r w:rsidRPr="00597890">
              <w:rPr>
                <w:rFonts w:ascii="dcr10" w:hAnsi="dcr10"/>
                <w:b/>
                <w:bCs/>
              </w:rPr>
              <w:t xml:space="preserve"> government debt booms</w:t>
            </w:r>
          </w:p>
        </w:tc>
      </w:tr>
      <w:tr w:rsidR="001C4C15" w:rsidRPr="00597890" w14:paraId="212EB85D" w14:textId="77777777" w:rsidTr="001C0681">
        <w:trPr>
          <w:jc w:val="center"/>
        </w:trPr>
        <w:tc>
          <w:tcPr>
            <w:tcW w:w="7716" w:type="dxa"/>
          </w:tcPr>
          <w:p w14:paraId="33D22DAB" w14:textId="7FC49D10" w:rsidR="001C4C15" w:rsidRPr="00597890" w:rsidRDefault="00B86584" w:rsidP="001C4C15">
            <w:pPr>
              <w:pStyle w:val="NoSpacing"/>
              <w:rPr>
                <w:rFonts w:ascii="dcr10" w:hAnsi="dcr10"/>
              </w:rPr>
            </w:pPr>
            <w:r w:rsidRPr="00987DDF">
              <w:rPr>
                <w:rFonts w:ascii="dcr10" w:hAnsi="dcr10"/>
                <w:noProof/>
              </w:rPr>
              <w:drawing>
                <wp:inline distT="0" distB="0" distL="0" distR="0" wp14:anchorId="5C671925" wp14:editId="7A3C764E">
                  <wp:extent cx="4754880" cy="2773870"/>
                  <wp:effectExtent l="0" t="0" r="762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4880" cy="2773870"/>
                          </a:xfrm>
                          <a:prstGeom prst="rect">
                            <a:avLst/>
                          </a:prstGeom>
                          <a:noFill/>
                          <a:ln>
                            <a:noFill/>
                          </a:ln>
                        </pic:spPr>
                      </pic:pic>
                    </a:graphicData>
                  </a:graphic>
                </wp:inline>
              </w:drawing>
            </w:r>
          </w:p>
        </w:tc>
      </w:tr>
      <w:tr w:rsidR="001C4C15" w:rsidRPr="00597890" w14:paraId="3D3CF6D6" w14:textId="77777777" w:rsidTr="001C0681">
        <w:trPr>
          <w:trHeight w:val="1116"/>
          <w:jc w:val="center"/>
        </w:trPr>
        <w:tc>
          <w:tcPr>
            <w:tcW w:w="7716" w:type="dxa"/>
            <w:vAlign w:val="center"/>
          </w:tcPr>
          <w:p w14:paraId="186386F4" w14:textId="77777777" w:rsidR="001C4C15" w:rsidRPr="00597890" w:rsidRDefault="001C4C15" w:rsidP="001C4C15">
            <w:pPr>
              <w:pStyle w:val="NoSpacing"/>
              <w:jc w:val="both"/>
              <w:rPr>
                <w:rFonts w:ascii="dcr10" w:hAnsi="dcr10"/>
                <w:sz w:val="18"/>
                <w:szCs w:val="18"/>
              </w:rPr>
            </w:pPr>
            <w:r w:rsidRPr="00597890">
              <w:rPr>
                <w:rFonts w:ascii="dcr10" w:hAnsi="dcr10"/>
                <w:sz w:val="18"/>
                <w:szCs w:val="18"/>
              </w:rPr>
              <w:t>Note: Table shows medians, as well as interquartile ranges (i.e., two numbers in brackets), of indicators on balance sheet composition of debt across all government debt booms in respective country groups. Initial and changes refer to, respectively, the level at the beginning, or trough, of debt booms and average annual changes during debt booms. ** and *** denote that medians are statistically significantly different between advanced economies and EMDEs at the 5 percent and 1 percent levels, respectively.</w:t>
            </w:r>
          </w:p>
        </w:tc>
      </w:tr>
    </w:tbl>
    <w:p w14:paraId="4724DB8A" w14:textId="13FD197C" w:rsidR="001C4C15" w:rsidRPr="00597890" w:rsidRDefault="001C4C15" w:rsidP="001C4C15">
      <w:pPr>
        <w:pStyle w:val="NoSpacing"/>
        <w:rPr>
          <w:rFonts w:ascii="dcr10" w:hAnsi="dcr10"/>
        </w:rPr>
      </w:pPr>
    </w:p>
    <w:p w14:paraId="7D230BFD" w14:textId="448FE13F" w:rsidR="002C123D" w:rsidRPr="00597890" w:rsidRDefault="002C123D" w:rsidP="001C4C15">
      <w:pPr>
        <w:pStyle w:val="NoSpacing"/>
        <w:rPr>
          <w:rFonts w:ascii="dcr10" w:hAnsi="dcr10"/>
        </w:rPr>
      </w:pPr>
    </w:p>
    <w:p w14:paraId="5EC0FCEF" w14:textId="77777777" w:rsidR="002C123D" w:rsidRPr="00597890" w:rsidRDefault="002C123D" w:rsidP="001C4C15">
      <w:pPr>
        <w:pStyle w:val="NoSpacing"/>
        <w:rPr>
          <w:rFonts w:ascii="dcr10" w:hAnsi="dcr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1C4C15" w:rsidRPr="00597890" w14:paraId="50249A08" w14:textId="77777777" w:rsidTr="001C0681">
        <w:trPr>
          <w:jc w:val="center"/>
        </w:trPr>
        <w:tc>
          <w:tcPr>
            <w:tcW w:w="9288" w:type="dxa"/>
          </w:tcPr>
          <w:p w14:paraId="68D50B6F" w14:textId="0B6A43DA" w:rsidR="001C4C15" w:rsidRPr="00597890" w:rsidRDefault="001C4C15" w:rsidP="001C4C15">
            <w:pPr>
              <w:pStyle w:val="NoSpacing"/>
              <w:rPr>
                <w:rFonts w:ascii="dcr10" w:hAnsi="dcr10"/>
                <w:b/>
                <w:bCs/>
              </w:rPr>
            </w:pPr>
            <w:r w:rsidRPr="00597890">
              <w:rPr>
                <w:rFonts w:ascii="dcr10" w:hAnsi="dcr10"/>
                <w:b/>
                <w:bCs/>
              </w:rPr>
              <w:t xml:space="preserve">Table S5. Balance sheet composition </w:t>
            </w:r>
            <w:r w:rsidR="009A4EE1" w:rsidRPr="00597890">
              <w:rPr>
                <w:rFonts w:ascii="dcr10" w:hAnsi="dcr10"/>
                <w:b/>
                <w:bCs/>
              </w:rPr>
              <w:t>during</w:t>
            </w:r>
            <w:r w:rsidRPr="00597890">
              <w:rPr>
                <w:rFonts w:ascii="dcr10" w:hAnsi="dcr10"/>
                <w:b/>
                <w:bCs/>
              </w:rPr>
              <w:t xml:space="preserve"> government debt booms </w:t>
            </w:r>
            <w:r w:rsidR="009A4EE1" w:rsidRPr="00597890">
              <w:rPr>
                <w:rFonts w:ascii="dcr10" w:hAnsi="dcr10"/>
                <w:b/>
                <w:bCs/>
              </w:rPr>
              <w:t>(</w:t>
            </w:r>
            <w:r w:rsidRPr="00597890">
              <w:rPr>
                <w:rFonts w:ascii="dcr10" w:hAnsi="dcr10"/>
                <w:b/>
                <w:bCs/>
              </w:rPr>
              <w:t>relative to non-boom years</w:t>
            </w:r>
            <w:r w:rsidR="009A4EE1" w:rsidRPr="00597890">
              <w:rPr>
                <w:rFonts w:ascii="dcr10" w:hAnsi="dcr10"/>
                <w:b/>
                <w:bCs/>
              </w:rPr>
              <w:t>)</w:t>
            </w:r>
          </w:p>
        </w:tc>
      </w:tr>
      <w:tr w:rsidR="001C4C15" w:rsidRPr="00597890" w14:paraId="610FADCD" w14:textId="77777777" w:rsidTr="001C0681">
        <w:trPr>
          <w:jc w:val="center"/>
        </w:trPr>
        <w:tc>
          <w:tcPr>
            <w:tcW w:w="9288" w:type="dxa"/>
          </w:tcPr>
          <w:p w14:paraId="273616A6" w14:textId="637562E1" w:rsidR="001C4C15" w:rsidRPr="00597890" w:rsidRDefault="001C4C15" w:rsidP="001C4C15">
            <w:pPr>
              <w:pStyle w:val="NoSpacing"/>
              <w:rPr>
                <w:rFonts w:ascii="dcr10" w:hAnsi="dcr10"/>
              </w:rPr>
            </w:pPr>
            <w:r w:rsidRPr="00597890">
              <w:rPr>
                <w:rStyle w:val="CommentReference"/>
                <w:rFonts w:ascii="dcr10" w:hAnsi="dcr10"/>
              </w:rPr>
              <w:t xml:space="preserve"> </w:t>
            </w:r>
            <w:r w:rsidR="00B86584" w:rsidRPr="00987DDF">
              <w:rPr>
                <w:rStyle w:val="CommentReference"/>
                <w:rFonts w:ascii="dcr10" w:hAnsi="dcr10"/>
                <w:noProof/>
              </w:rPr>
              <w:drawing>
                <wp:inline distT="0" distB="0" distL="0" distR="0" wp14:anchorId="36CE4560" wp14:editId="224831FE">
                  <wp:extent cx="5760720" cy="1565507"/>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565507"/>
                          </a:xfrm>
                          <a:prstGeom prst="rect">
                            <a:avLst/>
                          </a:prstGeom>
                          <a:noFill/>
                          <a:ln>
                            <a:noFill/>
                          </a:ln>
                        </pic:spPr>
                      </pic:pic>
                    </a:graphicData>
                  </a:graphic>
                </wp:inline>
              </w:drawing>
            </w:r>
          </w:p>
        </w:tc>
      </w:tr>
      <w:tr w:rsidR="001C4C15" w:rsidRPr="00597890" w14:paraId="50C55E03" w14:textId="77777777" w:rsidTr="001C0681">
        <w:trPr>
          <w:trHeight w:val="756"/>
          <w:jc w:val="center"/>
        </w:trPr>
        <w:tc>
          <w:tcPr>
            <w:tcW w:w="9288" w:type="dxa"/>
            <w:vAlign w:val="center"/>
          </w:tcPr>
          <w:p w14:paraId="318B86F6" w14:textId="24DCD492" w:rsidR="001C4C15" w:rsidRPr="00597890" w:rsidRDefault="001C4C15" w:rsidP="001C4C15">
            <w:pPr>
              <w:pStyle w:val="NoSpacing"/>
              <w:jc w:val="both"/>
              <w:rPr>
                <w:rFonts w:ascii="dcr10" w:hAnsi="dcr10"/>
                <w:sz w:val="18"/>
                <w:szCs w:val="18"/>
              </w:rPr>
            </w:pPr>
            <w:r w:rsidRPr="00597890">
              <w:rPr>
                <w:rFonts w:ascii="dcr10" w:hAnsi="dcr10"/>
                <w:sz w:val="18"/>
                <w:szCs w:val="18"/>
              </w:rPr>
              <w:t xml:space="preserve">Note: Coefficients of estimations in which each indicator of balance sheet composition is regressed on a series of dummy variables for government debt booms started in year </w:t>
            </w:r>
            <w:r w:rsidRPr="00597890">
              <w:rPr>
                <w:rFonts w:ascii="dcr10" w:hAnsi="dcr10"/>
                <w:i/>
                <w:iCs/>
                <w:sz w:val="18"/>
                <w:szCs w:val="18"/>
              </w:rPr>
              <w:t>t</w:t>
            </w:r>
            <w:r w:rsidRPr="00597890">
              <w:rPr>
                <w:rFonts w:ascii="dcr10" w:hAnsi="dcr10"/>
                <w:sz w:val="18"/>
                <w:szCs w:val="18"/>
              </w:rPr>
              <w:t xml:space="preserve">, based on data for all countries. The numbers in bold indicate that the coefficients are statistically significant at least at the 10 percent level. </w:t>
            </w:r>
          </w:p>
        </w:tc>
      </w:tr>
    </w:tbl>
    <w:p w14:paraId="3EB48057" w14:textId="77777777" w:rsidR="001C4C15" w:rsidRPr="00597890" w:rsidRDefault="001C4C15" w:rsidP="001C4C15">
      <w:pPr>
        <w:pStyle w:val="NoSpacing"/>
        <w:rPr>
          <w:rFonts w:ascii="dcr10" w:hAnsi="dcr10"/>
        </w:rPr>
      </w:pPr>
    </w:p>
    <w:p w14:paraId="2DAC6EFC" w14:textId="77777777" w:rsidR="001C4C15" w:rsidRPr="00597890" w:rsidRDefault="001C4C15" w:rsidP="001C4C15">
      <w:pPr>
        <w:pStyle w:val="NoSpacing"/>
        <w:rPr>
          <w:rFonts w:ascii="dcr10" w:hAnsi="dcr10"/>
        </w:rPr>
      </w:pPr>
    </w:p>
    <w:p w14:paraId="4B2A8A2B" w14:textId="77777777" w:rsidR="001C4C15" w:rsidRPr="00597890" w:rsidRDefault="001C4C15" w:rsidP="001C4C15">
      <w:pPr>
        <w:pStyle w:val="NoSpacing"/>
        <w:rPr>
          <w:rFonts w:ascii="dcr10" w:hAnsi="dcr10"/>
        </w:rPr>
      </w:pPr>
      <w:r w:rsidRPr="00597890">
        <w:rPr>
          <w:rFonts w:ascii="dcr10" w:hAnsi="dcr1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C4C15" w:rsidRPr="00597890" w14:paraId="1A15EB99" w14:textId="77777777" w:rsidTr="001C0681">
        <w:trPr>
          <w:jc w:val="center"/>
        </w:trPr>
        <w:tc>
          <w:tcPr>
            <w:tcW w:w="9360" w:type="dxa"/>
          </w:tcPr>
          <w:p w14:paraId="331A7C0E" w14:textId="3ACF3DA6" w:rsidR="001C4C15" w:rsidRPr="00597890" w:rsidRDefault="001C4C15" w:rsidP="001C4C15">
            <w:pPr>
              <w:pStyle w:val="NoSpacing"/>
              <w:rPr>
                <w:rFonts w:ascii="dcr10" w:hAnsi="dcr10"/>
              </w:rPr>
            </w:pPr>
            <w:r w:rsidRPr="00597890">
              <w:rPr>
                <w:rFonts w:ascii="dcr10" w:hAnsi="dcr10"/>
                <w:b/>
                <w:bCs/>
              </w:rPr>
              <w:lastRenderedPageBreak/>
              <w:t>Table S6. Balance sheet composition</w:t>
            </w:r>
            <w:r w:rsidRPr="00182156">
              <w:rPr>
                <w:rFonts w:ascii="dcr10" w:hAnsi="dcr10"/>
                <w:b/>
                <w:bCs/>
              </w:rPr>
              <w:t xml:space="preserve"> </w:t>
            </w:r>
            <w:r w:rsidR="009A4EE1" w:rsidRPr="00182156">
              <w:rPr>
                <w:rFonts w:ascii="dcr10" w:hAnsi="dcr10"/>
                <w:b/>
                <w:bCs/>
              </w:rPr>
              <w:t>during</w:t>
            </w:r>
            <w:r w:rsidRPr="00597890">
              <w:rPr>
                <w:rFonts w:ascii="dcr10" w:hAnsi="dcr10"/>
                <w:b/>
                <w:bCs/>
              </w:rPr>
              <w:t xml:space="preserve"> government debt booms </w:t>
            </w:r>
            <w:r w:rsidR="00EC57C2" w:rsidRPr="00597890">
              <w:rPr>
                <w:rFonts w:ascii="dcr10" w:hAnsi="dcr10"/>
                <w:b/>
                <w:bCs/>
              </w:rPr>
              <w:t>(crises vs. no</w:t>
            </w:r>
            <w:r w:rsidR="009D57CB" w:rsidRPr="00597890">
              <w:rPr>
                <w:rFonts w:ascii="dcr10" w:hAnsi="dcr10"/>
                <w:b/>
                <w:bCs/>
              </w:rPr>
              <w:t>n-</w:t>
            </w:r>
            <w:r w:rsidR="00EC57C2" w:rsidRPr="00597890">
              <w:rPr>
                <w:rFonts w:ascii="dcr10" w:hAnsi="dcr10"/>
                <w:b/>
                <w:bCs/>
              </w:rPr>
              <w:t>crises)</w:t>
            </w:r>
          </w:p>
        </w:tc>
      </w:tr>
      <w:tr w:rsidR="001C4C15" w:rsidRPr="00597890" w14:paraId="3F2AF62A" w14:textId="77777777" w:rsidTr="001C0681">
        <w:trPr>
          <w:jc w:val="center"/>
        </w:trPr>
        <w:tc>
          <w:tcPr>
            <w:tcW w:w="9360" w:type="dxa"/>
          </w:tcPr>
          <w:p w14:paraId="55FBFD22" w14:textId="1D7ECF1D" w:rsidR="001C4C15" w:rsidRPr="00597890" w:rsidRDefault="00B86584" w:rsidP="001C4C15">
            <w:pPr>
              <w:pStyle w:val="NoSpacing"/>
              <w:rPr>
                <w:rFonts w:ascii="dcr10" w:hAnsi="dcr10"/>
              </w:rPr>
            </w:pPr>
            <w:r w:rsidRPr="00987DDF">
              <w:rPr>
                <w:rFonts w:ascii="dcr10" w:hAnsi="dcr10"/>
                <w:noProof/>
              </w:rPr>
              <w:drawing>
                <wp:inline distT="0" distB="0" distL="0" distR="0" wp14:anchorId="7670EB51" wp14:editId="65006721">
                  <wp:extent cx="5852160" cy="2647674"/>
                  <wp:effectExtent l="0" t="0" r="0" b="63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2160" cy="2647674"/>
                          </a:xfrm>
                          <a:prstGeom prst="rect">
                            <a:avLst/>
                          </a:prstGeom>
                          <a:noFill/>
                          <a:ln>
                            <a:noFill/>
                          </a:ln>
                        </pic:spPr>
                      </pic:pic>
                    </a:graphicData>
                  </a:graphic>
                </wp:inline>
              </w:drawing>
            </w:r>
          </w:p>
        </w:tc>
      </w:tr>
      <w:tr w:rsidR="001C4C15" w:rsidRPr="00597890" w14:paraId="23E1BBFD" w14:textId="77777777" w:rsidTr="001C0681">
        <w:trPr>
          <w:trHeight w:val="1125"/>
          <w:jc w:val="center"/>
        </w:trPr>
        <w:tc>
          <w:tcPr>
            <w:tcW w:w="9360" w:type="dxa"/>
            <w:vAlign w:val="center"/>
          </w:tcPr>
          <w:p w14:paraId="6E3289EA" w14:textId="77777777" w:rsidR="001C4C15" w:rsidRPr="00597890" w:rsidRDefault="001C4C15" w:rsidP="001C4C15">
            <w:pPr>
              <w:pStyle w:val="NoSpacing"/>
              <w:jc w:val="both"/>
              <w:rPr>
                <w:rFonts w:ascii="dcr10" w:hAnsi="dcr10"/>
                <w:sz w:val="18"/>
                <w:szCs w:val="18"/>
              </w:rPr>
            </w:pPr>
            <w:r w:rsidRPr="00597890">
              <w:rPr>
                <w:rFonts w:ascii="dcr10" w:hAnsi="dcr10"/>
                <w:sz w:val="18"/>
                <w:szCs w:val="18"/>
              </w:rPr>
              <w:t>Note: Table shows medians, as well as interquartile ranges (i.e., two numbers in brackets), of indicators on balance sheet composition of debt across completed government debt booms with and without crises in respective country groups. The statistics are not reported, if there is only one data point. Initial and changes refer to, respectively, the level at the beginning, or trough, of debt booms and average annual changes during debt booms. * denotes that medians are statistically significantly different between booms with and without crises in respective country groups at the 10 percent level.</w:t>
            </w:r>
          </w:p>
        </w:tc>
      </w:tr>
    </w:tbl>
    <w:p w14:paraId="25F594A1" w14:textId="6769A620" w:rsidR="001C4C15" w:rsidRPr="00597890" w:rsidRDefault="001C4C15" w:rsidP="001C4C15">
      <w:pPr>
        <w:pStyle w:val="NoSpacing"/>
        <w:rPr>
          <w:rFonts w:ascii="dcr10" w:hAnsi="dcr10"/>
        </w:rPr>
      </w:pPr>
    </w:p>
    <w:p w14:paraId="16A9DCC3" w14:textId="77777777" w:rsidR="00244D53" w:rsidRPr="00597890" w:rsidRDefault="00244D53" w:rsidP="001C4C15">
      <w:pPr>
        <w:pStyle w:val="NoSpacing"/>
        <w:rPr>
          <w:rFonts w:ascii="dcr10" w:hAnsi="dcr10"/>
        </w:rPr>
      </w:pPr>
    </w:p>
    <w:p w14:paraId="731B9A40" w14:textId="77777777" w:rsidR="00244D53" w:rsidRPr="00597890" w:rsidRDefault="00244D53" w:rsidP="001C4C15">
      <w:pPr>
        <w:pStyle w:val="NoSpacing"/>
        <w:rPr>
          <w:rFonts w:ascii="dcr10" w:hAnsi="dcr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44D53" w:rsidRPr="00597890" w14:paraId="388E9234" w14:textId="77777777" w:rsidTr="001C0681">
        <w:trPr>
          <w:jc w:val="center"/>
        </w:trPr>
        <w:tc>
          <w:tcPr>
            <w:tcW w:w="9360" w:type="dxa"/>
          </w:tcPr>
          <w:p w14:paraId="632C60E8" w14:textId="4F2C5562" w:rsidR="00244D53" w:rsidRPr="00597890" w:rsidRDefault="00244D53" w:rsidP="00200CE5">
            <w:pPr>
              <w:pStyle w:val="NoSpacing"/>
              <w:rPr>
                <w:rFonts w:ascii="dcr10" w:hAnsi="dcr10"/>
                <w:b/>
                <w:bCs/>
              </w:rPr>
            </w:pPr>
            <w:r w:rsidRPr="00597890">
              <w:rPr>
                <w:rFonts w:ascii="dcr10" w:hAnsi="dcr10"/>
                <w:b/>
                <w:bCs/>
              </w:rPr>
              <w:t xml:space="preserve">Table S7. Balance sheet composition </w:t>
            </w:r>
            <w:r w:rsidR="009A4EE1" w:rsidRPr="00597890">
              <w:rPr>
                <w:rFonts w:ascii="dcr10" w:hAnsi="dcr10"/>
                <w:b/>
                <w:bCs/>
              </w:rPr>
              <w:t>during</w:t>
            </w:r>
            <w:r w:rsidRPr="00597890">
              <w:rPr>
                <w:rFonts w:ascii="dcr10" w:hAnsi="dcr10"/>
                <w:b/>
                <w:bCs/>
              </w:rPr>
              <w:t xml:space="preserve"> government debt booms</w:t>
            </w:r>
            <w:r w:rsidR="00EC57C2" w:rsidRPr="00597890">
              <w:rPr>
                <w:rFonts w:ascii="dcr10" w:hAnsi="dcr10"/>
                <w:b/>
                <w:bCs/>
              </w:rPr>
              <w:t xml:space="preserve"> (completed vs. ongoing booms)</w:t>
            </w:r>
          </w:p>
        </w:tc>
      </w:tr>
      <w:tr w:rsidR="00244D53" w:rsidRPr="00597890" w14:paraId="16AA50EA" w14:textId="77777777" w:rsidTr="001C0681">
        <w:trPr>
          <w:jc w:val="center"/>
        </w:trPr>
        <w:tc>
          <w:tcPr>
            <w:tcW w:w="9360" w:type="dxa"/>
          </w:tcPr>
          <w:p w14:paraId="508B9A46" w14:textId="6EEC2BB1" w:rsidR="00244D53" w:rsidRPr="00597890" w:rsidRDefault="00B86584" w:rsidP="00200CE5">
            <w:pPr>
              <w:pStyle w:val="NoSpacing"/>
              <w:rPr>
                <w:rFonts w:ascii="dcr10" w:hAnsi="dcr10"/>
              </w:rPr>
            </w:pPr>
            <w:r w:rsidRPr="00987DDF">
              <w:rPr>
                <w:rFonts w:ascii="dcr10" w:hAnsi="dcr10"/>
                <w:noProof/>
              </w:rPr>
              <w:drawing>
                <wp:inline distT="0" distB="0" distL="0" distR="0" wp14:anchorId="5D6053E0" wp14:editId="537E92D0">
                  <wp:extent cx="5852160" cy="2647674"/>
                  <wp:effectExtent l="0" t="0" r="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160" cy="2647674"/>
                          </a:xfrm>
                          <a:prstGeom prst="rect">
                            <a:avLst/>
                          </a:prstGeom>
                          <a:noFill/>
                          <a:ln>
                            <a:noFill/>
                          </a:ln>
                        </pic:spPr>
                      </pic:pic>
                    </a:graphicData>
                  </a:graphic>
                </wp:inline>
              </w:drawing>
            </w:r>
          </w:p>
        </w:tc>
      </w:tr>
      <w:tr w:rsidR="00244D53" w:rsidRPr="00597890" w14:paraId="4D2935E6" w14:textId="77777777" w:rsidTr="001C0681">
        <w:trPr>
          <w:trHeight w:val="927"/>
          <w:jc w:val="center"/>
        </w:trPr>
        <w:tc>
          <w:tcPr>
            <w:tcW w:w="9360" w:type="dxa"/>
            <w:vAlign w:val="center"/>
          </w:tcPr>
          <w:p w14:paraId="1EEEE08D" w14:textId="038E1B3A" w:rsidR="00244D53" w:rsidRPr="00597890" w:rsidRDefault="00244D53" w:rsidP="00200CE5">
            <w:pPr>
              <w:pStyle w:val="NoSpacing"/>
              <w:jc w:val="both"/>
              <w:rPr>
                <w:rFonts w:ascii="dcr10" w:hAnsi="dcr10"/>
                <w:sz w:val="18"/>
                <w:szCs w:val="18"/>
              </w:rPr>
            </w:pPr>
            <w:r w:rsidRPr="00597890">
              <w:rPr>
                <w:rFonts w:ascii="dcr10" w:hAnsi="dcr10"/>
                <w:sz w:val="18"/>
                <w:szCs w:val="18"/>
              </w:rPr>
              <w:t>Note: Table shows medians, as well as interquartile ranges (i.e., two numbers in brackets), of indicators on balance sheet composition of debt across completed government debt booms and ongoing booms in respective country groups. The statistics are not reported, if there is only one data point. Initial and changes refer to, respectively, the level at the beginning, or trough, of debt booms and average annual changes during debt booms</w:t>
            </w:r>
          </w:p>
        </w:tc>
      </w:tr>
    </w:tbl>
    <w:p w14:paraId="5953B569" w14:textId="6E164B0D" w:rsidR="001C4C15" w:rsidRPr="00597890" w:rsidRDefault="001C4C15" w:rsidP="001C4C15">
      <w:pPr>
        <w:pStyle w:val="NoSpacing"/>
        <w:rPr>
          <w:rFonts w:ascii="dcr10" w:hAnsi="dcr10"/>
        </w:rPr>
      </w:pPr>
      <w:r w:rsidRPr="00597890">
        <w:rPr>
          <w:rFonts w:ascii="dcr10" w:hAnsi="dcr10"/>
        </w:rPr>
        <w:br w:type="page"/>
      </w:r>
    </w:p>
    <w:p w14:paraId="7B635D93" w14:textId="77777777" w:rsidR="001C4C15" w:rsidRPr="00597890" w:rsidRDefault="001C4C15" w:rsidP="001C4C15">
      <w:pPr>
        <w:pStyle w:val="NoSpacing"/>
        <w:rPr>
          <w:rFonts w:ascii="dcr10" w:hAnsi="dcr10"/>
        </w:rPr>
        <w:sectPr w:rsidR="001C4C15" w:rsidRPr="0059789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B31B2" w:rsidRPr="00597890" w14:paraId="00281E11" w14:textId="29C1DFDB" w:rsidTr="001C0681">
        <w:trPr>
          <w:jc w:val="center"/>
        </w:trPr>
        <w:tc>
          <w:tcPr>
            <w:tcW w:w="4675" w:type="dxa"/>
          </w:tcPr>
          <w:p w14:paraId="35685F98" w14:textId="77777777" w:rsidR="005B31B2" w:rsidRPr="00597890" w:rsidRDefault="005B31B2" w:rsidP="005B31B2">
            <w:pPr>
              <w:pStyle w:val="NoSpacing"/>
              <w:rPr>
                <w:rFonts w:ascii="dcr10" w:hAnsi="dcr10"/>
                <w:b/>
                <w:bCs/>
              </w:rPr>
            </w:pPr>
            <w:r w:rsidRPr="00597890">
              <w:rPr>
                <w:rFonts w:ascii="dcr10" w:hAnsi="dcr10"/>
                <w:b/>
                <w:bCs/>
              </w:rPr>
              <w:lastRenderedPageBreak/>
              <w:t>Figure S1. Long-term interest rates</w:t>
            </w:r>
          </w:p>
        </w:tc>
        <w:tc>
          <w:tcPr>
            <w:tcW w:w="4675" w:type="dxa"/>
          </w:tcPr>
          <w:p w14:paraId="0DB599DF" w14:textId="3BCA0B80" w:rsidR="005B31B2" w:rsidRPr="00597890" w:rsidRDefault="005B31B2" w:rsidP="005B31B2">
            <w:pPr>
              <w:pStyle w:val="NoSpacing"/>
              <w:rPr>
                <w:rFonts w:ascii="dcr10" w:hAnsi="dcr10"/>
                <w:b/>
                <w:bCs/>
              </w:rPr>
            </w:pPr>
            <w:r w:rsidRPr="00597890">
              <w:rPr>
                <w:rFonts w:ascii="dcr10" w:hAnsi="dcr10"/>
                <w:b/>
                <w:bCs/>
              </w:rPr>
              <w:t xml:space="preserve">Figure S2. Interest payments and interest rates in </w:t>
            </w:r>
            <w:proofErr w:type="gramStart"/>
            <w:r w:rsidRPr="00597890">
              <w:rPr>
                <w:rFonts w:ascii="dcr10" w:hAnsi="dcr10"/>
                <w:b/>
                <w:bCs/>
              </w:rPr>
              <w:t>commodity-exporting</w:t>
            </w:r>
            <w:proofErr w:type="gramEnd"/>
            <w:r w:rsidRPr="00597890">
              <w:rPr>
                <w:rFonts w:ascii="dcr10" w:hAnsi="dcr10"/>
                <w:b/>
                <w:bCs/>
              </w:rPr>
              <w:t xml:space="preserve"> EMDEs</w:t>
            </w:r>
          </w:p>
        </w:tc>
      </w:tr>
      <w:tr w:rsidR="005B31B2" w:rsidRPr="00597890" w14:paraId="5427D866" w14:textId="095D7C0A" w:rsidTr="001C0681">
        <w:trPr>
          <w:jc w:val="center"/>
        </w:trPr>
        <w:tc>
          <w:tcPr>
            <w:tcW w:w="4675" w:type="dxa"/>
          </w:tcPr>
          <w:p w14:paraId="1E162F78" w14:textId="404CEB35" w:rsidR="005B31B2" w:rsidRPr="00597890" w:rsidRDefault="00B86584" w:rsidP="005B31B2">
            <w:pPr>
              <w:pStyle w:val="NoSpacing"/>
              <w:rPr>
                <w:rFonts w:ascii="dcr10" w:hAnsi="dcr10"/>
              </w:rPr>
            </w:pPr>
            <w:r w:rsidRPr="00987DDF">
              <w:rPr>
                <w:rFonts w:ascii="dcr10" w:hAnsi="dcr10"/>
                <w:noProof/>
              </w:rPr>
              <w:drawing>
                <wp:inline distT="0" distB="0" distL="0" distR="0" wp14:anchorId="5996232D" wp14:editId="6FD065BD">
                  <wp:extent cx="2743200" cy="2052854"/>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3200" cy="2052854"/>
                          </a:xfrm>
                          <a:prstGeom prst="rect">
                            <a:avLst/>
                          </a:prstGeom>
                          <a:noFill/>
                          <a:ln>
                            <a:noFill/>
                          </a:ln>
                        </pic:spPr>
                      </pic:pic>
                    </a:graphicData>
                  </a:graphic>
                </wp:inline>
              </w:drawing>
            </w:r>
          </w:p>
        </w:tc>
        <w:tc>
          <w:tcPr>
            <w:tcW w:w="4675" w:type="dxa"/>
          </w:tcPr>
          <w:p w14:paraId="626C36DD" w14:textId="61E8249F" w:rsidR="005B31B2" w:rsidRPr="00597890" w:rsidRDefault="00B86584" w:rsidP="005B31B2">
            <w:pPr>
              <w:pStyle w:val="NoSpacing"/>
              <w:rPr>
                <w:rFonts w:ascii="dcr10" w:hAnsi="dcr10"/>
                <w:noProof/>
              </w:rPr>
            </w:pPr>
            <w:r w:rsidRPr="00987DDF">
              <w:rPr>
                <w:rFonts w:ascii="dcr10" w:hAnsi="dcr10"/>
                <w:noProof/>
              </w:rPr>
              <w:drawing>
                <wp:inline distT="0" distB="0" distL="0" distR="0" wp14:anchorId="7ADC0E73" wp14:editId="67234337">
                  <wp:extent cx="2743200" cy="2052854"/>
                  <wp:effectExtent l="0" t="0" r="0" b="508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2052854"/>
                          </a:xfrm>
                          <a:prstGeom prst="rect">
                            <a:avLst/>
                          </a:prstGeom>
                          <a:noFill/>
                          <a:ln>
                            <a:noFill/>
                          </a:ln>
                        </pic:spPr>
                      </pic:pic>
                    </a:graphicData>
                  </a:graphic>
                </wp:inline>
              </w:drawing>
            </w:r>
          </w:p>
        </w:tc>
      </w:tr>
      <w:tr w:rsidR="005B31B2" w:rsidRPr="00597890" w14:paraId="630CDD62" w14:textId="3CE1E0EB" w:rsidTr="001C0681">
        <w:trPr>
          <w:trHeight w:val="1962"/>
          <w:jc w:val="center"/>
        </w:trPr>
        <w:tc>
          <w:tcPr>
            <w:tcW w:w="4675" w:type="dxa"/>
          </w:tcPr>
          <w:p w14:paraId="17A5A610" w14:textId="77777777" w:rsidR="005B31B2" w:rsidRPr="00597890" w:rsidRDefault="005B31B2" w:rsidP="005B31B2">
            <w:pPr>
              <w:pStyle w:val="NoSpacing"/>
              <w:rPr>
                <w:rFonts w:ascii="dcr10" w:hAnsi="dcr10"/>
                <w:sz w:val="18"/>
                <w:szCs w:val="18"/>
              </w:rPr>
            </w:pPr>
            <w:r w:rsidRPr="00597890">
              <w:rPr>
                <w:rFonts w:ascii="dcr10" w:hAnsi="dcr10"/>
                <w:sz w:val="18"/>
                <w:szCs w:val="18"/>
              </w:rPr>
              <w:t>Source: Kose et al. (2017).</w:t>
            </w:r>
          </w:p>
          <w:p w14:paraId="48E06198" w14:textId="46D3B211" w:rsidR="005B31B2" w:rsidRPr="00597890" w:rsidRDefault="005B31B2" w:rsidP="005B31B2">
            <w:pPr>
              <w:pStyle w:val="NoSpacing"/>
              <w:jc w:val="both"/>
              <w:rPr>
                <w:rFonts w:ascii="dcr10" w:hAnsi="dcr10"/>
                <w:sz w:val="18"/>
                <w:szCs w:val="18"/>
              </w:rPr>
            </w:pPr>
            <w:r w:rsidRPr="00597890">
              <w:rPr>
                <w:rFonts w:ascii="dcr10" w:hAnsi="dcr10"/>
                <w:sz w:val="18"/>
                <w:szCs w:val="18"/>
              </w:rPr>
              <w:t>Note: Average long-term nominal government bond yields (with maturity of 10 years or close) computed with current U.S. dollar GDP as weight</w:t>
            </w:r>
            <w:r w:rsidR="00FB02D8" w:rsidRPr="00597890">
              <w:rPr>
                <w:rFonts w:ascii="dcr10" w:hAnsi="dcr10"/>
                <w:sz w:val="18"/>
                <w:szCs w:val="18"/>
              </w:rPr>
              <w:t>s</w:t>
            </w:r>
            <w:r w:rsidRPr="00597890">
              <w:rPr>
                <w:rFonts w:ascii="dcr10" w:hAnsi="dcr10"/>
                <w:sz w:val="18"/>
                <w:szCs w:val="18"/>
              </w:rPr>
              <w:t>.</w:t>
            </w:r>
          </w:p>
        </w:tc>
        <w:tc>
          <w:tcPr>
            <w:tcW w:w="4675" w:type="dxa"/>
          </w:tcPr>
          <w:p w14:paraId="00BDF3CE" w14:textId="77777777" w:rsidR="005B31B2" w:rsidRPr="00597890" w:rsidRDefault="005B31B2" w:rsidP="005B31B2">
            <w:pPr>
              <w:pStyle w:val="NoSpacing"/>
              <w:rPr>
                <w:rFonts w:ascii="dcr10" w:hAnsi="dcr10"/>
                <w:sz w:val="18"/>
                <w:szCs w:val="18"/>
              </w:rPr>
            </w:pPr>
            <w:r w:rsidRPr="00597890">
              <w:rPr>
                <w:rFonts w:ascii="dcr10" w:hAnsi="dcr10"/>
                <w:sz w:val="18"/>
                <w:szCs w:val="18"/>
              </w:rPr>
              <w:t>Sources: International Monetary Fund, Kose et al. (2017).</w:t>
            </w:r>
          </w:p>
          <w:p w14:paraId="407E6DD7" w14:textId="6BD7CD3A" w:rsidR="005B31B2" w:rsidRPr="00597890" w:rsidRDefault="005B31B2" w:rsidP="005B31B2">
            <w:pPr>
              <w:pStyle w:val="NoSpacing"/>
              <w:rPr>
                <w:rFonts w:ascii="dcr10" w:hAnsi="dcr10"/>
                <w:sz w:val="18"/>
                <w:szCs w:val="18"/>
              </w:rPr>
            </w:pPr>
            <w:r w:rsidRPr="00597890">
              <w:rPr>
                <w:rFonts w:ascii="dcr10" w:hAnsi="dcr10"/>
                <w:sz w:val="18"/>
                <w:szCs w:val="18"/>
              </w:rPr>
              <w:t xml:space="preserve">Note: Interest payments refer to net interest payments, which are computed as differences between primary balances and overall fiscal balances. Interest rates refer to long-term nominal interest rates (i.e., government bond yields with maturity of 10 years or close). Aggregates </w:t>
            </w:r>
            <w:r w:rsidR="00FB02D8" w:rsidRPr="00597890">
              <w:rPr>
                <w:rFonts w:ascii="dcr10" w:hAnsi="dcr10"/>
                <w:sz w:val="18"/>
                <w:szCs w:val="18"/>
              </w:rPr>
              <w:t xml:space="preserve">are weighted averages using </w:t>
            </w:r>
            <w:r w:rsidRPr="00597890">
              <w:rPr>
                <w:rFonts w:ascii="dcr10" w:hAnsi="dcr10"/>
                <w:sz w:val="18"/>
                <w:szCs w:val="18"/>
              </w:rPr>
              <w:t>current GDP in U.S. dollars as weight</w:t>
            </w:r>
            <w:r w:rsidR="00FB02D8" w:rsidRPr="00597890">
              <w:rPr>
                <w:rFonts w:ascii="dcr10" w:hAnsi="dcr10"/>
                <w:sz w:val="18"/>
                <w:szCs w:val="18"/>
              </w:rPr>
              <w:t>s</w:t>
            </w:r>
            <w:r w:rsidRPr="00597890">
              <w:rPr>
                <w:rFonts w:ascii="dcr10" w:hAnsi="dcr10"/>
                <w:sz w:val="18"/>
                <w:szCs w:val="18"/>
              </w:rPr>
              <w:t xml:space="preserve">. The classification of </w:t>
            </w:r>
            <w:proofErr w:type="gramStart"/>
            <w:r w:rsidRPr="00597890">
              <w:rPr>
                <w:rFonts w:ascii="dcr10" w:hAnsi="dcr10"/>
                <w:sz w:val="18"/>
                <w:szCs w:val="18"/>
              </w:rPr>
              <w:t>commodity-exporting</w:t>
            </w:r>
            <w:proofErr w:type="gramEnd"/>
            <w:r w:rsidRPr="00597890">
              <w:rPr>
                <w:rFonts w:ascii="dcr10" w:hAnsi="dcr10"/>
                <w:sz w:val="18"/>
                <w:szCs w:val="18"/>
              </w:rPr>
              <w:t xml:space="preserve"> EMDEs follows World Bank (2021).</w:t>
            </w:r>
          </w:p>
        </w:tc>
      </w:tr>
    </w:tbl>
    <w:p w14:paraId="7F95D848" w14:textId="77777777" w:rsidR="001C4C15" w:rsidRPr="00597890" w:rsidRDefault="001C4C15" w:rsidP="001C4C15">
      <w:pPr>
        <w:pStyle w:val="NoSpacing"/>
        <w:rPr>
          <w:rFonts w:ascii="dcr10" w:hAnsi="dcr10"/>
        </w:rPr>
      </w:pPr>
    </w:p>
    <w:p w14:paraId="41F71938" w14:textId="77777777" w:rsidR="001C4C15" w:rsidRPr="00597890" w:rsidRDefault="001C4C15" w:rsidP="001C4C15">
      <w:pPr>
        <w:pStyle w:val="NoSpacing"/>
        <w:rPr>
          <w:rFonts w:ascii="dcr10" w:hAnsi="dcr10" w:cs="Times New Roman"/>
        </w:rPr>
      </w:pPr>
    </w:p>
    <w:sectPr w:rsidR="001C4C15" w:rsidRPr="00597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F51F" w14:textId="77777777" w:rsidR="008540CC" w:rsidRDefault="008540CC" w:rsidP="00C427F0">
      <w:pPr>
        <w:spacing w:after="0" w:line="240" w:lineRule="auto"/>
      </w:pPr>
      <w:r>
        <w:separator/>
      </w:r>
    </w:p>
  </w:endnote>
  <w:endnote w:type="continuationSeparator" w:id="0">
    <w:p w14:paraId="2420A60C" w14:textId="77777777" w:rsidR="008540CC" w:rsidRDefault="008540CC" w:rsidP="00C42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cr10">
    <w:altName w:val="Calibri"/>
    <w:panose1 w:val="020B05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044E" w14:textId="77777777" w:rsidR="00597890" w:rsidRDefault="0059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cr10" w:hAnsi="dcr10"/>
      </w:rPr>
      <w:id w:val="-2092072786"/>
      <w:docPartObj>
        <w:docPartGallery w:val="Page Numbers (Bottom of Page)"/>
        <w:docPartUnique/>
      </w:docPartObj>
    </w:sdtPr>
    <w:sdtEndPr>
      <w:rPr>
        <w:noProof/>
      </w:rPr>
    </w:sdtEndPr>
    <w:sdtContent>
      <w:p w14:paraId="1F25BA41" w14:textId="77777777" w:rsidR="00EE0058" w:rsidRPr="00597890" w:rsidRDefault="00EE0058" w:rsidP="003A08E0">
        <w:pPr>
          <w:pStyle w:val="Footer"/>
          <w:jc w:val="center"/>
          <w:rPr>
            <w:rFonts w:ascii="dcr10" w:hAnsi="dcr10"/>
          </w:rPr>
        </w:pPr>
        <w:r w:rsidRPr="00597890">
          <w:rPr>
            <w:rFonts w:ascii="dcr10" w:hAnsi="dcr10"/>
          </w:rPr>
          <w:fldChar w:fldCharType="begin"/>
        </w:r>
        <w:r w:rsidRPr="00597890">
          <w:rPr>
            <w:rFonts w:ascii="dcr10" w:hAnsi="dcr10"/>
          </w:rPr>
          <w:instrText xml:space="preserve"> PAGE   \* MERGEFORMAT </w:instrText>
        </w:r>
        <w:r w:rsidRPr="00597890">
          <w:rPr>
            <w:rFonts w:ascii="dcr10" w:hAnsi="dcr10"/>
          </w:rPr>
          <w:fldChar w:fldCharType="separate"/>
        </w:r>
        <w:r w:rsidRPr="00597890">
          <w:rPr>
            <w:rFonts w:ascii="dcr10" w:hAnsi="dcr10"/>
            <w:noProof/>
          </w:rPr>
          <w:t>2</w:t>
        </w:r>
        <w:r w:rsidRPr="00597890">
          <w:rPr>
            <w:rFonts w:ascii="dcr10" w:hAnsi="dcr10"/>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E26" w14:textId="77777777" w:rsidR="00597890" w:rsidRDefault="0059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2C9" w14:textId="77777777" w:rsidR="008540CC" w:rsidRDefault="008540CC" w:rsidP="00C427F0">
      <w:pPr>
        <w:spacing w:after="0" w:line="240" w:lineRule="auto"/>
      </w:pPr>
      <w:r>
        <w:separator/>
      </w:r>
    </w:p>
  </w:footnote>
  <w:footnote w:type="continuationSeparator" w:id="0">
    <w:p w14:paraId="081363DF" w14:textId="77777777" w:rsidR="008540CC" w:rsidRDefault="008540CC" w:rsidP="00C427F0">
      <w:pPr>
        <w:spacing w:after="0" w:line="240" w:lineRule="auto"/>
      </w:pPr>
      <w:r>
        <w:continuationSeparator/>
      </w:r>
    </w:p>
  </w:footnote>
  <w:footnote w:id="1">
    <w:p w14:paraId="62FAD561" w14:textId="0F9FFC3C" w:rsidR="00597890" w:rsidRPr="00DC59BC" w:rsidRDefault="00597890" w:rsidP="00597890">
      <w:pPr>
        <w:pStyle w:val="FootnoteText"/>
        <w:rPr>
          <w:rFonts w:ascii="dcr10" w:hAnsi="dcr10" w:cs="Times New Roman"/>
          <w:sz w:val="20"/>
        </w:rPr>
      </w:pPr>
      <w:r w:rsidRPr="00DC59BC">
        <w:rPr>
          <w:rStyle w:val="FootnoteReference"/>
          <w:rFonts w:ascii="dcr10" w:hAnsi="dcr10" w:cs="Times New Roman"/>
          <w:sz w:val="20"/>
        </w:rPr>
        <w:sym w:font="Symbol" w:char="F02A"/>
      </w:r>
      <w:r w:rsidRPr="00DC59BC">
        <w:rPr>
          <w:rFonts w:ascii="dcr10" w:hAnsi="dcr10" w:cs="Times New Roman"/>
          <w:sz w:val="20"/>
        </w:rPr>
        <w:t xml:space="preserve"> Kose: World Bank, Prospects Group; Brookings Institution; CEPR; and CAMA; akose@worldbank.org. Ohnsorge: World Bank, Prospects Group; and CAMA; fohnsorge@worldbank.org. Sugawara: World Bank, Prospects Group; nsugawara@worldbank.org. </w:t>
      </w:r>
      <w:r w:rsidR="0076400F" w:rsidRPr="00DC59BC">
        <w:rPr>
          <w:rFonts w:ascii="dcr10" w:hAnsi="dcr10" w:cs="Times New Roman"/>
          <w:sz w:val="20"/>
        </w:rPr>
        <w:t xml:space="preserve">We thank our discussant, Antonio </w:t>
      </w:r>
      <w:proofErr w:type="spellStart"/>
      <w:r w:rsidR="0076400F" w:rsidRPr="00DC59BC">
        <w:rPr>
          <w:rFonts w:ascii="dcr10" w:hAnsi="dcr10" w:cs="Times New Roman"/>
          <w:sz w:val="20"/>
        </w:rPr>
        <w:t>Fatás</w:t>
      </w:r>
      <w:proofErr w:type="spellEnd"/>
      <w:r w:rsidR="0076400F" w:rsidRPr="00DC59BC">
        <w:rPr>
          <w:rFonts w:ascii="dcr10" w:hAnsi="dcr10" w:cs="Times New Roman"/>
          <w:sz w:val="20"/>
        </w:rPr>
        <w:t>, for helpful comments at the Workshop on “Sovereign Debt and Development</w:t>
      </w:r>
      <w:r w:rsidR="0076400F">
        <w:rPr>
          <w:rFonts w:ascii="dcr10" w:hAnsi="dcr10" w:cs="Times New Roman"/>
          <w:sz w:val="20"/>
        </w:rPr>
        <w:t>.</w:t>
      </w:r>
      <w:r w:rsidR="0076400F" w:rsidRPr="00DC59BC">
        <w:rPr>
          <w:rFonts w:ascii="dcr10" w:hAnsi="dcr10" w:cs="Times New Roman"/>
          <w:sz w:val="20"/>
        </w:rPr>
        <w:t xml:space="preserve">” We also thank Carlos Arteta, Kevin Gallagher, </w:t>
      </w:r>
      <w:r w:rsidR="0076400F">
        <w:rPr>
          <w:rFonts w:ascii="dcr10" w:hAnsi="dcr10" w:cs="Times New Roman"/>
          <w:sz w:val="20"/>
        </w:rPr>
        <w:t xml:space="preserve">Indermit Gill, </w:t>
      </w:r>
      <w:r w:rsidR="0076400F" w:rsidRPr="00DC59BC">
        <w:rPr>
          <w:rFonts w:ascii="dcr10" w:hAnsi="dcr10" w:cs="Times New Roman"/>
          <w:sz w:val="20"/>
        </w:rPr>
        <w:t xml:space="preserve">Sergiy Kasyanenko, Ugo Panizza, </w:t>
      </w:r>
      <w:r w:rsidR="0076400F">
        <w:rPr>
          <w:rFonts w:ascii="dcr10" w:hAnsi="dcr10" w:cs="Times New Roman"/>
          <w:sz w:val="20"/>
        </w:rPr>
        <w:t xml:space="preserve">Brian Pinto, </w:t>
      </w:r>
      <w:r w:rsidR="0076400F" w:rsidRPr="00DC59BC">
        <w:rPr>
          <w:rFonts w:ascii="dcr10" w:hAnsi="dcr10" w:cs="Times New Roman"/>
          <w:sz w:val="20"/>
        </w:rPr>
        <w:t xml:space="preserve">Andrea </w:t>
      </w:r>
      <w:proofErr w:type="spellStart"/>
      <w:r w:rsidR="0076400F" w:rsidRPr="00DC59BC">
        <w:rPr>
          <w:rFonts w:ascii="dcr10" w:hAnsi="dcr10" w:cs="Times New Roman"/>
          <w:sz w:val="20"/>
        </w:rPr>
        <w:t>Presbitero</w:t>
      </w:r>
      <w:proofErr w:type="spellEnd"/>
      <w:r w:rsidR="0076400F" w:rsidRPr="00DC59BC">
        <w:rPr>
          <w:rFonts w:ascii="dcr10" w:hAnsi="dcr10" w:cs="Times New Roman"/>
          <w:sz w:val="20"/>
        </w:rPr>
        <w:t xml:space="preserve">, Justin </w:t>
      </w:r>
      <w:proofErr w:type="spellStart"/>
      <w:r w:rsidR="0076400F" w:rsidRPr="00DC59BC">
        <w:rPr>
          <w:rFonts w:ascii="dcr10" w:hAnsi="dcr10" w:cs="Times New Roman"/>
          <w:sz w:val="20"/>
        </w:rPr>
        <w:t>Sandefur</w:t>
      </w:r>
      <w:proofErr w:type="spellEnd"/>
      <w:r w:rsidR="0076400F" w:rsidRPr="00DC59BC">
        <w:rPr>
          <w:rFonts w:ascii="dcr10" w:hAnsi="dcr10" w:cs="Times New Roman"/>
          <w:sz w:val="20"/>
        </w:rPr>
        <w:t xml:space="preserve">, Mark </w:t>
      </w:r>
      <w:proofErr w:type="spellStart"/>
      <w:r w:rsidR="0076400F" w:rsidRPr="00DC59BC">
        <w:rPr>
          <w:rFonts w:ascii="dcr10" w:hAnsi="dcr10" w:cs="Times New Roman"/>
          <w:sz w:val="20"/>
        </w:rPr>
        <w:t>Weidemaier</w:t>
      </w:r>
      <w:proofErr w:type="spellEnd"/>
      <w:r w:rsidR="0076400F" w:rsidRPr="00DC59BC">
        <w:rPr>
          <w:rFonts w:ascii="dcr10" w:hAnsi="dcr10" w:cs="Times New Roman"/>
          <w:sz w:val="20"/>
        </w:rPr>
        <w:t xml:space="preserve">, and Charles </w:t>
      </w:r>
      <w:proofErr w:type="spellStart"/>
      <w:r w:rsidR="0076400F" w:rsidRPr="00DC59BC">
        <w:rPr>
          <w:rFonts w:ascii="dcr10" w:hAnsi="dcr10" w:cs="Times New Roman"/>
          <w:sz w:val="20"/>
        </w:rPr>
        <w:t>Wyplosz</w:t>
      </w:r>
      <w:proofErr w:type="spellEnd"/>
      <w:r w:rsidR="0076400F" w:rsidRPr="00DC59BC">
        <w:rPr>
          <w:rFonts w:ascii="dcr10" w:hAnsi="dcr10" w:cs="Times New Roman"/>
          <w:sz w:val="20"/>
        </w:rPr>
        <w:t xml:space="preserve"> and workshop participants for feedback.</w:t>
      </w:r>
      <w:r w:rsidR="0076400F" w:rsidRPr="00DC59BC">
        <w:rPr>
          <w:rFonts w:ascii="dcr10" w:hAnsi="dcr10"/>
          <w:sz w:val="20"/>
        </w:rPr>
        <w:t xml:space="preserve"> </w:t>
      </w:r>
      <w:r w:rsidR="0076400F" w:rsidRPr="00DC59BC">
        <w:rPr>
          <w:rFonts w:ascii="dcr10" w:hAnsi="dcr10" w:cs="Times New Roman"/>
          <w:sz w:val="20"/>
        </w:rPr>
        <w:t>Shijie Shi provided excellent research assistance. The findings, interpretations, and conclusions expressed in this paper are those of the authors. They do not necessarily represent the views of the institutions they are affiliated with</w:t>
      </w:r>
      <w:r w:rsidRPr="00DC59BC">
        <w:rPr>
          <w:rFonts w:ascii="dcr10" w:hAnsi="dcr10"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F093" w14:textId="77777777" w:rsidR="00597890" w:rsidRDefault="00597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AB9" w14:textId="77777777" w:rsidR="00597890" w:rsidRDefault="00597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2E04" w14:textId="77777777" w:rsidR="00597890" w:rsidRDefault="00597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90D15"/>
    <w:multiLevelType w:val="multilevel"/>
    <w:tmpl w:val="4CC8001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5284286"/>
    <w:multiLevelType w:val="hybridMultilevel"/>
    <w:tmpl w:val="2A5681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F0"/>
    <w:rsid w:val="00000BC6"/>
    <w:rsid w:val="00003BC2"/>
    <w:rsid w:val="00004935"/>
    <w:rsid w:val="00005A62"/>
    <w:rsid w:val="000138DA"/>
    <w:rsid w:val="00013F53"/>
    <w:rsid w:val="00016867"/>
    <w:rsid w:val="00017658"/>
    <w:rsid w:val="000216AE"/>
    <w:rsid w:val="00021A37"/>
    <w:rsid w:val="0002615E"/>
    <w:rsid w:val="00035D42"/>
    <w:rsid w:val="00036191"/>
    <w:rsid w:val="00052BC6"/>
    <w:rsid w:val="00053301"/>
    <w:rsid w:val="00054856"/>
    <w:rsid w:val="000568EA"/>
    <w:rsid w:val="000607F7"/>
    <w:rsid w:val="0006154F"/>
    <w:rsid w:val="000654A7"/>
    <w:rsid w:val="00065689"/>
    <w:rsid w:val="00072B1A"/>
    <w:rsid w:val="00077D6C"/>
    <w:rsid w:val="00077FD3"/>
    <w:rsid w:val="0008013F"/>
    <w:rsid w:val="000813AE"/>
    <w:rsid w:val="000815F8"/>
    <w:rsid w:val="0008234E"/>
    <w:rsid w:val="0008491A"/>
    <w:rsid w:val="00086BBF"/>
    <w:rsid w:val="00086E9B"/>
    <w:rsid w:val="000879AF"/>
    <w:rsid w:val="00087FE5"/>
    <w:rsid w:val="000919D4"/>
    <w:rsid w:val="00097A7B"/>
    <w:rsid w:val="000A2F9C"/>
    <w:rsid w:val="000A7B19"/>
    <w:rsid w:val="000B3F6D"/>
    <w:rsid w:val="000B6FB2"/>
    <w:rsid w:val="000C0F8F"/>
    <w:rsid w:val="000C2181"/>
    <w:rsid w:val="000C3262"/>
    <w:rsid w:val="000C4282"/>
    <w:rsid w:val="000C64FB"/>
    <w:rsid w:val="000D035F"/>
    <w:rsid w:val="000D3C1C"/>
    <w:rsid w:val="000D56AE"/>
    <w:rsid w:val="000D6CF0"/>
    <w:rsid w:val="000D7373"/>
    <w:rsid w:val="000E03BE"/>
    <w:rsid w:val="000E2FD3"/>
    <w:rsid w:val="000E3F94"/>
    <w:rsid w:val="000E6AEA"/>
    <w:rsid w:val="000E6CCC"/>
    <w:rsid w:val="000E7055"/>
    <w:rsid w:val="0010013A"/>
    <w:rsid w:val="00104F73"/>
    <w:rsid w:val="001062C1"/>
    <w:rsid w:val="00106655"/>
    <w:rsid w:val="0011325C"/>
    <w:rsid w:val="00115E13"/>
    <w:rsid w:val="00120F8B"/>
    <w:rsid w:val="00122201"/>
    <w:rsid w:val="001260E6"/>
    <w:rsid w:val="0013131A"/>
    <w:rsid w:val="001318D2"/>
    <w:rsid w:val="0013209F"/>
    <w:rsid w:val="00132E20"/>
    <w:rsid w:val="0013605E"/>
    <w:rsid w:val="0013764E"/>
    <w:rsid w:val="00141854"/>
    <w:rsid w:val="00142DBB"/>
    <w:rsid w:val="00144363"/>
    <w:rsid w:val="00144C05"/>
    <w:rsid w:val="00146208"/>
    <w:rsid w:val="00146CB3"/>
    <w:rsid w:val="0015281E"/>
    <w:rsid w:val="0015718E"/>
    <w:rsid w:val="00157B6B"/>
    <w:rsid w:val="00160B9F"/>
    <w:rsid w:val="00163526"/>
    <w:rsid w:val="00165D71"/>
    <w:rsid w:val="00170C90"/>
    <w:rsid w:val="00170F41"/>
    <w:rsid w:val="001738BC"/>
    <w:rsid w:val="00174659"/>
    <w:rsid w:val="00174C9A"/>
    <w:rsid w:val="00174CD1"/>
    <w:rsid w:val="0017765F"/>
    <w:rsid w:val="00182156"/>
    <w:rsid w:val="0018532F"/>
    <w:rsid w:val="0018561D"/>
    <w:rsid w:val="0019729E"/>
    <w:rsid w:val="0019791A"/>
    <w:rsid w:val="001A3964"/>
    <w:rsid w:val="001A3B34"/>
    <w:rsid w:val="001A41FE"/>
    <w:rsid w:val="001A5945"/>
    <w:rsid w:val="001A6BBC"/>
    <w:rsid w:val="001B0C68"/>
    <w:rsid w:val="001B14AC"/>
    <w:rsid w:val="001B3F8D"/>
    <w:rsid w:val="001B5023"/>
    <w:rsid w:val="001B6BC6"/>
    <w:rsid w:val="001B7DBE"/>
    <w:rsid w:val="001C0681"/>
    <w:rsid w:val="001C4C15"/>
    <w:rsid w:val="001C5353"/>
    <w:rsid w:val="001D0447"/>
    <w:rsid w:val="001D277E"/>
    <w:rsid w:val="001D5FE5"/>
    <w:rsid w:val="001D7D0D"/>
    <w:rsid w:val="001E000D"/>
    <w:rsid w:val="001E2B74"/>
    <w:rsid w:val="001E4D4A"/>
    <w:rsid w:val="001E6732"/>
    <w:rsid w:val="001E6A6C"/>
    <w:rsid w:val="001F0944"/>
    <w:rsid w:val="001F3F7E"/>
    <w:rsid w:val="001F4813"/>
    <w:rsid w:val="001F583B"/>
    <w:rsid w:val="001F76DE"/>
    <w:rsid w:val="002007B5"/>
    <w:rsid w:val="00200CE5"/>
    <w:rsid w:val="00201131"/>
    <w:rsid w:val="00201BF0"/>
    <w:rsid w:val="00202D6A"/>
    <w:rsid w:val="00205205"/>
    <w:rsid w:val="002100B1"/>
    <w:rsid w:val="002109C0"/>
    <w:rsid w:val="00214CB4"/>
    <w:rsid w:val="00215156"/>
    <w:rsid w:val="0021646F"/>
    <w:rsid w:val="00216D12"/>
    <w:rsid w:val="00216E49"/>
    <w:rsid w:val="0022053A"/>
    <w:rsid w:val="00222850"/>
    <w:rsid w:val="002231D7"/>
    <w:rsid w:val="002263F7"/>
    <w:rsid w:val="00232F92"/>
    <w:rsid w:val="002333EC"/>
    <w:rsid w:val="002349EB"/>
    <w:rsid w:val="00244AD9"/>
    <w:rsid w:val="00244D53"/>
    <w:rsid w:val="00247048"/>
    <w:rsid w:val="00251748"/>
    <w:rsid w:val="00256A9E"/>
    <w:rsid w:val="002607C4"/>
    <w:rsid w:val="002612DF"/>
    <w:rsid w:val="0026306D"/>
    <w:rsid w:val="00264405"/>
    <w:rsid w:val="0026655F"/>
    <w:rsid w:val="00270F90"/>
    <w:rsid w:val="00270FEC"/>
    <w:rsid w:val="00272B65"/>
    <w:rsid w:val="00272D59"/>
    <w:rsid w:val="00274896"/>
    <w:rsid w:val="00274A47"/>
    <w:rsid w:val="00274F22"/>
    <w:rsid w:val="00276E95"/>
    <w:rsid w:val="00277C4B"/>
    <w:rsid w:val="002801A2"/>
    <w:rsid w:val="00280546"/>
    <w:rsid w:val="00281896"/>
    <w:rsid w:val="002819D1"/>
    <w:rsid w:val="00283FD8"/>
    <w:rsid w:val="0028713D"/>
    <w:rsid w:val="00291909"/>
    <w:rsid w:val="00291DB3"/>
    <w:rsid w:val="00295940"/>
    <w:rsid w:val="002A016D"/>
    <w:rsid w:val="002A2294"/>
    <w:rsid w:val="002A5872"/>
    <w:rsid w:val="002A6470"/>
    <w:rsid w:val="002B2E00"/>
    <w:rsid w:val="002B2F3F"/>
    <w:rsid w:val="002B7BE2"/>
    <w:rsid w:val="002C123D"/>
    <w:rsid w:val="002C1C9F"/>
    <w:rsid w:val="002C648F"/>
    <w:rsid w:val="002C6DB3"/>
    <w:rsid w:val="002D3F6C"/>
    <w:rsid w:val="002E0373"/>
    <w:rsid w:val="002E14E8"/>
    <w:rsid w:val="002E1D36"/>
    <w:rsid w:val="002E2145"/>
    <w:rsid w:val="002E4C3D"/>
    <w:rsid w:val="002F1AC1"/>
    <w:rsid w:val="002F3C4C"/>
    <w:rsid w:val="002F6942"/>
    <w:rsid w:val="00300DC2"/>
    <w:rsid w:val="00303400"/>
    <w:rsid w:val="00305EB2"/>
    <w:rsid w:val="00307AE0"/>
    <w:rsid w:val="00313D71"/>
    <w:rsid w:val="003143EB"/>
    <w:rsid w:val="003169EF"/>
    <w:rsid w:val="0032197F"/>
    <w:rsid w:val="00322A35"/>
    <w:rsid w:val="00331CB6"/>
    <w:rsid w:val="00332059"/>
    <w:rsid w:val="003323A0"/>
    <w:rsid w:val="00332DD0"/>
    <w:rsid w:val="00340155"/>
    <w:rsid w:val="00340541"/>
    <w:rsid w:val="00346CE0"/>
    <w:rsid w:val="00351E1F"/>
    <w:rsid w:val="00352279"/>
    <w:rsid w:val="00352CCA"/>
    <w:rsid w:val="00356314"/>
    <w:rsid w:val="00360A3C"/>
    <w:rsid w:val="003619A2"/>
    <w:rsid w:val="0036427F"/>
    <w:rsid w:val="00373305"/>
    <w:rsid w:val="003816E4"/>
    <w:rsid w:val="00381723"/>
    <w:rsid w:val="00384C71"/>
    <w:rsid w:val="00390A6A"/>
    <w:rsid w:val="003914ED"/>
    <w:rsid w:val="00392A15"/>
    <w:rsid w:val="00393DFA"/>
    <w:rsid w:val="003A08E0"/>
    <w:rsid w:val="003A2CA5"/>
    <w:rsid w:val="003A6225"/>
    <w:rsid w:val="003A7587"/>
    <w:rsid w:val="003A7ACE"/>
    <w:rsid w:val="003B0D6C"/>
    <w:rsid w:val="003B29A9"/>
    <w:rsid w:val="003B53D7"/>
    <w:rsid w:val="003B589C"/>
    <w:rsid w:val="003C045E"/>
    <w:rsid w:val="003C070E"/>
    <w:rsid w:val="003C3586"/>
    <w:rsid w:val="003C35FA"/>
    <w:rsid w:val="003C4DFB"/>
    <w:rsid w:val="003C69FE"/>
    <w:rsid w:val="003C6F1D"/>
    <w:rsid w:val="003C7288"/>
    <w:rsid w:val="003D5300"/>
    <w:rsid w:val="003D6926"/>
    <w:rsid w:val="003D7324"/>
    <w:rsid w:val="003D748F"/>
    <w:rsid w:val="003E0B42"/>
    <w:rsid w:val="003E2618"/>
    <w:rsid w:val="003E4298"/>
    <w:rsid w:val="003E4B0C"/>
    <w:rsid w:val="003E4C22"/>
    <w:rsid w:val="003E6210"/>
    <w:rsid w:val="003F0685"/>
    <w:rsid w:val="004007F0"/>
    <w:rsid w:val="0040346E"/>
    <w:rsid w:val="0040642C"/>
    <w:rsid w:val="00416BA9"/>
    <w:rsid w:val="00425F2B"/>
    <w:rsid w:val="004308F9"/>
    <w:rsid w:val="004310DE"/>
    <w:rsid w:val="00433416"/>
    <w:rsid w:val="00433444"/>
    <w:rsid w:val="00435A4F"/>
    <w:rsid w:val="004360D7"/>
    <w:rsid w:val="0044698E"/>
    <w:rsid w:val="0044778C"/>
    <w:rsid w:val="004540E7"/>
    <w:rsid w:val="00455E0F"/>
    <w:rsid w:val="00456098"/>
    <w:rsid w:val="00457DEA"/>
    <w:rsid w:val="00464E10"/>
    <w:rsid w:val="004655A7"/>
    <w:rsid w:val="00466CD6"/>
    <w:rsid w:val="00467ED4"/>
    <w:rsid w:val="00476706"/>
    <w:rsid w:val="00476914"/>
    <w:rsid w:val="0048277D"/>
    <w:rsid w:val="00483EAF"/>
    <w:rsid w:val="00484F30"/>
    <w:rsid w:val="004924C7"/>
    <w:rsid w:val="004935AA"/>
    <w:rsid w:val="004938F7"/>
    <w:rsid w:val="004A29ED"/>
    <w:rsid w:val="004A2F98"/>
    <w:rsid w:val="004A373D"/>
    <w:rsid w:val="004C13E0"/>
    <w:rsid w:val="004C1D05"/>
    <w:rsid w:val="004C4D8E"/>
    <w:rsid w:val="004C57E8"/>
    <w:rsid w:val="004C6307"/>
    <w:rsid w:val="004D5771"/>
    <w:rsid w:val="004E0040"/>
    <w:rsid w:val="004E6FCE"/>
    <w:rsid w:val="004E7F73"/>
    <w:rsid w:val="004F087A"/>
    <w:rsid w:val="004F14AE"/>
    <w:rsid w:val="004F4E9A"/>
    <w:rsid w:val="00500BD2"/>
    <w:rsid w:val="00501F24"/>
    <w:rsid w:val="00507999"/>
    <w:rsid w:val="00512F17"/>
    <w:rsid w:val="00513AA6"/>
    <w:rsid w:val="00514132"/>
    <w:rsid w:val="005227E5"/>
    <w:rsid w:val="00523243"/>
    <w:rsid w:val="005252F7"/>
    <w:rsid w:val="005312BA"/>
    <w:rsid w:val="005332AC"/>
    <w:rsid w:val="005365B1"/>
    <w:rsid w:val="00537D45"/>
    <w:rsid w:val="0054335F"/>
    <w:rsid w:val="005504F9"/>
    <w:rsid w:val="00553FD5"/>
    <w:rsid w:val="00557E0F"/>
    <w:rsid w:val="005608BE"/>
    <w:rsid w:val="00565609"/>
    <w:rsid w:val="00566B59"/>
    <w:rsid w:val="00570E29"/>
    <w:rsid w:val="00575C92"/>
    <w:rsid w:val="005762B6"/>
    <w:rsid w:val="00583B16"/>
    <w:rsid w:val="005856E8"/>
    <w:rsid w:val="00585FC1"/>
    <w:rsid w:val="00586324"/>
    <w:rsid w:val="00590BBF"/>
    <w:rsid w:val="00591D1F"/>
    <w:rsid w:val="00597890"/>
    <w:rsid w:val="005A0E35"/>
    <w:rsid w:val="005A1EF7"/>
    <w:rsid w:val="005B017A"/>
    <w:rsid w:val="005B103B"/>
    <w:rsid w:val="005B2871"/>
    <w:rsid w:val="005B316C"/>
    <w:rsid w:val="005B31B2"/>
    <w:rsid w:val="005B3B99"/>
    <w:rsid w:val="005B3CEE"/>
    <w:rsid w:val="005B5D03"/>
    <w:rsid w:val="005C094F"/>
    <w:rsid w:val="005C0E70"/>
    <w:rsid w:val="005C173C"/>
    <w:rsid w:val="005D0735"/>
    <w:rsid w:val="005D073D"/>
    <w:rsid w:val="005D1FC8"/>
    <w:rsid w:val="005D2325"/>
    <w:rsid w:val="005D4200"/>
    <w:rsid w:val="005D4387"/>
    <w:rsid w:val="005E00A6"/>
    <w:rsid w:val="005F291B"/>
    <w:rsid w:val="005F31EC"/>
    <w:rsid w:val="005F3454"/>
    <w:rsid w:val="005F50D7"/>
    <w:rsid w:val="00600143"/>
    <w:rsid w:val="00600195"/>
    <w:rsid w:val="00600B05"/>
    <w:rsid w:val="0060142E"/>
    <w:rsid w:val="00601D6A"/>
    <w:rsid w:val="006020A1"/>
    <w:rsid w:val="006023E2"/>
    <w:rsid w:val="00605E20"/>
    <w:rsid w:val="00610AA0"/>
    <w:rsid w:val="0061605F"/>
    <w:rsid w:val="00616A2E"/>
    <w:rsid w:val="0062110D"/>
    <w:rsid w:val="00625213"/>
    <w:rsid w:val="00626828"/>
    <w:rsid w:val="00626C2F"/>
    <w:rsid w:val="00626FE6"/>
    <w:rsid w:val="0062740F"/>
    <w:rsid w:val="00627BCF"/>
    <w:rsid w:val="00630C8B"/>
    <w:rsid w:val="00631350"/>
    <w:rsid w:val="0063235E"/>
    <w:rsid w:val="00643CEB"/>
    <w:rsid w:val="00644D94"/>
    <w:rsid w:val="006457FF"/>
    <w:rsid w:val="00647771"/>
    <w:rsid w:val="00650C6A"/>
    <w:rsid w:val="00651E84"/>
    <w:rsid w:val="006521FD"/>
    <w:rsid w:val="00654B44"/>
    <w:rsid w:val="0065779B"/>
    <w:rsid w:val="00661164"/>
    <w:rsid w:val="0066410A"/>
    <w:rsid w:val="0066739F"/>
    <w:rsid w:val="00673EEE"/>
    <w:rsid w:val="00682748"/>
    <w:rsid w:val="00687044"/>
    <w:rsid w:val="006874FA"/>
    <w:rsid w:val="006929EE"/>
    <w:rsid w:val="00692D77"/>
    <w:rsid w:val="00693658"/>
    <w:rsid w:val="0069432F"/>
    <w:rsid w:val="00696B9A"/>
    <w:rsid w:val="006A6EAA"/>
    <w:rsid w:val="006B113C"/>
    <w:rsid w:val="006B2314"/>
    <w:rsid w:val="006B3C4F"/>
    <w:rsid w:val="006B65EE"/>
    <w:rsid w:val="006B7F4F"/>
    <w:rsid w:val="006C08F3"/>
    <w:rsid w:val="006C1B2C"/>
    <w:rsid w:val="006C1E11"/>
    <w:rsid w:val="006C2955"/>
    <w:rsid w:val="006C371D"/>
    <w:rsid w:val="006C6FCA"/>
    <w:rsid w:val="006C73AF"/>
    <w:rsid w:val="006C7EC5"/>
    <w:rsid w:val="006E1B56"/>
    <w:rsid w:val="006E2669"/>
    <w:rsid w:val="006E2D9A"/>
    <w:rsid w:val="006E324C"/>
    <w:rsid w:val="006E340F"/>
    <w:rsid w:val="006E5DB5"/>
    <w:rsid w:val="006F3E6A"/>
    <w:rsid w:val="00702A44"/>
    <w:rsid w:val="00702AE6"/>
    <w:rsid w:val="007050AA"/>
    <w:rsid w:val="00707A3F"/>
    <w:rsid w:val="007107DB"/>
    <w:rsid w:val="0071100B"/>
    <w:rsid w:val="00711A57"/>
    <w:rsid w:val="00712138"/>
    <w:rsid w:val="007131B6"/>
    <w:rsid w:val="007143FC"/>
    <w:rsid w:val="00714B71"/>
    <w:rsid w:val="00717C8E"/>
    <w:rsid w:val="007213F2"/>
    <w:rsid w:val="00721D6A"/>
    <w:rsid w:val="00723A82"/>
    <w:rsid w:val="00725D28"/>
    <w:rsid w:val="007306BF"/>
    <w:rsid w:val="00734A29"/>
    <w:rsid w:val="00736EDB"/>
    <w:rsid w:val="00743988"/>
    <w:rsid w:val="00744B6E"/>
    <w:rsid w:val="0074583E"/>
    <w:rsid w:val="00746A46"/>
    <w:rsid w:val="00757EC2"/>
    <w:rsid w:val="00763165"/>
    <w:rsid w:val="0076400F"/>
    <w:rsid w:val="00765235"/>
    <w:rsid w:val="00765DEE"/>
    <w:rsid w:val="00780021"/>
    <w:rsid w:val="0078263F"/>
    <w:rsid w:val="00787643"/>
    <w:rsid w:val="007914A4"/>
    <w:rsid w:val="007937E9"/>
    <w:rsid w:val="007A12D6"/>
    <w:rsid w:val="007A25F2"/>
    <w:rsid w:val="007A3176"/>
    <w:rsid w:val="007A340C"/>
    <w:rsid w:val="007A6E4F"/>
    <w:rsid w:val="007B020D"/>
    <w:rsid w:val="007B0692"/>
    <w:rsid w:val="007B0FB3"/>
    <w:rsid w:val="007B2634"/>
    <w:rsid w:val="007B4672"/>
    <w:rsid w:val="007B7743"/>
    <w:rsid w:val="007C1949"/>
    <w:rsid w:val="007C3A4A"/>
    <w:rsid w:val="007C62FA"/>
    <w:rsid w:val="007D17A1"/>
    <w:rsid w:val="007D3283"/>
    <w:rsid w:val="007D5061"/>
    <w:rsid w:val="007D57A0"/>
    <w:rsid w:val="007D6D3E"/>
    <w:rsid w:val="007D7B03"/>
    <w:rsid w:val="007E0618"/>
    <w:rsid w:val="007E0814"/>
    <w:rsid w:val="007E17AB"/>
    <w:rsid w:val="007E2F34"/>
    <w:rsid w:val="007E33C0"/>
    <w:rsid w:val="007E6463"/>
    <w:rsid w:val="007E74D3"/>
    <w:rsid w:val="007E76F8"/>
    <w:rsid w:val="007E7FA1"/>
    <w:rsid w:val="007F13BE"/>
    <w:rsid w:val="007F4E70"/>
    <w:rsid w:val="007F56ED"/>
    <w:rsid w:val="007F58C7"/>
    <w:rsid w:val="007F7A52"/>
    <w:rsid w:val="00802982"/>
    <w:rsid w:val="0080460C"/>
    <w:rsid w:val="008069C0"/>
    <w:rsid w:val="00810C68"/>
    <w:rsid w:val="00812DCC"/>
    <w:rsid w:val="00817F4E"/>
    <w:rsid w:val="008201C8"/>
    <w:rsid w:val="00823915"/>
    <w:rsid w:val="00824412"/>
    <w:rsid w:val="00826F0E"/>
    <w:rsid w:val="008279C6"/>
    <w:rsid w:val="00831B7A"/>
    <w:rsid w:val="00832AAE"/>
    <w:rsid w:val="00837B29"/>
    <w:rsid w:val="00842CA8"/>
    <w:rsid w:val="008522C8"/>
    <w:rsid w:val="008523F8"/>
    <w:rsid w:val="00852A74"/>
    <w:rsid w:val="008533A7"/>
    <w:rsid w:val="008540CC"/>
    <w:rsid w:val="0085670A"/>
    <w:rsid w:val="008572DE"/>
    <w:rsid w:val="00862A7C"/>
    <w:rsid w:val="00862D3D"/>
    <w:rsid w:val="00865513"/>
    <w:rsid w:val="008706CA"/>
    <w:rsid w:val="0087171B"/>
    <w:rsid w:val="00871E7D"/>
    <w:rsid w:val="00872CC1"/>
    <w:rsid w:val="00873D2D"/>
    <w:rsid w:val="008756AC"/>
    <w:rsid w:val="00877F7C"/>
    <w:rsid w:val="0088275A"/>
    <w:rsid w:val="0088412E"/>
    <w:rsid w:val="00884A50"/>
    <w:rsid w:val="00895780"/>
    <w:rsid w:val="008A1759"/>
    <w:rsid w:val="008A4A83"/>
    <w:rsid w:val="008A4C1C"/>
    <w:rsid w:val="008A540D"/>
    <w:rsid w:val="008A57E7"/>
    <w:rsid w:val="008B1DFD"/>
    <w:rsid w:val="008B344D"/>
    <w:rsid w:val="008B4513"/>
    <w:rsid w:val="008B526D"/>
    <w:rsid w:val="008B64A8"/>
    <w:rsid w:val="008B796D"/>
    <w:rsid w:val="008C133F"/>
    <w:rsid w:val="008C235A"/>
    <w:rsid w:val="008C24A2"/>
    <w:rsid w:val="008C2FBF"/>
    <w:rsid w:val="008C3CAA"/>
    <w:rsid w:val="008C641B"/>
    <w:rsid w:val="008D12AE"/>
    <w:rsid w:val="008D31E8"/>
    <w:rsid w:val="008D5B99"/>
    <w:rsid w:val="008D5F50"/>
    <w:rsid w:val="008D6A37"/>
    <w:rsid w:val="008E32D8"/>
    <w:rsid w:val="008E3AFF"/>
    <w:rsid w:val="008E447F"/>
    <w:rsid w:val="008E723B"/>
    <w:rsid w:val="008F415E"/>
    <w:rsid w:val="008F5693"/>
    <w:rsid w:val="008F7E18"/>
    <w:rsid w:val="00903C32"/>
    <w:rsid w:val="009045E1"/>
    <w:rsid w:val="00905025"/>
    <w:rsid w:val="00906542"/>
    <w:rsid w:val="00910D50"/>
    <w:rsid w:val="009110AE"/>
    <w:rsid w:val="00911BC8"/>
    <w:rsid w:val="00912111"/>
    <w:rsid w:val="0091212A"/>
    <w:rsid w:val="00916821"/>
    <w:rsid w:val="00917B19"/>
    <w:rsid w:val="009237EB"/>
    <w:rsid w:val="00923A5B"/>
    <w:rsid w:val="009279ED"/>
    <w:rsid w:val="00930A90"/>
    <w:rsid w:val="00931A52"/>
    <w:rsid w:val="0093247F"/>
    <w:rsid w:val="009330AE"/>
    <w:rsid w:val="009377FC"/>
    <w:rsid w:val="00937BDF"/>
    <w:rsid w:val="00941D6B"/>
    <w:rsid w:val="00942A9D"/>
    <w:rsid w:val="00943512"/>
    <w:rsid w:val="00943B5C"/>
    <w:rsid w:val="009440F4"/>
    <w:rsid w:val="009456FC"/>
    <w:rsid w:val="00946729"/>
    <w:rsid w:val="00950FB0"/>
    <w:rsid w:val="009515CF"/>
    <w:rsid w:val="00952560"/>
    <w:rsid w:val="00955643"/>
    <w:rsid w:val="00955A25"/>
    <w:rsid w:val="00955AFF"/>
    <w:rsid w:val="009603E4"/>
    <w:rsid w:val="009646D4"/>
    <w:rsid w:val="0096577D"/>
    <w:rsid w:val="00972DE1"/>
    <w:rsid w:val="00972FAD"/>
    <w:rsid w:val="009749FD"/>
    <w:rsid w:val="0097585D"/>
    <w:rsid w:val="00975E0E"/>
    <w:rsid w:val="00976F69"/>
    <w:rsid w:val="00977958"/>
    <w:rsid w:val="00977CB8"/>
    <w:rsid w:val="00981323"/>
    <w:rsid w:val="0098145C"/>
    <w:rsid w:val="009826E3"/>
    <w:rsid w:val="00985964"/>
    <w:rsid w:val="009950D9"/>
    <w:rsid w:val="00995AA4"/>
    <w:rsid w:val="0099756F"/>
    <w:rsid w:val="009A0A9B"/>
    <w:rsid w:val="009A2170"/>
    <w:rsid w:val="009A4EE1"/>
    <w:rsid w:val="009A6BC2"/>
    <w:rsid w:val="009B08D8"/>
    <w:rsid w:val="009B56B9"/>
    <w:rsid w:val="009B5798"/>
    <w:rsid w:val="009C53AA"/>
    <w:rsid w:val="009D09C7"/>
    <w:rsid w:val="009D2697"/>
    <w:rsid w:val="009D57CB"/>
    <w:rsid w:val="009D7234"/>
    <w:rsid w:val="009E10B2"/>
    <w:rsid w:val="009E2F32"/>
    <w:rsid w:val="009E6F4E"/>
    <w:rsid w:val="009F2581"/>
    <w:rsid w:val="009F5E85"/>
    <w:rsid w:val="00A02A58"/>
    <w:rsid w:val="00A10E61"/>
    <w:rsid w:val="00A113F4"/>
    <w:rsid w:val="00A15146"/>
    <w:rsid w:val="00A21509"/>
    <w:rsid w:val="00A30439"/>
    <w:rsid w:val="00A31B68"/>
    <w:rsid w:val="00A3694D"/>
    <w:rsid w:val="00A435E7"/>
    <w:rsid w:val="00A43FC2"/>
    <w:rsid w:val="00A46C82"/>
    <w:rsid w:val="00A46D3A"/>
    <w:rsid w:val="00A50352"/>
    <w:rsid w:val="00A5356B"/>
    <w:rsid w:val="00A5455E"/>
    <w:rsid w:val="00A730B9"/>
    <w:rsid w:val="00A76CF7"/>
    <w:rsid w:val="00A821F9"/>
    <w:rsid w:val="00A835E4"/>
    <w:rsid w:val="00A92617"/>
    <w:rsid w:val="00A93365"/>
    <w:rsid w:val="00A96DCF"/>
    <w:rsid w:val="00A97A9F"/>
    <w:rsid w:val="00AA24A7"/>
    <w:rsid w:val="00AA4E0C"/>
    <w:rsid w:val="00AA4ED5"/>
    <w:rsid w:val="00AB04F7"/>
    <w:rsid w:val="00AB15AB"/>
    <w:rsid w:val="00AB23EF"/>
    <w:rsid w:val="00AB3683"/>
    <w:rsid w:val="00AB5637"/>
    <w:rsid w:val="00AB6A75"/>
    <w:rsid w:val="00AB755A"/>
    <w:rsid w:val="00AC0C10"/>
    <w:rsid w:val="00AC3408"/>
    <w:rsid w:val="00AC45D7"/>
    <w:rsid w:val="00AD0C95"/>
    <w:rsid w:val="00AD3ADA"/>
    <w:rsid w:val="00AD786A"/>
    <w:rsid w:val="00AD7C14"/>
    <w:rsid w:val="00AF5B98"/>
    <w:rsid w:val="00AF5DF7"/>
    <w:rsid w:val="00AF749B"/>
    <w:rsid w:val="00B00B1F"/>
    <w:rsid w:val="00B01839"/>
    <w:rsid w:val="00B0279A"/>
    <w:rsid w:val="00B030EA"/>
    <w:rsid w:val="00B03CE4"/>
    <w:rsid w:val="00B049D3"/>
    <w:rsid w:val="00B07CD9"/>
    <w:rsid w:val="00B10C00"/>
    <w:rsid w:val="00B1403C"/>
    <w:rsid w:val="00B15D13"/>
    <w:rsid w:val="00B16032"/>
    <w:rsid w:val="00B1638C"/>
    <w:rsid w:val="00B170EB"/>
    <w:rsid w:val="00B17830"/>
    <w:rsid w:val="00B22D51"/>
    <w:rsid w:val="00B24937"/>
    <w:rsid w:val="00B27096"/>
    <w:rsid w:val="00B30537"/>
    <w:rsid w:val="00B31351"/>
    <w:rsid w:val="00B363FD"/>
    <w:rsid w:val="00B403A5"/>
    <w:rsid w:val="00B425E1"/>
    <w:rsid w:val="00B43890"/>
    <w:rsid w:val="00B44547"/>
    <w:rsid w:val="00B46836"/>
    <w:rsid w:val="00B4735C"/>
    <w:rsid w:val="00B47A35"/>
    <w:rsid w:val="00B50655"/>
    <w:rsid w:val="00B52AFA"/>
    <w:rsid w:val="00B5685F"/>
    <w:rsid w:val="00B5758F"/>
    <w:rsid w:val="00B61422"/>
    <w:rsid w:val="00B628F4"/>
    <w:rsid w:val="00B62964"/>
    <w:rsid w:val="00B660D8"/>
    <w:rsid w:val="00B664EB"/>
    <w:rsid w:val="00B709DC"/>
    <w:rsid w:val="00B71F03"/>
    <w:rsid w:val="00B72845"/>
    <w:rsid w:val="00B75F17"/>
    <w:rsid w:val="00B77275"/>
    <w:rsid w:val="00B82F03"/>
    <w:rsid w:val="00B844B8"/>
    <w:rsid w:val="00B852FA"/>
    <w:rsid w:val="00B86275"/>
    <w:rsid w:val="00B86584"/>
    <w:rsid w:val="00B86587"/>
    <w:rsid w:val="00B90EC0"/>
    <w:rsid w:val="00B917BB"/>
    <w:rsid w:val="00B92157"/>
    <w:rsid w:val="00B94DFD"/>
    <w:rsid w:val="00B965BD"/>
    <w:rsid w:val="00B978F8"/>
    <w:rsid w:val="00BA34F0"/>
    <w:rsid w:val="00BA732C"/>
    <w:rsid w:val="00BB0206"/>
    <w:rsid w:val="00BB0F2A"/>
    <w:rsid w:val="00BB24DB"/>
    <w:rsid w:val="00BB6087"/>
    <w:rsid w:val="00BB6F6D"/>
    <w:rsid w:val="00BB742A"/>
    <w:rsid w:val="00BC05CA"/>
    <w:rsid w:val="00BC6A00"/>
    <w:rsid w:val="00BD0B4E"/>
    <w:rsid w:val="00BD37EF"/>
    <w:rsid w:val="00BD4D6A"/>
    <w:rsid w:val="00BD6513"/>
    <w:rsid w:val="00BD6B32"/>
    <w:rsid w:val="00BD6B6F"/>
    <w:rsid w:val="00BD7AD3"/>
    <w:rsid w:val="00BE24D5"/>
    <w:rsid w:val="00BE2C4C"/>
    <w:rsid w:val="00BE6CCB"/>
    <w:rsid w:val="00BF0413"/>
    <w:rsid w:val="00BF0E13"/>
    <w:rsid w:val="00BF53CC"/>
    <w:rsid w:val="00C00162"/>
    <w:rsid w:val="00C0214A"/>
    <w:rsid w:val="00C07CA4"/>
    <w:rsid w:val="00C10F4D"/>
    <w:rsid w:val="00C110B9"/>
    <w:rsid w:val="00C1124A"/>
    <w:rsid w:val="00C11CC9"/>
    <w:rsid w:val="00C16A7A"/>
    <w:rsid w:val="00C232CA"/>
    <w:rsid w:val="00C233AE"/>
    <w:rsid w:val="00C30725"/>
    <w:rsid w:val="00C30BC7"/>
    <w:rsid w:val="00C31714"/>
    <w:rsid w:val="00C330F0"/>
    <w:rsid w:val="00C33F9A"/>
    <w:rsid w:val="00C406CF"/>
    <w:rsid w:val="00C41DF0"/>
    <w:rsid w:val="00C427F0"/>
    <w:rsid w:val="00C42D79"/>
    <w:rsid w:val="00C45464"/>
    <w:rsid w:val="00C46E02"/>
    <w:rsid w:val="00C46FB6"/>
    <w:rsid w:val="00C54458"/>
    <w:rsid w:val="00C54DFB"/>
    <w:rsid w:val="00C620F7"/>
    <w:rsid w:val="00C63DAC"/>
    <w:rsid w:val="00C66B2A"/>
    <w:rsid w:val="00C70505"/>
    <w:rsid w:val="00C7216F"/>
    <w:rsid w:val="00C726A1"/>
    <w:rsid w:val="00C7379F"/>
    <w:rsid w:val="00C73D10"/>
    <w:rsid w:val="00C74942"/>
    <w:rsid w:val="00C74DC3"/>
    <w:rsid w:val="00C75EF1"/>
    <w:rsid w:val="00C77403"/>
    <w:rsid w:val="00C80FD0"/>
    <w:rsid w:val="00C82D76"/>
    <w:rsid w:val="00C8432E"/>
    <w:rsid w:val="00C84F86"/>
    <w:rsid w:val="00C8690B"/>
    <w:rsid w:val="00C86E32"/>
    <w:rsid w:val="00C919F8"/>
    <w:rsid w:val="00C974BF"/>
    <w:rsid w:val="00CA4C63"/>
    <w:rsid w:val="00CA6EAC"/>
    <w:rsid w:val="00CA75EA"/>
    <w:rsid w:val="00CB0695"/>
    <w:rsid w:val="00CC03B4"/>
    <w:rsid w:val="00CC1ADF"/>
    <w:rsid w:val="00CC4C0E"/>
    <w:rsid w:val="00CC4C35"/>
    <w:rsid w:val="00CC5D7E"/>
    <w:rsid w:val="00CC795A"/>
    <w:rsid w:val="00CD112A"/>
    <w:rsid w:val="00CD317B"/>
    <w:rsid w:val="00CE0DC0"/>
    <w:rsid w:val="00CE4361"/>
    <w:rsid w:val="00CE6B9C"/>
    <w:rsid w:val="00CF5E9E"/>
    <w:rsid w:val="00CF7E09"/>
    <w:rsid w:val="00D0440C"/>
    <w:rsid w:val="00D07D0A"/>
    <w:rsid w:val="00D119B3"/>
    <w:rsid w:val="00D11EA5"/>
    <w:rsid w:val="00D12AAF"/>
    <w:rsid w:val="00D13A80"/>
    <w:rsid w:val="00D16A4D"/>
    <w:rsid w:val="00D20623"/>
    <w:rsid w:val="00D23552"/>
    <w:rsid w:val="00D239BA"/>
    <w:rsid w:val="00D2428F"/>
    <w:rsid w:val="00D340A9"/>
    <w:rsid w:val="00D34BDC"/>
    <w:rsid w:val="00D402C7"/>
    <w:rsid w:val="00D40EDB"/>
    <w:rsid w:val="00D41537"/>
    <w:rsid w:val="00D4186D"/>
    <w:rsid w:val="00D44853"/>
    <w:rsid w:val="00D47571"/>
    <w:rsid w:val="00D536A4"/>
    <w:rsid w:val="00D5799E"/>
    <w:rsid w:val="00D57FEF"/>
    <w:rsid w:val="00D60079"/>
    <w:rsid w:val="00D64C64"/>
    <w:rsid w:val="00D656B3"/>
    <w:rsid w:val="00D82790"/>
    <w:rsid w:val="00D8511C"/>
    <w:rsid w:val="00D87110"/>
    <w:rsid w:val="00D87EAD"/>
    <w:rsid w:val="00D90EB3"/>
    <w:rsid w:val="00D9250A"/>
    <w:rsid w:val="00D968D0"/>
    <w:rsid w:val="00D96B7D"/>
    <w:rsid w:val="00D97CCA"/>
    <w:rsid w:val="00DA0BF6"/>
    <w:rsid w:val="00DA3200"/>
    <w:rsid w:val="00DA40DB"/>
    <w:rsid w:val="00DA41EE"/>
    <w:rsid w:val="00DA5C65"/>
    <w:rsid w:val="00DA6ACF"/>
    <w:rsid w:val="00DB12FF"/>
    <w:rsid w:val="00DB4950"/>
    <w:rsid w:val="00DB7B33"/>
    <w:rsid w:val="00DC3BF3"/>
    <w:rsid w:val="00DC59BC"/>
    <w:rsid w:val="00DD1184"/>
    <w:rsid w:val="00DD13F9"/>
    <w:rsid w:val="00DD2D76"/>
    <w:rsid w:val="00DD6169"/>
    <w:rsid w:val="00DD6B03"/>
    <w:rsid w:val="00DD711C"/>
    <w:rsid w:val="00DE2CE0"/>
    <w:rsid w:val="00DE3E37"/>
    <w:rsid w:val="00DE5903"/>
    <w:rsid w:val="00DF1B6B"/>
    <w:rsid w:val="00DF1F9E"/>
    <w:rsid w:val="00DF5BEE"/>
    <w:rsid w:val="00DF6D5E"/>
    <w:rsid w:val="00DF7B80"/>
    <w:rsid w:val="00E014A4"/>
    <w:rsid w:val="00E0196E"/>
    <w:rsid w:val="00E042E4"/>
    <w:rsid w:val="00E04A43"/>
    <w:rsid w:val="00E04BED"/>
    <w:rsid w:val="00E05C60"/>
    <w:rsid w:val="00E07534"/>
    <w:rsid w:val="00E077E3"/>
    <w:rsid w:val="00E119A8"/>
    <w:rsid w:val="00E13138"/>
    <w:rsid w:val="00E1369F"/>
    <w:rsid w:val="00E1490C"/>
    <w:rsid w:val="00E21E1E"/>
    <w:rsid w:val="00E24404"/>
    <w:rsid w:val="00E31742"/>
    <w:rsid w:val="00E3396D"/>
    <w:rsid w:val="00E3437B"/>
    <w:rsid w:val="00E34BA9"/>
    <w:rsid w:val="00E36148"/>
    <w:rsid w:val="00E41C2F"/>
    <w:rsid w:val="00E42F48"/>
    <w:rsid w:val="00E4409C"/>
    <w:rsid w:val="00E44C4E"/>
    <w:rsid w:val="00E46259"/>
    <w:rsid w:val="00E46819"/>
    <w:rsid w:val="00E505FC"/>
    <w:rsid w:val="00E51132"/>
    <w:rsid w:val="00E531B6"/>
    <w:rsid w:val="00E53EB8"/>
    <w:rsid w:val="00E55AB1"/>
    <w:rsid w:val="00E60019"/>
    <w:rsid w:val="00E6534C"/>
    <w:rsid w:val="00E678BC"/>
    <w:rsid w:val="00E70A39"/>
    <w:rsid w:val="00E72A05"/>
    <w:rsid w:val="00E73D18"/>
    <w:rsid w:val="00E77484"/>
    <w:rsid w:val="00E80C8B"/>
    <w:rsid w:val="00E817C1"/>
    <w:rsid w:val="00E8280C"/>
    <w:rsid w:val="00E844DE"/>
    <w:rsid w:val="00E87324"/>
    <w:rsid w:val="00E900E8"/>
    <w:rsid w:val="00E90B69"/>
    <w:rsid w:val="00E911C9"/>
    <w:rsid w:val="00E91DB0"/>
    <w:rsid w:val="00E97EB3"/>
    <w:rsid w:val="00EA0624"/>
    <w:rsid w:val="00EA1116"/>
    <w:rsid w:val="00EA1564"/>
    <w:rsid w:val="00EA632A"/>
    <w:rsid w:val="00EB0F04"/>
    <w:rsid w:val="00EB2F8A"/>
    <w:rsid w:val="00EB66DB"/>
    <w:rsid w:val="00EB6BB3"/>
    <w:rsid w:val="00EC102D"/>
    <w:rsid w:val="00EC12E6"/>
    <w:rsid w:val="00EC1690"/>
    <w:rsid w:val="00EC2EA7"/>
    <w:rsid w:val="00EC3F5D"/>
    <w:rsid w:val="00EC47DA"/>
    <w:rsid w:val="00EC57C2"/>
    <w:rsid w:val="00EC63FC"/>
    <w:rsid w:val="00EC6AE2"/>
    <w:rsid w:val="00EC775C"/>
    <w:rsid w:val="00ED0C94"/>
    <w:rsid w:val="00ED0CC3"/>
    <w:rsid w:val="00ED68D2"/>
    <w:rsid w:val="00ED6995"/>
    <w:rsid w:val="00ED705C"/>
    <w:rsid w:val="00EE0058"/>
    <w:rsid w:val="00EE19D6"/>
    <w:rsid w:val="00EE1F78"/>
    <w:rsid w:val="00EE25E8"/>
    <w:rsid w:val="00EE3D7D"/>
    <w:rsid w:val="00EE7AA1"/>
    <w:rsid w:val="00EF3AF7"/>
    <w:rsid w:val="00EF3CC0"/>
    <w:rsid w:val="00EF4F76"/>
    <w:rsid w:val="00EF5FAA"/>
    <w:rsid w:val="00EF64D7"/>
    <w:rsid w:val="00EF672D"/>
    <w:rsid w:val="00F01680"/>
    <w:rsid w:val="00F016FD"/>
    <w:rsid w:val="00F017DB"/>
    <w:rsid w:val="00F04562"/>
    <w:rsid w:val="00F05E26"/>
    <w:rsid w:val="00F102E5"/>
    <w:rsid w:val="00F1632F"/>
    <w:rsid w:val="00F207E7"/>
    <w:rsid w:val="00F24795"/>
    <w:rsid w:val="00F2609B"/>
    <w:rsid w:val="00F27E42"/>
    <w:rsid w:val="00F304C6"/>
    <w:rsid w:val="00F3156F"/>
    <w:rsid w:val="00F31D25"/>
    <w:rsid w:val="00F335F6"/>
    <w:rsid w:val="00F412F4"/>
    <w:rsid w:val="00F41A47"/>
    <w:rsid w:val="00F46879"/>
    <w:rsid w:val="00F46AF7"/>
    <w:rsid w:val="00F476E7"/>
    <w:rsid w:val="00F50F44"/>
    <w:rsid w:val="00F5436F"/>
    <w:rsid w:val="00F549A7"/>
    <w:rsid w:val="00F54A45"/>
    <w:rsid w:val="00F54A8A"/>
    <w:rsid w:val="00F566BB"/>
    <w:rsid w:val="00F637FA"/>
    <w:rsid w:val="00F63B5B"/>
    <w:rsid w:val="00F655C2"/>
    <w:rsid w:val="00F67832"/>
    <w:rsid w:val="00F722D3"/>
    <w:rsid w:val="00F7374D"/>
    <w:rsid w:val="00F742C3"/>
    <w:rsid w:val="00F77B30"/>
    <w:rsid w:val="00F81386"/>
    <w:rsid w:val="00F82ABB"/>
    <w:rsid w:val="00F83235"/>
    <w:rsid w:val="00F83997"/>
    <w:rsid w:val="00F876BA"/>
    <w:rsid w:val="00F915B3"/>
    <w:rsid w:val="00F93980"/>
    <w:rsid w:val="00F96673"/>
    <w:rsid w:val="00FA3309"/>
    <w:rsid w:val="00FA3519"/>
    <w:rsid w:val="00FA3DD0"/>
    <w:rsid w:val="00FA4DE9"/>
    <w:rsid w:val="00FA5331"/>
    <w:rsid w:val="00FB02D8"/>
    <w:rsid w:val="00FB3C46"/>
    <w:rsid w:val="00FB5F96"/>
    <w:rsid w:val="00FC0ECE"/>
    <w:rsid w:val="00FC613F"/>
    <w:rsid w:val="00FC781B"/>
    <w:rsid w:val="00FD4338"/>
    <w:rsid w:val="00FE66D4"/>
    <w:rsid w:val="00FE7E07"/>
    <w:rsid w:val="00FF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8033A0"/>
  <w15:chartTrackingRefBased/>
  <w15:docId w15:val="{792BAF31-1992-4434-8553-44342B71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F0"/>
    <w:pPr>
      <w:jc w:val="both"/>
    </w:pPr>
    <w:rPr>
      <w:rFonts w:ascii="Times New Roman" w:hAnsi="Times New Roman" w:cs="Calibri"/>
      <w:sz w:val="24"/>
    </w:rPr>
  </w:style>
  <w:style w:type="paragraph" w:styleId="Heading1">
    <w:name w:val="heading 1"/>
    <w:basedOn w:val="Normal"/>
    <w:next w:val="Normal"/>
    <w:link w:val="Heading1Char"/>
    <w:autoRedefine/>
    <w:uiPriority w:val="9"/>
    <w:qFormat/>
    <w:rsid w:val="00174659"/>
    <w:pPr>
      <w:keepNext/>
      <w:keepLines/>
      <w:spacing w:before="240"/>
      <w:ind w:left="360" w:hanging="360"/>
      <w:jc w:val="left"/>
      <w:outlineLvl w:val="0"/>
    </w:pPr>
    <w:rPr>
      <w:rFonts w:eastAsia="Times New Roman" w:cstheme="majorBidi"/>
      <w:b/>
      <w:bCs/>
      <w:szCs w:val="24"/>
    </w:rPr>
  </w:style>
  <w:style w:type="paragraph" w:styleId="Heading2">
    <w:name w:val="heading 2"/>
    <w:basedOn w:val="Normal"/>
    <w:next w:val="Normal"/>
    <w:link w:val="Heading2Char"/>
    <w:autoRedefine/>
    <w:uiPriority w:val="9"/>
    <w:unhideWhenUsed/>
    <w:qFormat/>
    <w:rsid w:val="00C427F0"/>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ED68D2"/>
    <w:pPr>
      <w:keepNext/>
      <w:keepLines/>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59"/>
    <w:rPr>
      <w:rFonts w:ascii="Times New Roman" w:eastAsia="Times New Roman" w:hAnsi="Times New Roman" w:cstheme="majorBidi"/>
      <w:b/>
      <w:bCs/>
      <w:sz w:val="24"/>
      <w:szCs w:val="24"/>
    </w:rPr>
  </w:style>
  <w:style w:type="character" w:customStyle="1" w:styleId="Heading2Char">
    <w:name w:val="Heading 2 Char"/>
    <w:basedOn w:val="DefaultParagraphFont"/>
    <w:link w:val="Heading2"/>
    <w:uiPriority w:val="9"/>
    <w:rsid w:val="00C427F0"/>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ED68D2"/>
    <w:rPr>
      <w:rFonts w:ascii="Times New Roman" w:eastAsiaTheme="majorEastAsia" w:hAnsi="Times New Roman" w:cstheme="majorBidi"/>
      <w:b/>
      <w:color w:val="000000" w:themeColor="text1"/>
      <w:sz w:val="24"/>
      <w:szCs w:val="24"/>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Footnote Text Char1,Testo_note,Testo_note1,fn"/>
    <w:basedOn w:val="Normal"/>
    <w:link w:val="FootnoteTextChar"/>
    <w:uiPriority w:val="99"/>
    <w:unhideWhenUsed/>
    <w:qFormat/>
    <w:rsid w:val="00C427F0"/>
    <w:pPr>
      <w:spacing w:after="0" w:line="240" w:lineRule="auto"/>
    </w:pPr>
    <w:rPr>
      <w:rFonts w:eastAsiaTheme="minorEastAsia" w:cstheme="minorBidi"/>
      <w:color w:val="000000" w:themeColor="text1"/>
      <w:sz w:val="18"/>
      <w:szCs w:val="20"/>
      <w:lang w:eastAsia="zh-CN"/>
    </w:rPr>
  </w:style>
  <w:style w:type="character" w:customStyle="1" w:styleId="FootnoteTextChar">
    <w:name w:val="Footnote Text Char"/>
    <w:aliases w:val="Footnote Text Char2 Char,Footnote Text Char Char1 Char,Footnote Text Char1 Char Char Char,Footnote Text Char Char Char Char Char,Footnote Text Char1 Char Char Char Char Char,Footnote Text Char Char Char Char Char Char Char,fn Char"/>
    <w:basedOn w:val="DefaultParagraphFont"/>
    <w:link w:val="FootnoteText"/>
    <w:uiPriority w:val="99"/>
    <w:rsid w:val="00C427F0"/>
    <w:rPr>
      <w:rFonts w:ascii="Times New Roman" w:eastAsiaTheme="minorEastAsia" w:hAnsi="Times New Roman"/>
      <w:color w:val="000000" w:themeColor="text1"/>
      <w:sz w:val="18"/>
      <w:szCs w:val="20"/>
      <w:lang w:eastAsia="zh-CN"/>
    </w:rPr>
  </w:style>
  <w:style w:type="character" w:styleId="FootnoteReference">
    <w:name w:val="footnote reference"/>
    <w:aliases w:val="ftref"/>
    <w:basedOn w:val="DefaultParagraphFont"/>
    <w:uiPriority w:val="99"/>
    <w:unhideWhenUsed/>
    <w:rsid w:val="00C427F0"/>
    <w:rPr>
      <w:vertAlign w:val="superscript"/>
    </w:rPr>
  </w:style>
  <w:style w:type="paragraph" w:customStyle="1" w:styleId="MTDisplayEquation">
    <w:name w:val="MTDisplayEquation"/>
    <w:basedOn w:val="Normal"/>
    <w:next w:val="Normal"/>
    <w:link w:val="MTDisplayEquationChar"/>
    <w:rsid w:val="00C427F0"/>
    <w:pPr>
      <w:tabs>
        <w:tab w:val="center" w:pos="4680"/>
        <w:tab w:val="right" w:pos="9360"/>
      </w:tabs>
      <w:spacing w:after="0" w:line="240" w:lineRule="auto"/>
    </w:pPr>
    <w:rPr>
      <w:rFonts w:eastAsiaTheme="minorEastAsia" w:cstheme="minorBidi"/>
      <w:lang w:eastAsia="ja-JP"/>
    </w:rPr>
  </w:style>
  <w:style w:type="character" w:customStyle="1" w:styleId="MTDisplayEquationChar">
    <w:name w:val="MTDisplayEquation Char"/>
    <w:basedOn w:val="DefaultParagraphFont"/>
    <w:link w:val="MTDisplayEquation"/>
    <w:rsid w:val="00C427F0"/>
    <w:rPr>
      <w:rFonts w:ascii="Times New Roman" w:eastAsiaTheme="minorEastAsia" w:hAnsi="Times New Roman"/>
      <w:sz w:val="24"/>
      <w:lang w:eastAsia="ja-JP"/>
    </w:rPr>
  </w:style>
  <w:style w:type="character" w:styleId="Hyperlink">
    <w:name w:val="Hyperlink"/>
    <w:basedOn w:val="DefaultParagraphFont"/>
    <w:uiPriority w:val="99"/>
    <w:unhideWhenUsed/>
    <w:rsid w:val="00C427F0"/>
    <w:rPr>
      <w:color w:val="0563C1" w:themeColor="hyperlink"/>
      <w:u w:val="single"/>
    </w:rPr>
  </w:style>
  <w:style w:type="paragraph" w:styleId="BalloonText">
    <w:name w:val="Balloon Text"/>
    <w:basedOn w:val="Normal"/>
    <w:link w:val="BalloonTextChar"/>
    <w:uiPriority w:val="99"/>
    <w:semiHidden/>
    <w:unhideWhenUsed/>
    <w:rsid w:val="00570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E29"/>
    <w:rPr>
      <w:rFonts w:ascii="Segoe UI" w:hAnsi="Segoe UI" w:cs="Segoe UI"/>
      <w:sz w:val="18"/>
      <w:szCs w:val="18"/>
    </w:rPr>
  </w:style>
  <w:style w:type="character" w:styleId="CommentReference">
    <w:name w:val="annotation reference"/>
    <w:basedOn w:val="DefaultParagraphFont"/>
    <w:uiPriority w:val="99"/>
    <w:semiHidden/>
    <w:unhideWhenUsed/>
    <w:rsid w:val="00570E29"/>
    <w:rPr>
      <w:sz w:val="16"/>
      <w:szCs w:val="16"/>
    </w:rPr>
  </w:style>
  <w:style w:type="paragraph" w:styleId="CommentText">
    <w:name w:val="annotation text"/>
    <w:basedOn w:val="Normal"/>
    <w:link w:val="CommentTextChar"/>
    <w:uiPriority w:val="99"/>
    <w:unhideWhenUsed/>
    <w:rsid w:val="00570E29"/>
    <w:pPr>
      <w:spacing w:line="240" w:lineRule="auto"/>
    </w:pPr>
    <w:rPr>
      <w:sz w:val="20"/>
      <w:szCs w:val="20"/>
    </w:rPr>
  </w:style>
  <w:style w:type="character" w:customStyle="1" w:styleId="CommentTextChar">
    <w:name w:val="Comment Text Char"/>
    <w:basedOn w:val="DefaultParagraphFont"/>
    <w:link w:val="CommentText"/>
    <w:uiPriority w:val="99"/>
    <w:rsid w:val="00570E29"/>
    <w:rPr>
      <w:rFonts w:ascii="Times New Roman" w:hAnsi="Times New Roman" w:cs="Calibri"/>
      <w:sz w:val="20"/>
      <w:szCs w:val="20"/>
    </w:rPr>
  </w:style>
  <w:style w:type="paragraph" w:styleId="CommentSubject">
    <w:name w:val="annotation subject"/>
    <w:basedOn w:val="CommentText"/>
    <w:next w:val="CommentText"/>
    <w:link w:val="CommentSubjectChar"/>
    <w:uiPriority w:val="99"/>
    <w:semiHidden/>
    <w:unhideWhenUsed/>
    <w:rsid w:val="00570E29"/>
    <w:rPr>
      <w:b/>
      <w:bCs/>
    </w:rPr>
  </w:style>
  <w:style w:type="character" w:customStyle="1" w:styleId="CommentSubjectChar">
    <w:name w:val="Comment Subject Char"/>
    <w:basedOn w:val="CommentTextChar"/>
    <w:link w:val="CommentSubject"/>
    <w:uiPriority w:val="99"/>
    <w:semiHidden/>
    <w:rsid w:val="00570E29"/>
    <w:rPr>
      <w:rFonts w:ascii="Times New Roman" w:hAnsi="Times New Roman" w:cs="Calibri"/>
      <w:b/>
      <w:bCs/>
      <w:sz w:val="20"/>
      <w:szCs w:val="20"/>
    </w:rPr>
  </w:style>
  <w:style w:type="paragraph" w:styleId="Revision">
    <w:name w:val="Revision"/>
    <w:hidden/>
    <w:uiPriority w:val="99"/>
    <w:semiHidden/>
    <w:rsid w:val="00087FE5"/>
    <w:pPr>
      <w:spacing w:after="0" w:line="240" w:lineRule="auto"/>
    </w:pPr>
    <w:rPr>
      <w:rFonts w:ascii="Times New Roman" w:hAnsi="Times New Roman" w:cs="Calibri"/>
      <w:sz w:val="24"/>
    </w:rPr>
  </w:style>
  <w:style w:type="character" w:customStyle="1" w:styleId="MTEquationSection">
    <w:name w:val="MTEquationSection"/>
    <w:basedOn w:val="DefaultParagraphFont"/>
    <w:rsid w:val="00714B71"/>
    <w:rPr>
      <w:vanish/>
      <w:color w:val="FF0000"/>
    </w:rPr>
  </w:style>
  <w:style w:type="paragraph" w:styleId="NoSpacing">
    <w:name w:val="No Spacing"/>
    <w:uiPriority w:val="1"/>
    <w:qFormat/>
    <w:rsid w:val="001C4C15"/>
    <w:pPr>
      <w:spacing w:after="0" w:line="240" w:lineRule="auto"/>
    </w:pPr>
    <w:rPr>
      <w:rFonts w:ascii="Times New Roman" w:eastAsiaTheme="minorEastAsia" w:hAnsi="Times New Roman"/>
      <w:sz w:val="24"/>
      <w:lang w:eastAsia="ja-JP"/>
    </w:rPr>
  </w:style>
  <w:style w:type="table" w:styleId="TableGrid">
    <w:name w:val="Table Grid"/>
    <w:basedOn w:val="TableNormal"/>
    <w:uiPriority w:val="39"/>
    <w:rsid w:val="001C4C15"/>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4C15"/>
    <w:pPr>
      <w:tabs>
        <w:tab w:val="center" w:pos="4680"/>
        <w:tab w:val="right" w:pos="9360"/>
      </w:tabs>
      <w:spacing w:after="0" w:line="240" w:lineRule="auto"/>
      <w:jc w:val="left"/>
    </w:pPr>
    <w:rPr>
      <w:rFonts w:eastAsiaTheme="minorEastAsia" w:cstheme="minorBidi"/>
      <w:lang w:eastAsia="ja-JP"/>
    </w:rPr>
  </w:style>
  <w:style w:type="character" w:customStyle="1" w:styleId="HeaderChar">
    <w:name w:val="Header Char"/>
    <w:basedOn w:val="DefaultParagraphFont"/>
    <w:link w:val="Header"/>
    <w:uiPriority w:val="99"/>
    <w:rsid w:val="001C4C15"/>
    <w:rPr>
      <w:rFonts w:ascii="Times New Roman" w:eastAsiaTheme="minorEastAsia" w:hAnsi="Times New Roman"/>
      <w:sz w:val="24"/>
      <w:lang w:eastAsia="ja-JP"/>
    </w:rPr>
  </w:style>
  <w:style w:type="paragraph" w:styleId="Footer">
    <w:name w:val="footer"/>
    <w:basedOn w:val="Normal"/>
    <w:link w:val="FooterChar"/>
    <w:uiPriority w:val="99"/>
    <w:unhideWhenUsed/>
    <w:rsid w:val="001C4C15"/>
    <w:pPr>
      <w:tabs>
        <w:tab w:val="center" w:pos="4680"/>
        <w:tab w:val="right" w:pos="9360"/>
      </w:tabs>
      <w:spacing w:after="0" w:line="240" w:lineRule="auto"/>
      <w:jc w:val="left"/>
    </w:pPr>
    <w:rPr>
      <w:rFonts w:eastAsiaTheme="minorEastAsia" w:cstheme="minorBidi"/>
      <w:lang w:eastAsia="ja-JP"/>
    </w:rPr>
  </w:style>
  <w:style w:type="character" w:customStyle="1" w:styleId="FooterChar">
    <w:name w:val="Footer Char"/>
    <w:basedOn w:val="DefaultParagraphFont"/>
    <w:link w:val="Footer"/>
    <w:uiPriority w:val="99"/>
    <w:rsid w:val="001C4C15"/>
    <w:rPr>
      <w:rFonts w:ascii="Times New Roman" w:eastAsiaTheme="minorEastAsia" w:hAnsi="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61815-27BC-4FA3-8C7A-042DC7E1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Kose</dc:creator>
  <cp:keywords/>
  <dc:description/>
  <cp:lastModifiedBy>Naotaka Sugawara</cp:lastModifiedBy>
  <cp:revision>4</cp:revision>
  <cp:lastPrinted>2021-07-02T03:47:00Z</cp:lastPrinted>
  <dcterms:created xsi:type="dcterms:W3CDTF">2022-03-29T13:47:00Z</dcterms:created>
  <dcterms:modified xsi:type="dcterms:W3CDTF">2022-03-29T17:36:00Z</dcterms:modified>
</cp:coreProperties>
</file>