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E" w:rsidRPr="00A64EE3" w:rsidRDefault="0023178E" w:rsidP="008D0547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A64EE3">
        <w:rPr>
          <w:rFonts w:ascii="Times New Roman" w:hAnsi="Times New Roman" w:cs="Times New Roman"/>
          <w:sz w:val="20"/>
        </w:rPr>
        <w:t>ANNEXURE - I</w:t>
      </w:r>
    </w:p>
    <w:p w:rsidR="008D0547" w:rsidRPr="00A64EE3" w:rsidRDefault="001A7446" w:rsidP="000332D0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64EE3">
        <w:rPr>
          <w:rFonts w:ascii="Times New Roman" w:hAnsi="Times New Roman" w:cs="Times New Roman"/>
          <w:sz w:val="20"/>
        </w:rPr>
        <w:t>Table 1</w:t>
      </w:r>
      <w:r w:rsidR="008D0547" w:rsidRPr="00A64EE3">
        <w:rPr>
          <w:rFonts w:ascii="Times New Roman" w:hAnsi="Times New Roman" w:cs="Times New Roman"/>
          <w:sz w:val="20"/>
        </w:rPr>
        <w:t>: Classification criteria for levels of evidence</w:t>
      </w:r>
    </w:p>
    <w:tbl>
      <w:tblPr>
        <w:tblStyle w:val="TableGrid"/>
        <w:tblW w:w="0" w:type="auto"/>
        <w:jc w:val="center"/>
        <w:tblInd w:w="36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8"/>
        <w:gridCol w:w="7020"/>
      </w:tblGrid>
      <w:tr w:rsidR="008D0547" w:rsidRPr="00A64EE3" w:rsidTr="00670D14">
        <w:trPr>
          <w:jc w:val="center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Levels of evidence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</w:tr>
      <w:tr w:rsidR="008D0547" w:rsidRPr="00A64EE3" w:rsidTr="00670D14">
        <w:trPr>
          <w:jc w:val="center"/>
        </w:trPr>
        <w:tc>
          <w:tcPr>
            <w:tcW w:w="3438" w:type="dxa"/>
            <w:tcBorders>
              <w:top w:val="single" w:sz="4" w:space="0" w:color="auto"/>
            </w:tcBorders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 (Strong Scientific Evidence)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Statistically significant evidence of benefit from &gt;2 properly randomized trials (RCTs), OR evidence from one properly conducted RCT AND one properly conducted meta-analysis.</w:t>
            </w:r>
          </w:p>
        </w:tc>
      </w:tr>
      <w:tr w:rsidR="008D0547" w:rsidRPr="00A64EE3" w:rsidTr="00670D14">
        <w:trPr>
          <w:jc w:val="center"/>
        </w:trPr>
        <w:tc>
          <w:tcPr>
            <w:tcW w:w="3438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B (Good Scientific Evidence)</w:t>
            </w:r>
          </w:p>
        </w:tc>
        <w:tc>
          <w:tcPr>
            <w:tcW w:w="7020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Statistically significant evidence of benefit from 1-2 properly randomized trials, OR evidence of benefit from &gt;1 properly conducted meta-analysis OR evidence of benefit from &gt;1 cohort/case-control/non-randomized trials.</w:t>
            </w:r>
          </w:p>
        </w:tc>
      </w:tr>
      <w:tr w:rsidR="008D0547" w:rsidRPr="00A64EE3" w:rsidTr="00670D14">
        <w:trPr>
          <w:jc w:val="center"/>
        </w:trPr>
        <w:tc>
          <w:tcPr>
            <w:tcW w:w="3438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 (Unclear or conflicting scientific evidence)</w:t>
            </w:r>
          </w:p>
        </w:tc>
        <w:tc>
          <w:tcPr>
            <w:tcW w:w="7020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Evidence of benefit from &gt;1 small RCT(s) without adequate size, power, statistical significance, or quality of design by objective criteria, OR conflicting evidence from multiple RCTs without a clear majority of the properly conducted trials showing evidence of benefit or ineffectiveness.</w:t>
            </w:r>
          </w:p>
        </w:tc>
      </w:tr>
      <w:tr w:rsidR="008D0547" w:rsidRPr="00A64EE3" w:rsidTr="00670D14">
        <w:trPr>
          <w:jc w:val="center"/>
        </w:trPr>
        <w:tc>
          <w:tcPr>
            <w:tcW w:w="3438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 (Fair Negative Scientific Evidence)</w:t>
            </w:r>
          </w:p>
        </w:tc>
        <w:tc>
          <w:tcPr>
            <w:tcW w:w="7020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Statistically significant negative evidence (i.e., lack of evidence of benefit) from cohort/case control/ non-randomized trials.</w:t>
            </w:r>
          </w:p>
        </w:tc>
      </w:tr>
      <w:tr w:rsidR="008D0547" w:rsidRPr="00A64EE3" w:rsidTr="00670D14">
        <w:trPr>
          <w:jc w:val="center"/>
        </w:trPr>
        <w:tc>
          <w:tcPr>
            <w:tcW w:w="3438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 (Strong Negative Scientific Evidence)</w:t>
            </w:r>
          </w:p>
        </w:tc>
        <w:tc>
          <w:tcPr>
            <w:tcW w:w="7020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Statistically significant negative evidence (i.e. lack of evidence of benefit) from &gt;1 properly randomized adequately powered trial(s) of high-quality design by objective criteria.</w:t>
            </w:r>
          </w:p>
        </w:tc>
      </w:tr>
      <w:tr w:rsidR="008D0547" w:rsidRPr="00A64EE3" w:rsidTr="00670D14">
        <w:trPr>
          <w:jc w:val="center"/>
        </w:trPr>
        <w:tc>
          <w:tcPr>
            <w:tcW w:w="3438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Lack of Evidence</w:t>
            </w:r>
          </w:p>
        </w:tc>
        <w:tc>
          <w:tcPr>
            <w:tcW w:w="7020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Unable to evaluate efficacy due to lack of adequate available data. This is not equivalent to negative evidence.</w:t>
            </w:r>
          </w:p>
        </w:tc>
      </w:tr>
    </w:tbl>
    <w:p w:rsidR="008D0547" w:rsidRPr="00A64EE3" w:rsidRDefault="008D0547" w:rsidP="008D0547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:rsidR="008D0547" w:rsidRPr="00A64EE3" w:rsidRDefault="00716AD4" w:rsidP="00033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4EE3">
        <w:rPr>
          <w:rFonts w:ascii="Times New Roman" w:hAnsi="Times New Roman" w:cs="Times New Roman"/>
          <w:sz w:val="20"/>
        </w:rPr>
        <w:t>Table 2</w:t>
      </w:r>
      <w:r w:rsidR="008D0547" w:rsidRPr="00A64EE3">
        <w:rPr>
          <w:rFonts w:ascii="Times New Roman" w:hAnsi="Times New Roman" w:cs="Times New Roman"/>
          <w:sz w:val="20"/>
        </w:rPr>
        <w:t>: Classification of clinical studies</w:t>
      </w:r>
    </w:p>
    <w:tbl>
      <w:tblPr>
        <w:tblStyle w:val="TableGrid"/>
        <w:tblW w:w="9360" w:type="dxa"/>
        <w:jc w:val="center"/>
        <w:tblInd w:w="-171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1"/>
        <w:gridCol w:w="6709"/>
      </w:tblGrid>
      <w:tr w:rsidR="008D0547" w:rsidRPr="00A64EE3" w:rsidTr="00670D14">
        <w:trPr>
          <w:jc w:val="center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Level of evidence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Study design</w:t>
            </w:r>
          </w:p>
        </w:tc>
      </w:tr>
      <w:tr w:rsidR="008D0547" w:rsidRPr="00A64EE3" w:rsidTr="00670D14">
        <w:trPr>
          <w:jc w:val="center"/>
        </w:trPr>
        <w:tc>
          <w:tcPr>
            <w:tcW w:w="2651" w:type="dxa"/>
            <w:tcBorders>
              <w:top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6709" w:type="dxa"/>
            <w:tcBorders>
              <w:top w:val="single" w:sz="4" w:space="0" w:color="auto"/>
            </w:tcBorders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Double-blind randomized clinical trials</w:t>
            </w:r>
          </w:p>
        </w:tc>
      </w:tr>
      <w:tr w:rsidR="008D0547" w:rsidRPr="00A64EE3" w:rsidTr="00670D14">
        <w:trPr>
          <w:jc w:val="center"/>
        </w:trPr>
        <w:tc>
          <w:tcPr>
            <w:tcW w:w="26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6709" w:type="dxa"/>
          </w:tcPr>
          <w:p w:rsidR="008D0547" w:rsidRPr="00A64EE3" w:rsidRDefault="008D0547" w:rsidP="001A7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Non-blinded randomized clinical trials, including those comparing homeopathy with conventional therapy as control (equivalence studies)</w:t>
            </w:r>
          </w:p>
        </w:tc>
      </w:tr>
      <w:tr w:rsidR="008D0547" w:rsidRPr="00A64EE3" w:rsidTr="00670D14">
        <w:trPr>
          <w:jc w:val="center"/>
        </w:trPr>
        <w:tc>
          <w:tcPr>
            <w:tcW w:w="26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9" w:type="dxa"/>
          </w:tcPr>
          <w:p w:rsidR="008D0547" w:rsidRPr="00A64EE3" w:rsidRDefault="008D0547" w:rsidP="001A7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Non-randomized controlled clinical trials, including those comparing homeopathy with conventional therapy (equivalence studies)</w:t>
            </w:r>
          </w:p>
        </w:tc>
      </w:tr>
      <w:tr w:rsidR="008D0547" w:rsidRPr="00A64EE3" w:rsidTr="00670D14">
        <w:trPr>
          <w:jc w:val="center"/>
        </w:trPr>
        <w:tc>
          <w:tcPr>
            <w:tcW w:w="26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9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 observational studies, without control group</w:t>
            </w:r>
          </w:p>
        </w:tc>
      </w:tr>
      <w:tr w:rsidR="008D0547" w:rsidRPr="00A64EE3" w:rsidTr="00670D14">
        <w:trPr>
          <w:jc w:val="center"/>
        </w:trPr>
        <w:tc>
          <w:tcPr>
            <w:tcW w:w="26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9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Retrospective studies of case-series</w:t>
            </w:r>
          </w:p>
        </w:tc>
      </w:tr>
    </w:tbl>
    <w:p w:rsidR="008D0547" w:rsidRPr="00A64EE3" w:rsidRDefault="008D0547" w:rsidP="008D054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D0547" w:rsidRPr="00A64EE3" w:rsidRDefault="00716AD4" w:rsidP="000332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>Table 3</w:t>
      </w:r>
      <w:r w:rsidR="008D0547" w:rsidRPr="00A64EE3">
        <w:rPr>
          <w:rFonts w:ascii="Times New Roman" w:hAnsi="Times New Roman" w:cs="Times New Roman"/>
          <w:sz w:val="20"/>
          <w:szCs w:val="20"/>
        </w:rPr>
        <w:t>: Classification of publications according to type</w:t>
      </w:r>
    </w:p>
    <w:tbl>
      <w:tblPr>
        <w:tblStyle w:val="TableGrid"/>
        <w:tblW w:w="8472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6521"/>
      </w:tblGrid>
      <w:tr w:rsidR="008D0547" w:rsidRPr="00A64EE3" w:rsidTr="00670D14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Publication type</w:t>
            </w:r>
          </w:p>
        </w:tc>
      </w:tr>
      <w:tr w:rsidR="008D0547" w:rsidRPr="00A64EE3" w:rsidTr="00670D14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Mainstream m</w:t>
            </w:r>
            <w:r w:rsidR="00C236BB" w:rsidRPr="00A64EE3">
              <w:rPr>
                <w:rFonts w:ascii="Times New Roman" w:hAnsi="Times New Roman" w:cs="Times New Roman"/>
                <w:sz w:val="20"/>
                <w:szCs w:val="20"/>
              </w:rPr>
              <w:t>edicine</w:t>
            </w:r>
            <w:r w:rsidR="00C81378" w:rsidRPr="00A64E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36B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indexed , peer-reviewed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journal</w:t>
            </w:r>
          </w:p>
        </w:tc>
      </w:tr>
      <w:tr w:rsidR="008D0547" w:rsidRPr="00A64EE3" w:rsidTr="00670D14">
        <w:trPr>
          <w:jc w:val="center"/>
        </w:trPr>
        <w:tc>
          <w:tcPr>
            <w:tcW w:w="19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6521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Complementary/alternative </w:t>
            </w:r>
            <w:r w:rsidR="00C236BB" w:rsidRPr="00A64EE3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r w:rsidR="00C81378" w:rsidRPr="00A64E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36B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indexed, peer reviewed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journal</w:t>
            </w:r>
          </w:p>
        </w:tc>
      </w:tr>
      <w:tr w:rsidR="008D0547" w:rsidRPr="00A64EE3" w:rsidTr="00670D14">
        <w:trPr>
          <w:jc w:val="center"/>
        </w:trPr>
        <w:tc>
          <w:tcPr>
            <w:tcW w:w="19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Non-indexed journal</w:t>
            </w:r>
          </w:p>
        </w:tc>
      </w:tr>
      <w:tr w:rsidR="008D0547" w:rsidRPr="00A64EE3" w:rsidTr="00670D14">
        <w:trPr>
          <w:jc w:val="center"/>
        </w:trPr>
        <w:tc>
          <w:tcPr>
            <w:tcW w:w="1951" w:type="dxa"/>
          </w:tcPr>
          <w:p w:rsidR="008D0547" w:rsidRPr="00A64EE3" w:rsidRDefault="008D0547" w:rsidP="001A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8D0547" w:rsidRPr="00A64EE3" w:rsidRDefault="008D0547" w:rsidP="001A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Book or book chapter, conference proceedings</w:t>
            </w:r>
            <w:r w:rsidR="000332D0" w:rsidRPr="00A64E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0332D0" w:rsidRPr="00A64EE3" w:rsidRDefault="000332D0" w:rsidP="00EE48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>*</w:t>
      </w:r>
      <w:r w:rsidRPr="00A64EE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book chapter’ is an exclusion criterion of the current review</w:t>
      </w:r>
    </w:p>
    <w:p w:rsidR="00C81B24" w:rsidRPr="00A64EE3" w:rsidRDefault="00C81B24" w:rsidP="00EE48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lastRenderedPageBreak/>
        <w:t xml:space="preserve">Table 4: </w:t>
      </w:r>
      <w:r w:rsidR="009A797D" w:rsidRPr="00A64EE3">
        <w:rPr>
          <w:rFonts w:ascii="Times New Roman" w:hAnsi="Times New Roman" w:cs="Times New Roman"/>
          <w:sz w:val="20"/>
          <w:szCs w:val="20"/>
        </w:rPr>
        <w:t>Number of published papers of the authors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402"/>
        <w:gridCol w:w="3605"/>
      </w:tblGrid>
      <w:tr w:rsidR="00C81B24" w:rsidRPr="00A64EE3" w:rsidTr="00C81B24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No. of published papers in urology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No. of published papers in other fields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Kurz C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</w:tcBorders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Naude DF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Hati AK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Gupta G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Rau MT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Heidl R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Malipatil CV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Thomas B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Siddiqui VA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Johny J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Oberai P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Dhawankar NV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Gupta N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81B24" w:rsidRPr="00A64EE3" w:rsidTr="00C81B24">
        <w:trPr>
          <w:jc w:val="center"/>
        </w:trPr>
        <w:tc>
          <w:tcPr>
            <w:tcW w:w="2235" w:type="dxa"/>
          </w:tcPr>
          <w:p w:rsidR="00C81B24" w:rsidRPr="00A64EE3" w:rsidRDefault="00C81B24" w:rsidP="00C81B24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Patil S</w:t>
            </w:r>
          </w:p>
        </w:tc>
        <w:tc>
          <w:tcPr>
            <w:tcW w:w="3402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:rsidR="00C81B24" w:rsidRPr="00A64EE3" w:rsidRDefault="00C81B24" w:rsidP="00C8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81B24" w:rsidRPr="00A64EE3" w:rsidRDefault="00C81B24" w:rsidP="00EE48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48B6" w:rsidRPr="00A64EE3" w:rsidRDefault="00433F10" w:rsidP="00EE48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5</w:t>
      </w:r>
      <w:r w:rsidR="00AC23DB" w:rsidRPr="00A64EE3">
        <w:rPr>
          <w:rFonts w:ascii="Times New Roman" w:hAnsi="Times New Roman" w:cs="Times New Roman"/>
          <w:sz w:val="20"/>
          <w:szCs w:val="20"/>
        </w:rPr>
        <w:t xml:space="preserve">: Details of </w:t>
      </w:r>
      <w:r w:rsidR="00EE48B6" w:rsidRPr="00A64EE3">
        <w:rPr>
          <w:rFonts w:ascii="Times New Roman" w:hAnsi="Times New Roman" w:cs="Times New Roman"/>
          <w:sz w:val="20"/>
          <w:szCs w:val="20"/>
        </w:rPr>
        <w:t xml:space="preserve">controlled trials on </w:t>
      </w:r>
      <w:r w:rsidRPr="00A64EE3">
        <w:rPr>
          <w:rFonts w:ascii="Times New Roman" w:hAnsi="Times New Roman" w:cs="Times New Roman"/>
          <w:sz w:val="20"/>
          <w:szCs w:val="20"/>
        </w:rPr>
        <w:t>urological disorder</w:t>
      </w:r>
      <w:r w:rsidR="005A2ADF" w:rsidRPr="00A64EE3">
        <w:rPr>
          <w:rFonts w:ascii="Times New Roman" w:hAnsi="Times New Roman" w:cs="Times New Roman"/>
          <w:sz w:val="20"/>
          <w:szCs w:val="20"/>
        </w:rPr>
        <w:t>s</w:t>
      </w:r>
    </w:p>
    <w:tbl>
      <w:tblPr>
        <w:tblStyle w:val="TableGrid"/>
        <w:tblW w:w="16290" w:type="dxa"/>
        <w:tblInd w:w="-97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0"/>
        <w:gridCol w:w="1170"/>
        <w:gridCol w:w="1440"/>
        <w:gridCol w:w="1260"/>
        <w:gridCol w:w="1454"/>
        <w:gridCol w:w="1353"/>
        <w:gridCol w:w="1624"/>
        <w:gridCol w:w="1417"/>
        <w:gridCol w:w="1082"/>
        <w:gridCol w:w="2250"/>
        <w:gridCol w:w="1530"/>
      </w:tblGrid>
      <w:tr w:rsidR="000E335A" w:rsidRPr="00A64EE3" w:rsidTr="00961AC5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  <w:r w:rsidR="005478EC" w:rsidRPr="00A64EE3">
              <w:rPr>
                <w:rFonts w:ascii="Times New Roman" w:hAnsi="Times New Roman" w:cs="Times New Roman"/>
                <w:sz w:val="20"/>
                <w:szCs w:val="20"/>
              </w:rPr>
              <w:t>erences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Study and publication type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Aim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Population and setting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Inclusion and exclusion criteria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E7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No. of patients – attrition – ITT/PP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E97" w:rsidRPr="00A64EE3" w:rsidRDefault="00E70E97" w:rsidP="0086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Key results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8EC" w:rsidRPr="00A64EE3" w:rsidRDefault="00E70E97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Funding</w:t>
            </w:r>
            <w:r w:rsidR="005478E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E97" w:rsidRPr="00A64EE3" w:rsidRDefault="005478EC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70E97" w:rsidRPr="00A64EE3">
              <w:rPr>
                <w:rFonts w:ascii="Times New Roman" w:hAnsi="Times New Roman" w:cs="Times New Roman"/>
                <w:sz w:val="20"/>
                <w:szCs w:val="20"/>
              </w:rPr>
              <w:t>onflict of interest</w:t>
            </w:r>
          </w:p>
        </w:tc>
      </w:tr>
      <w:tr w:rsidR="00C81378" w:rsidRPr="00A64EE3" w:rsidTr="00961AC5">
        <w:trPr>
          <w:trHeight w:val="1574"/>
        </w:trPr>
        <w:tc>
          <w:tcPr>
            <w:tcW w:w="1710" w:type="dxa"/>
            <w:tcBorders>
              <w:top w:val="single" w:sz="4" w:space="0" w:color="auto"/>
            </w:tcBorders>
          </w:tcPr>
          <w:p w:rsidR="00C81378" w:rsidRPr="00A64EE3" w:rsidRDefault="00C81378" w:rsidP="007074BF">
            <w:pPr>
              <w:spacing w:line="36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Saruggia M, et al, 1992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[19]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81378" w:rsidRPr="00A64EE3" w:rsidRDefault="00C81378" w:rsidP="0008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1a, 1b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81378" w:rsidRPr="00A64EE3" w:rsidRDefault="00C81378" w:rsidP="00C81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Efficacy of China rubra 9C in intradialytic symptoms in patients with end stage renal failure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81378" w:rsidRPr="00A64EE3" w:rsidRDefault="003254A8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35 patients (17 males and 18 females), </w:t>
            </w:r>
            <w:r w:rsidR="009E159C" w:rsidRPr="00A64EE3">
              <w:rPr>
                <w:rFonts w:ascii="Times New Roman" w:hAnsi="Times New Roman" w:cs="Times New Roman"/>
                <w:sz w:val="20"/>
                <w:szCs w:val="20"/>
              </w:rPr>
              <w:t>Bassini Hospital, Milan, Italy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C81378" w:rsidRPr="00A64EE3" w:rsidRDefault="003254A8" w:rsidP="00CB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Patients </w:t>
            </w:r>
            <w:r w:rsidR="009E159C" w:rsidRPr="00A64EE3">
              <w:rPr>
                <w:rFonts w:ascii="Times New Roman" w:hAnsi="Times New Roman" w:cs="Times New Roman"/>
                <w:sz w:val="20"/>
                <w:szCs w:val="20"/>
              </w:rPr>
              <w:t>with end-stage renal failure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r w:rsidR="009E159C" w:rsidRPr="00A64EE3">
              <w:rPr>
                <w:rFonts w:ascii="Times New Roman" w:hAnsi="Times New Roman" w:cs="Times New Roman"/>
                <w:sz w:val="20"/>
                <w:szCs w:val="20"/>
              </w:rPr>
              <w:t>chronic haemodialysis treatment (3 times per week), aged 18 to</w:t>
            </w:r>
            <w:r w:rsidR="00CB789A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76 years (mean 57.6 </w:t>
            </w:r>
            <w:r w:rsidR="009E159C" w:rsidRPr="00A64EE3">
              <w:rPr>
                <w:rFonts w:ascii="Times New Roman" w:hAnsi="Times New Roman" w:cs="Times New Roman"/>
                <w:sz w:val="20"/>
                <w:szCs w:val="20"/>
              </w:rPr>
              <w:t>years)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C81378" w:rsidRPr="00A64EE3" w:rsidRDefault="009E159C" w:rsidP="009E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Randomized, double-blind, placebo-controlled, cross-over study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C81378" w:rsidRPr="00A64EE3" w:rsidRDefault="00313FDF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China rubra 9C</w:t>
            </w:r>
            <w:r w:rsidR="009E159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(n=?)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81378" w:rsidRPr="00A64EE3" w:rsidRDefault="009E159C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Placebo (n=?)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81378" w:rsidRPr="00A64EE3" w:rsidRDefault="009E159C" w:rsidP="00E7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35-?-?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81378" w:rsidRPr="00A64EE3" w:rsidRDefault="009E159C" w:rsidP="009E1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Statistically significant improvements of asthenia, lethargy and headache were detected on active treatment compared to placebo. There was no significant change in nausea and vomiting.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81378" w:rsidRPr="00A64EE3" w:rsidRDefault="009E159C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7074BF" w:rsidRPr="00A64EE3" w:rsidTr="00961AC5">
        <w:trPr>
          <w:trHeight w:val="1574"/>
        </w:trPr>
        <w:tc>
          <w:tcPr>
            <w:tcW w:w="1710" w:type="dxa"/>
            <w:tcBorders>
              <w:top w:val="single" w:sz="4" w:space="0" w:color="auto"/>
            </w:tcBorders>
          </w:tcPr>
          <w:p w:rsidR="007074BF" w:rsidRPr="00A64EE3" w:rsidRDefault="006A3E53" w:rsidP="007074BF">
            <w:pPr>
              <w:spacing w:line="36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Kurz</w:t>
            </w:r>
            <w:r w:rsidR="007074B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C, et al, 1993 </w:t>
            </w:r>
            <w:r w:rsidR="007074BF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="007074BF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074BF" w:rsidRPr="00A64EE3" w:rsidRDefault="00DB32E7" w:rsidP="0008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236BB"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074BF" w:rsidRPr="00A64EE3" w:rsidRDefault="001D40FE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Efficacy of Causticum D4</w:t>
            </w:r>
            <w:r w:rsidR="0022407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irritable bladder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074BF" w:rsidRPr="00A64EE3" w:rsidRDefault="003A288D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All age groups</w:t>
            </w:r>
            <w:r w:rsidR="00003FC1" w:rsidRPr="00A64EE3">
              <w:rPr>
                <w:rFonts w:ascii="Times New Roman" w:hAnsi="Times New Roman" w:cs="Times New Roman"/>
                <w:sz w:val="20"/>
                <w:szCs w:val="20"/>
              </w:rPr>
              <w:t>; Vienna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7074BF" w:rsidRPr="00A64EE3" w:rsidRDefault="003A288D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Patients of all age groups with irritable bladder symptoms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7074BF" w:rsidRPr="00A64EE3" w:rsidRDefault="00961AC5" w:rsidP="00DB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Randomized</w:t>
            </w:r>
            <w:r w:rsidR="00DB32E7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, double-blind, </w:t>
            </w:r>
            <w:r w:rsidR="00623867" w:rsidRPr="00A64EE3">
              <w:rPr>
                <w:rFonts w:ascii="Times New Roman" w:hAnsi="Times New Roman" w:cs="Times New Roman"/>
                <w:sz w:val="20"/>
                <w:szCs w:val="20"/>
              </w:rPr>
              <w:t>placebo-controlled</w:t>
            </w:r>
            <w:r w:rsidR="00DB32E7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074BF" w:rsidRPr="00A64EE3" w:rsidRDefault="00623867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Causticum D4 </w:t>
            </w:r>
            <w:r w:rsidR="00A60EEE" w:rsidRPr="00A64EE3">
              <w:rPr>
                <w:rFonts w:ascii="Times New Roman" w:hAnsi="Times New Roman" w:cs="Times New Roman"/>
                <w:sz w:val="20"/>
                <w:szCs w:val="20"/>
              </w:rPr>
              <w:t>(n= 20)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74BF" w:rsidRPr="00A64EE3" w:rsidRDefault="00A60EEE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Placebo (n= 20)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7074BF" w:rsidRPr="00A64EE3" w:rsidRDefault="00CE764E" w:rsidP="00E7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40-</w:t>
            </w:r>
            <w:r w:rsidR="009F5F54" w:rsidRPr="00A64EE3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  <w:r w:rsidR="00DD1B9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(PP)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074BF" w:rsidRPr="00A64EE3" w:rsidRDefault="00334B4A" w:rsidP="00334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Patients </w:t>
            </w:r>
            <w:r w:rsidR="00CF4095" w:rsidRPr="00A64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treated with Causticum D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improved both subjectively and objectively</w:t>
            </w:r>
            <w:r w:rsidR="00CF4095" w:rsidRPr="00A64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in comparison with placebo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7074BF" w:rsidRPr="00A64EE3" w:rsidRDefault="009F5F54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B255F6" w:rsidRPr="00A64EE3" w:rsidTr="00961AC5">
        <w:tc>
          <w:tcPr>
            <w:tcW w:w="1710" w:type="dxa"/>
            <w:tcBorders>
              <w:top w:val="single" w:sz="4" w:space="0" w:color="auto"/>
            </w:tcBorders>
          </w:tcPr>
          <w:p w:rsidR="00B255F6" w:rsidRPr="00A64EE3" w:rsidRDefault="00B255F6" w:rsidP="001D725D">
            <w:pPr>
              <w:spacing w:line="36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Naude DF, et al, 2003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21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255F6" w:rsidRPr="00A64EE3" w:rsidRDefault="007D2CE4" w:rsidP="0008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>; 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255F6" w:rsidRPr="00A64EE3" w:rsidRDefault="002B69CD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Efficacy of Homeopathic complex (Cantharis v</w:t>
            </w:r>
            <w:r w:rsidR="00F74AE0" w:rsidRPr="00A64EE3">
              <w:rPr>
                <w:rFonts w:ascii="Times New Roman" w:hAnsi="Times New Roman" w:cs="Times New Roman"/>
                <w:sz w:val="20"/>
                <w:szCs w:val="20"/>
              </w:rPr>
              <w:t>esicatoris 12ch, Equisetum hyemnale 12ch, Staphisagria 12ch, Uva ursi 12ch) as well as Illex Paraguayensis 6x</w:t>
            </w:r>
            <w:r w:rsidR="0022407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nocturnal enuresis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255F6" w:rsidRPr="00A64EE3" w:rsidRDefault="00003FC1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Children; Durban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B255F6" w:rsidRPr="00A64EE3" w:rsidRDefault="00ED7F57" w:rsidP="00D6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Children between the age of five and eighteen</w:t>
            </w:r>
            <w:r w:rsidR="0090379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0C9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suffering from nocturnal eneuresis, </w:t>
            </w:r>
            <w:r w:rsidR="0090379F" w:rsidRPr="00A64EE3">
              <w:rPr>
                <w:rFonts w:ascii="Times New Roman" w:hAnsi="Times New Roman" w:cs="Times New Roman"/>
                <w:sz w:val="20"/>
                <w:szCs w:val="20"/>
              </w:rPr>
              <w:t>living in various</w:t>
            </w:r>
            <w:r w:rsidR="008B456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children homes in Durban</w:t>
            </w:r>
            <w:r w:rsidR="008315C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. Exclusion </w:t>
            </w:r>
            <w:r w:rsidR="00C35896" w:rsidRPr="00A64EE3">
              <w:rPr>
                <w:rFonts w:ascii="Times New Roman" w:hAnsi="Times New Roman" w:cs="Times New Roman"/>
                <w:sz w:val="20"/>
                <w:szCs w:val="20"/>
              </w:rPr>
              <w:t>criteria were not stated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B255F6" w:rsidRPr="00A64EE3" w:rsidRDefault="00D330DB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Non randomized, non blinded, placebo controlled trial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B255F6" w:rsidRPr="00A64EE3" w:rsidRDefault="004E42D6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B752CB" w:rsidRPr="00A64EE3">
              <w:rPr>
                <w:rFonts w:ascii="Times New Roman" w:hAnsi="Times New Roman" w:cs="Times New Roman"/>
                <w:sz w:val="20"/>
                <w:szCs w:val="20"/>
              </w:rPr>
              <w:t>eopathic complex (</w:t>
            </w:r>
            <w:r w:rsidR="0022407D" w:rsidRPr="00A64EE3">
              <w:rPr>
                <w:rFonts w:ascii="Times New Roman" w:hAnsi="Times New Roman" w:cs="Times New Roman"/>
                <w:sz w:val="20"/>
                <w:szCs w:val="20"/>
              </w:rPr>
              <w:t>Cantharis v</w:t>
            </w:r>
            <w:r w:rsidR="00FF0430" w:rsidRPr="00A64EE3">
              <w:rPr>
                <w:rFonts w:ascii="Times New Roman" w:hAnsi="Times New Roman" w:cs="Times New Roman"/>
                <w:sz w:val="20"/>
                <w:szCs w:val="20"/>
              </w:rPr>
              <w:t>esicatoris 12ch, Equisetum hy</w:t>
            </w:r>
            <w:r w:rsidR="00A6239C" w:rsidRPr="00A64EE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F0430" w:rsidRPr="00A64EE3">
              <w:rPr>
                <w:rFonts w:ascii="Times New Roman" w:hAnsi="Times New Roman" w:cs="Times New Roman"/>
                <w:sz w:val="20"/>
                <w:szCs w:val="20"/>
              </w:rPr>
              <w:t>mnale</w:t>
            </w:r>
            <w:r w:rsidR="00A6239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12ch, </w:t>
            </w:r>
            <w:r w:rsidR="00B10359" w:rsidRPr="00A64EE3">
              <w:rPr>
                <w:rFonts w:ascii="Times New Roman" w:hAnsi="Times New Roman" w:cs="Times New Roman"/>
                <w:sz w:val="20"/>
                <w:szCs w:val="20"/>
              </w:rPr>
              <w:t>Staphisagria 12ch, Uva ursi 12ch</w:t>
            </w:r>
            <w:r w:rsidR="00C2534B" w:rsidRPr="00A64EE3">
              <w:rPr>
                <w:rFonts w:ascii="Times New Roman" w:hAnsi="Times New Roman" w:cs="Times New Roman"/>
                <w:sz w:val="20"/>
                <w:szCs w:val="20"/>
              </w:rPr>
              <w:t>) as well as Illex Paraguayensis 6x</w:t>
            </w:r>
            <w:r w:rsidR="001D725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(n=16)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5F6" w:rsidRPr="00A64EE3" w:rsidRDefault="00C2534B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  <w:r w:rsidR="001D725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(n=16)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B255F6" w:rsidRPr="00A64EE3" w:rsidRDefault="005964C7" w:rsidP="0036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D725D" w:rsidRPr="00A64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669" w:rsidRPr="00A64EE3">
              <w:rPr>
                <w:rFonts w:ascii="Times New Roman" w:hAnsi="Times New Roman" w:cs="Times New Roman"/>
                <w:sz w:val="20"/>
                <w:szCs w:val="20"/>
              </w:rPr>
              <w:t>?-</w:t>
            </w:r>
            <w:r w:rsidR="003651C4" w:rsidRPr="00A64EE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D1B9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651C4" w:rsidRPr="00A64EE3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="00DD1B9D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B255F6" w:rsidRPr="00A64EE3" w:rsidRDefault="006F694F" w:rsidP="00386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The treatment group showed statistical sig</w:t>
            </w:r>
            <w:r w:rsidR="000D0711" w:rsidRPr="00A64EE3">
              <w:rPr>
                <w:rFonts w:ascii="Times New Roman" w:hAnsi="Times New Roman" w:cs="Times New Roman"/>
                <w:sz w:val="20"/>
                <w:szCs w:val="20"/>
              </w:rPr>
              <w:t>nificant result in comparison with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placebo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255F6" w:rsidRPr="00A64EE3" w:rsidRDefault="00627ED4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B255F6" w:rsidRPr="00A64EE3" w:rsidTr="00961AC5">
        <w:tc>
          <w:tcPr>
            <w:tcW w:w="1710" w:type="dxa"/>
            <w:tcBorders>
              <w:top w:val="single" w:sz="4" w:space="0" w:color="auto"/>
            </w:tcBorders>
          </w:tcPr>
          <w:p w:rsidR="00B255F6" w:rsidRPr="00A64EE3" w:rsidRDefault="00B255F6" w:rsidP="009C2236">
            <w:pPr>
              <w:spacing w:line="36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Hati AK, et al.,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03196A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255F6" w:rsidRPr="00A64EE3" w:rsidRDefault="008214BD" w:rsidP="0008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35896"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25335" w:rsidRPr="00A64EE3" w:rsidRDefault="00C800F6" w:rsidP="00224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Comparison </w:t>
            </w:r>
            <w:r w:rsidR="00625335" w:rsidRPr="00A64EE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625335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organopathic (OM),</w:t>
            </w:r>
          </w:p>
          <w:p w:rsidR="00B255F6" w:rsidRPr="00A64EE3" w:rsidRDefault="00625335" w:rsidP="00224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constitutional (CM) homeopathic medicines alone, or in</w:t>
            </w:r>
            <w:r w:rsidR="00C800F6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combinati</w:t>
            </w:r>
            <w:r w:rsidR="00D16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(BCOM) in the treatment of </w:t>
            </w:r>
            <w:r w:rsidR="00D16673" w:rsidRPr="00D1667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B</w:t>
            </w:r>
            <w:r w:rsidRPr="00D1667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H</w:t>
            </w:r>
            <w:r w:rsidR="00D16673" w:rsidRPr="00D1667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255F6" w:rsidRPr="00A64EE3" w:rsidRDefault="00995AC5" w:rsidP="00A1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Adults; Odisha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8528FA" w:rsidRPr="00A64EE3" w:rsidRDefault="000C4452" w:rsidP="000D6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Diagnosed case</w:t>
            </w:r>
            <w:r w:rsidR="00CF4095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EE68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B</w:t>
            </w:r>
            <w:r w:rsidR="00EE6866" w:rsidRPr="00EE68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HP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528FA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residing at </w:t>
            </w:r>
            <w:r w:rsidR="00CF4095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Odisha</w:t>
            </w:r>
            <w:r w:rsidR="006C22E9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8528FA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aged 30</w:t>
            </w:r>
            <w:r w:rsidR="00CF4095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6C22E9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="00CF4095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yrs</w:t>
            </w:r>
            <w:r w:rsidR="006C22E9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8528FA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presenting symptoms of prostatism, with</w:t>
            </w:r>
            <w:r w:rsidR="002E16B2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528FA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without evidence of bladder outflow obstruction</w:t>
            </w:r>
            <w:r w:rsidR="00C96918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Patient with </w:t>
            </w:r>
            <w:r w:rsidR="008528FA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serum prostate specific</w:t>
            </w:r>
          </w:p>
          <w:p w:rsidR="00B255F6" w:rsidRPr="00A64EE3" w:rsidRDefault="008528FA" w:rsidP="004D3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antigen (PSA) &gt;</w:t>
            </w:r>
            <w:r w:rsidR="00C96918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nmol/mL;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malignancy, complete urinary</w:t>
            </w:r>
            <w:r w:rsidR="00B66159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retention or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stone formation and gross bilateral hydronephrosi</w:t>
            </w:r>
            <w:r w:rsidR="00C96918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were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excluded from the study.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B255F6" w:rsidRPr="00A64EE3" w:rsidRDefault="00A4154F" w:rsidP="00BD6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</w:t>
            </w:r>
            <w:r w:rsidR="002E16B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ontrolled </w:t>
            </w:r>
            <w:r w:rsidR="00687820" w:rsidRPr="00A64EE3">
              <w:rPr>
                <w:rFonts w:ascii="Times New Roman" w:hAnsi="Times New Roman" w:cs="Times New Roman"/>
                <w:sz w:val="20"/>
                <w:szCs w:val="20"/>
              </w:rPr>
              <w:t>trial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(non-randomized and sequentially allocated)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B255F6" w:rsidRPr="00A64EE3" w:rsidRDefault="009C3B63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Combination of orga</w:t>
            </w:r>
            <w:r w:rsidR="002E16B2" w:rsidRPr="00A64EE3">
              <w:rPr>
                <w:rFonts w:ascii="Times New Roman" w:hAnsi="Times New Roman" w:cs="Times New Roman"/>
                <w:sz w:val="20"/>
                <w:szCs w:val="20"/>
              </w:rPr>
              <w:t>nopathic and constitutional hom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="000A7A6E" w:rsidRPr="00A64EE3">
              <w:rPr>
                <w:rFonts w:ascii="Times New Roman" w:hAnsi="Times New Roman" w:cs="Times New Roman"/>
                <w:sz w:val="20"/>
                <w:szCs w:val="20"/>
              </w:rPr>
              <w:t>s (BCOM)</w:t>
            </w:r>
            <w:r w:rsidR="004A28D0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(n=77)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5F6" w:rsidRPr="00A64EE3" w:rsidRDefault="000A7A6E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Organopathic medicines (OM) </w:t>
            </w:r>
            <w:r w:rsidR="004A28D0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(73)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and Constitutional medicines (CM)</w:t>
            </w:r>
            <w:r w:rsidR="004A28D0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(70)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B255F6" w:rsidRPr="00A64EE3" w:rsidRDefault="00F61EED" w:rsidP="00E7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220-</w:t>
            </w:r>
            <w:r w:rsidR="00823BA7" w:rsidRPr="00A64EE3">
              <w:rPr>
                <w:rFonts w:ascii="Times New Roman" w:hAnsi="Times New Roman" w:cs="Times New Roman"/>
                <w:sz w:val="20"/>
                <w:szCs w:val="20"/>
              </w:rPr>
              <w:t>40-180 (PP)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B255F6" w:rsidRPr="00A64EE3" w:rsidRDefault="00456A69" w:rsidP="00F41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Homeopathic combined constitutiona</w:t>
            </w:r>
            <w:r w:rsidR="002E16B2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and organopathic treatment had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greater beneficial</w:t>
            </w:r>
            <w:r w:rsidR="002E16B2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415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effect on patients with </w:t>
            </w:r>
            <w:r w:rsidR="00F4159A" w:rsidRPr="00F4159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BHP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than either constitutional or organopathic</w:t>
            </w:r>
            <w:r w:rsidR="00225CC9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treatment alone, in terms of subjective parameters,</w:t>
            </w:r>
            <w:r w:rsidR="000D0711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residual volume, uroflowmetry, although not in terms of prostate weight, estimated by ultrasonography.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255F6" w:rsidRPr="00A64EE3" w:rsidRDefault="009C3B63" w:rsidP="00E7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</w:tbl>
    <w:p w:rsidR="00234205" w:rsidRPr="00A64EE3" w:rsidRDefault="00234205" w:rsidP="006B29F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6B29F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301E" w:rsidRPr="00A64EE3" w:rsidRDefault="002F301E" w:rsidP="006B29F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6</w:t>
      </w:r>
      <w:r w:rsidRPr="00A64EE3">
        <w:rPr>
          <w:rFonts w:ascii="Times New Roman" w:hAnsi="Times New Roman" w:cs="Times New Roman"/>
          <w:sz w:val="20"/>
          <w:szCs w:val="20"/>
        </w:rPr>
        <w:t xml:space="preserve">: Details of </w:t>
      </w:r>
      <w:r w:rsidR="00236652" w:rsidRPr="00A64EE3">
        <w:rPr>
          <w:rFonts w:ascii="Times New Roman" w:hAnsi="Times New Roman" w:cs="Times New Roman"/>
          <w:sz w:val="20"/>
          <w:szCs w:val="20"/>
        </w:rPr>
        <w:t>observational</w:t>
      </w:r>
      <w:r w:rsidRPr="00A64EE3">
        <w:rPr>
          <w:rFonts w:ascii="Times New Roman" w:hAnsi="Times New Roman" w:cs="Times New Roman"/>
          <w:sz w:val="20"/>
          <w:szCs w:val="20"/>
        </w:rPr>
        <w:t xml:space="preserve"> </w:t>
      </w:r>
      <w:r w:rsidR="00D4553E" w:rsidRPr="00A64EE3">
        <w:rPr>
          <w:rFonts w:ascii="Times New Roman" w:hAnsi="Times New Roman" w:cs="Times New Roman"/>
          <w:sz w:val="20"/>
          <w:szCs w:val="20"/>
        </w:rPr>
        <w:t>studies / non-</w:t>
      </w:r>
      <w:r w:rsidR="00F53E43" w:rsidRPr="00A64EE3">
        <w:rPr>
          <w:rFonts w:ascii="Times New Roman" w:hAnsi="Times New Roman" w:cs="Times New Roman"/>
          <w:sz w:val="20"/>
          <w:szCs w:val="20"/>
        </w:rPr>
        <w:t xml:space="preserve">randomised </w:t>
      </w:r>
      <w:r w:rsidRPr="00A64EE3">
        <w:rPr>
          <w:rFonts w:ascii="Times New Roman" w:hAnsi="Times New Roman" w:cs="Times New Roman"/>
          <w:sz w:val="20"/>
          <w:szCs w:val="20"/>
        </w:rPr>
        <w:t xml:space="preserve">trials on </w:t>
      </w:r>
      <w:r w:rsidR="004A28D0" w:rsidRPr="00A64EE3">
        <w:rPr>
          <w:rFonts w:ascii="Times New Roman" w:hAnsi="Times New Roman" w:cs="Times New Roman"/>
          <w:sz w:val="20"/>
          <w:szCs w:val="20"/>
        </w:rPr>
        <w:t>urological disorder</w:t>
      </w:r>
    </w:p>
    <w:tbl>
      <w:tblPr>
        <w:tblStyle w:val="TableGrid"/>
        <w:tblW w:w="16110" w:type="dxa"/>
        <w:tblInd w:w="-97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0"/>
        <w:gridCol w:w="1080"/>
        <w:gridCol w:w="90"/>
        <w:gridCol w:w="1461"/>
        <w:gridCol w:w="1329"/>
        <w:gridCol w:w="1647"/>
        <w:gridCol w:w="1418"/>
        <w:gridCol w:w="1795"/>
        <w:gridCol w:w="2250"/>
        <w:gridCol w:w="1710"/>
        <w:gridCol w:w="1620"/>
      </w:tblGrid>
      <w:tr w:rsidR="008A4CCD" w:rsidRPr="00A64EE3" w:rsidTr="00A66EEB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Study and publication type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Aim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Population and setting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Inclusion and exclusion criteria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No. of patients – attrition – ITT/PP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Key results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Funding – </w:t>
            </w:r>
          </w:p>
          <w:p w:rsidR="008A4CCD" w:rsidRPr="00A64EE3" w:rsidRDefault="008A4CC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conflict of interest</w:t>
            </w:r>
          </w:p>
        </w:tc>
      </w:tr>
      <w:tr w:rsidR="00666F99" w:rsidRPr="00A64EE3" w:rsidTr="00A66EEB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G; 1994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3; 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 of indi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>vidualized hom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="00100C66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B3DB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prostatic hypertrophy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Adults; Lucknow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Prospective, open, observational study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4E42D6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666F99" w:rsidRPr="00A64EE3">
              <w:rPr>
                <w:rFonts w:ascii="Times New Roman" w:hAnsi="Times New Roman" w:cs="Times New Roman"/>
                <w:sz w:val="20"/>
                <w:szCs w:val="20"/>
              </w:rPr>
              <w:t>eopathic individualized medicine</w:t>
            </w:r>
            <w:r w:rsidR="00CF2AE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(n=100)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100-33-66 (PP)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A66EEB" w:rsidRPr="00A64EE3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</w:t>
            </w:r>
            <w:r w:rsidR="00A70A0B" w:rsidRPr="00A64EE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hic</w:t>
            </w:r>
          </w:p>
          <w:p w:rsidR="00666F99" w:rsidRPr="00A64EE3" w:rsidRDefault="00A66EEB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drugs showed</w:t>
            </w:r>
            <w:r w:rsidR="00666F99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promising</w:t>
            </w:r>
          </w:p>
          <w:p w:rsidR="00666F99" w:rsidRPr="00A64EE3" w:rsidRDefault="008936D8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action in each grade of prosta</w:t>
            </w:r>
            <w:r w:rsidR="00666F99" w:rsidRPr="00A64EE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</w:p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hypertrophy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66F99" w:rsidRPr="00A64EE3" w:rsidRDefault="00666F99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714E3B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714E3B" w:rsidP="00225C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Rau MT, 2003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24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14E3B" w:rsidRPr="00A64EE3" w:rsidRDefault="00B3541B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>; 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714E3B" w:rsidRPr="00A64EE3" w:rsidRDefault="003A728F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r w:rsidR="0051131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A8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and tolerability </w:t>
            </w:r>
            <w:r w:rsidR="00511316" w:rsidRPr="00A64EE3">
              <w:rPr>
                <w:rFonts w:ascii="Times New Roman" w:hAnsi="Times New Roman" w:cs="Times New Roman"/>
                <w:sz w:val="20"/>
                <w:szCs w:val="20"/>
              </w:rPr>
              <w:t>of FOMEPIKEHL D5 drops</w:t>
            </w:r>
            <w:r w:rsidR="00BB3DB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for prostate adenomas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714E3B" w:rsidRPr="00A64EE3" w:rsidRDefault="00BF3CCE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Adults; </w:t>
            </w:r>
            <w:r w:rsidR="00080068" w:rsidRPr="00A64EE3">
              <w:rPr>
                <w:rFonts w:ascii="Times New Roman" w:hAnsi="Times New Roman" w:cs="Times New Roman"/>
                <w:sz w:val="20"/>
                <w:szCs w:val="20"/>
              </w:rPr>
              <w:t>Switzerland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714E3B" w:rsidRPr="00A64EE3" w:rsidRDefault="0084360C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Diagnosed cases o</w:t>
            </w:r>
            <w:r w:rsidR="00B66159" w:rsidRPr="00A64EE3">
              <w:rPr>
                <w:rFonts w:ascii="Times New Roman" w:hAnsi="Times New Roman" w:cs="Times New Roman"/>
                <w:sz w:val="20"/>
                <w:szCs w:val="20"/>
              </w:rPr>
              <w:t>f Prostate Adenoma; aged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30-88</w:t>
            </w:r>
            <w:r w:rsidR="00B66159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yrs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4E3B" w:rsidRPr="00A64EE3" w:rsidRDefault="00DA1143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714E3B" w:rsidRPr="00A64EE3" w:rsidRDefault="00511316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FOMEPIKEHL D5 drops</w:t>
            </w:r>
            <w:r w:rsidR="00012FF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(n=60)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14E3B" w:rsidRPr="00A64EE3" w:rsidRDefault="00511316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60-</w:t>
            </w:r>
            <w:r w:rsidR="001540FD"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2AE2" w:rsidRPr="00A64EE3">
              <w:rPr>
                <w:rFonts w:ascii="Times New Roman" w:hAnsi="Times New Roman" w:cs="Times New Roman"/>
                <w:sz w:val="20"/>
                <w:szCs w:val="20"/>
              </w:rPr>
              <w:t>-60 (PP</w:t>
            </w:r>
            <w:r w:rsidR="00DA1143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A66EEB" w:rsidP="0010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FOMEPIKEHL D5 drops was </w:t>
            </w:r>
            <w:r w:rsidR="00100C2A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well-tolerated and efficient therapeutic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agent for </w:t>
            </w:r>
            <w:r w:rsidR="00BB3DBB" w:rsidRPr="00A64EE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00C2A" w:rsidRPr="00A64EE3">
              <w:rPr>
                <w:rFonts w:ascii="Times New Roman" w:hAnsi="Times New Roman" w:cs="Times New Roman"/>
                <w:sz w:val="20"/>
                <w:szCs w:val="20"/>
              </w:rPr>
              <w:t>rostate adenomas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14E3B" w:rsidRPr="00A64EE3" w:rsidRDefault="00100C2A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714E3B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714E3B" w:rsidP="00225C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2006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14E3B" w:rsidRPr="00A64EE3" w:rsidRDefault="005B2784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>; 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714E3B" w:rsidRPr="00A64EE3" w:rsidRDefault="003A77F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Role 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>of hom</w:t>
            </w:r>
            <w:r w:rsidR="007D7A8F"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="00E85E9E" w:rsidRPr="00A64EE3">
              <w:rPr>
                <w:rFonts w:ascii="Times New Roman" w:hAnsi="Times New Roman" w:cs="Times New Roman"/>
                <w:sz w:val="20"/>
                <w:szCs w:val="20"/>
              </w:rPr>
              <w:t>s in benign prostatic hypertrophy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714E3B" w:rsidRPr="00A64EE3" w:rsidRDefault="00A10567" w:rsidP="007B1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Adults; Luckno</w:t>
            </w:r>
            <w:r w:rsidR="007B1ABC" w:rsidRPr="00A64E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714E3B" w:rsidRPr="00A64EE3" w:rsidRDefault="00D459BD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Diagnosed cases of </w:t>
            </w:r>
            <w:r w:rsidRPr="005648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  <w:r w:rsidR="00564851" w:rsidRPr="005648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HP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4E3B" w:rsidRPr="00A64EE3" w:rsidRDefault="0018539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714E3B" w:rsidRPr="00A64EE3" w:rsidRDefault="00482CEF" w:rsidP="000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185395" w:rsidRPr="00A64EE3">
              <w:rPr>
                <w:rFonts w:ascii="Times New Roman" w:hAnsi="Times New Roman" w:cs="Times New Roman"/>
                <w:sz w:val="20"/>
                <w:szCs w:val="20"/>
              </w:rPr>
              <w:t>eopathic individualized medicine</w:t>
            </w:r>
            <w:r w:rsidR="00E85E9E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12FF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206)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14E3B" w:rsidRPr="00A64EE3" w:rsidRDefault="00A2387C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206-0-206 (PP</w:t>
            </w:r>
            <w:r w:rsidR="00D459BD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FE20B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A743FA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medicine </w:t>
            </w:r>
            <w:r w:rsidR="00AF6A80" w:rsidRPr="00A64EE3">
              <w:rPr>
                <w:rFonts w:ascii="Times New Roman" w:hAnsi="Times New Roman" w:cs="Times New Roman"/>
                <w:sz w:val="20"/>
                <w:szCs w:val="20"/>
              </w:rPr>
              <w:t>shows marvellous response in symptom complex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14E3B" w:rsidRPr="00A64EE3" w:rsidRDefault="003C56D4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714E3B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714E3B" w:rsidP="00225C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26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14E3B" w:rsidRPr="00A64EE3" w:rsidRDefault="00A2687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54531"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714E3B" w:rsidRPr="00A64EE3" w:rsidRDefault="003A77F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of hom</w:t>
            </w:r>
            <w:r w:rsidR="00A10567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</w:t>
            </w:r>
            <w:r w:rsidR="00A10567"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medicine</w:t>
            </w:r>
            <w:r w:rsidR="005C5126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85E9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E85E9E"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  <w:r w:rsidR="00E30E7B"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HP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714E3B" w:rsidRPr="00A64EE3" w:rsidRDefault="00A1056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Adults; Lucknow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170DBE" w:rsidRPr="00A64EE3" w:rsidRDefault="003918FC" w:rsidP="00391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>above 50 years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with signs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symptoms</w:t>
            </w:r>
          </w:p>
          <w:p w:rsidR="00714E3B" w:rsidRPr="00A64EE3" w:rsidRDefault="00E30E7B" w:rsidP="0048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  <w:r w:rsidR="00170DBE"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</w:t>
            </w:r>
            <w:r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</w:t>
            </w:r>
            <w:r w:rsidR="003918FC" w:rsidRPr="00A64E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PSA </w:t>
            </w:r>
            <w:r w:rsidR="003918F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level equal to or below 4 ng/ml;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presence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>of smooth firm elastic enlargement of prostate on DRE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D5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>enlarged prostate weighing more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than 20 grams on </w:t>
            </w:r>
            <w:r w:rsidR="00446D5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USG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>were found eligible</w:t>
            </w:r>
            <w:r w:rsidR="00446D5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>to participate in the study.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4E3B" w:rsidRPr="00A64EE3" w:rsidRDefault="00170DBE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Prospective, </w:t>
            </w:r>
            <w:r w:rsidR="001E31D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open,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714E3B" w:rsidRPr="00A64EE3" w:rsidRDefault="00482CEF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Hom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individualized </w:t>
            </w:r>
            <w:r w:rsidR="00170DBE"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medicine</w:t>
            </w:r>
            <w:r w:rsidR="005C5126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12FF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(n=121)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14E3B" w:rsidRPr="00A64EE3" w:rsidRDefault="000E5F2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121-78-43 (PP)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1E31DE" w:rsidP="00CD2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93% of </w:t>
            </w:r>
            <w:r w:rsidR="004C5918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patients </w:t>
            </w:r>
            <w:r w:rsidR="004C5918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improved </w:t>
            </w:r>
            <w:r w:rsidR="00120705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clinicall</w:t>
            </w:r>
            <w:r w:rsidR="004C5918"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positive changes in diagnostic parameters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14E3B" w:rsidRPr="00A64EE3" w:rsidRDefault="0071057A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Not stated</w:t>
            </w:r>
          </w:p>
        </w:tc>
      </w:tr>
      <w:tr w:rsidR="00714E3B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714E3B" w:rsidP="00225C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Heidl R,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14E3B" w:rsidRPr="00A64EE3" w:rsidRDefault="00BF0E5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7474D"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714E3B" w:rsidRPr="00A64EE3" w:rsidRDefault="003A77F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r w:rsidR="00BF0E5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and tolerability of FOMEPIKEHL D5 drops</w:t>
            </w:r>
            <w:r w:rsidR="000D64C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prostate adenoma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714E3B" w:rsidRPr="00A64EE3" w:rsidRDefault="00703C94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482CEF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02267" w:rsidRPr="00A64EE3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714E3B" w:rsidRPr="00A64EE3" w:rsidRDefault="00BC1C8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4E3B" w:rsidRPr="00A64EE3" w:rsidRDefault="00BC1C8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714E3B" w:rsidRPr="00A64EE3" w:rsidRDefault="00BC1C8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Efficacy and tolerability of FOMEPIKEHL D5 drops</w:t>
            </w:r>
            <w:r w:rsidR="00012FF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(n=6</w:t>
            </w:r>
            <w:r w:rsidR="00DF73D6" w:rsidRPr="00A64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2FF8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14E3B" w:rsidRPr="00A64EE3" w:rsidRDefault="00A2387C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64-0-64 (PP</w:t>
            </w:r>
            <w:r w:rsidR="00820E9C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34238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6EBB" w:rsidRPr="00A64EE3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="00CB0B2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% patients shows very good to moderate response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14E3B" w:rsidRPr="00A64EE3" w:rsidRDefault="00BC1C8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8A243F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8A243F" w:rsidRPr="00A64EE3" w:rsidRDefault="008A243F" w:rsidP="007F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Malipatil CV,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FD205F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3; </w:t>
            </w:r>
            <w:r w:rsidR="004811BE"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Role of Sabal serrulata mother tincture in </w:t>
            </w:r>
            <w:r w:rsidRPr="00954B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Adult; Bangalore</w:t>
            </w:r>
            <w:r w:rsidR="00C7474D" w:rsidRPr="00A64EE3">
              <w:rPr>
                <w:rFonts w:ascii="Times New Roman" w:hAnsi="Times New Roman" w:cs="Times New Roman"/>
                <w:sz w:val="20"/>
                <w:szCs w:val="20"/>
              </w:rPr>
              <w:t>, 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Patients aged ≥ 50yrs with symptoms of </w:t>
            </w:r>
            <w:r w:rsidRPr="00954B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; enlarge prostate on USG were included.</w:t>
            </w:r>
          </w:p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Patients with CA prostate; complete retention of urine of &gt; 24hrs; on digital rectal examination hard, lumpy and abnormal area; UTI; neurogenic bladder; Urethral stricture; benign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neoplasm except adenoma, myoma, fibroma of prostate; systemic and neurological disorder were excluded.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Prospective, open,  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Sabal serrulata mother tincture</w:t>
            </w:r>
            <w:r w:rsidR="00A2387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(n=30)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A243F" w:rsidRPr="00A64EE3" w:rsidRDefault="00A2387C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30-0-30 (PP</w:t>
            </w:r>
            <w:r w:rsidR="008A243F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83% patients showed marked improvement on </w:t>
            </w:r>
            <w:r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  <w:r w:rsidR="00E30E7B" w:rsidRPr="00E30E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HP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A243F" w:rsidRPr="00A64EE3" w:rsidRDefault="008A243F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D274F3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Thomas B,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29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4957" w:rsidRPr="00A64EE3">
              <w:rPr>
                <w:rFonts w:ascii="Times New Roman" w:hAnsi="Times New Roman" w:cs="Times New Roman"/>
                <w:sz w:val="20"/>
                <w:szCs w:val="20"/>
              </w:rPr>
              <w:t>; 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 of Clearstone combination in renal calculi</w:t>
            </w:r>
            <w:r w:rsidR="000D64C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and colic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All age group</w:t>
            </w:r>
            <w:r w:rsidR="00902267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02267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D274F3" w:rsidRPr="00A64EE3" w:rsidRDefault="00F51D38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Both sexes; </w:t>
            </w:r>
            <w:r w:rsidR="00D274F3" w:rsidRPr="00A64EE3">
              <w:rPr>
                <w:rFonts w:ascii="Times New Roman" w:hAnsi="Times New Roman" w:cs="Times New Roman"/>
                <w:sz w:val="20"/>
                <w:szCs w:val="20"/>
              </w:rPr>
              <w:t>all age group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274F3" w:rsidRPr="00A64EE3">
              <w:rPr>
                <w:rFonts w:ascii="Times New Roman" w:hAnsi="Times New Roman" w:cs="Times New Roman"/>
                <w:sz w:val="20"/>
                <w:szCs w:val="20"/>
              </w:rPr>
              <w:t>; Diagnosed case of renal calculi of all varieties with sign and symptoms of renal calculi persons are included. Patient with severe hydronephrosis, severe haematuria, single kidney, renal insufficiency; under treatment of any other major chronic illness; routein use of pain killer for any other clinical condition were excluded.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Single blinded, multicentric, interventional, safety, non comparative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Clearstone combination  (Berberis vulgaris ø, Sarsaparilla ø, Ocimum can ø, Solidago ø, Pareira brava ø, Senicio aureus ø)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60-0-60</w:t>
            </w:r>
            <w:r w:rsidR="001954E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(PP)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274F3" w:rsidRPr="00A64EE3" w:rsidRDefault="00F51D38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Clearstone wa</w:t>
            </w:r>
            <w:r w:rsidR="00D274F3" w:rsidRPr="00A64EE3">
              <w:rPr>
                <w:rFonts w:ascii="Times New Roman" w:hAnsi="Times New Roman" w:cs="Times New Roman"/>
                <w:sz w:val="20"/>
                <w:szCs w:val="20"/>
              </w:rPr>
              <w:t>s highly effective in alleviating renal colic and other symptoms of renal calculi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274F3" w:rsidRPr="00A64EE3" w:rsidRDefault="00D274F3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714E3B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714E3B" w:rsidP="00FD20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Siddiqui VA, 2011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14E3B" w:rsidRPr="00A64EE3" w:rsidRDefault="003A728F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54531"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714E3B" w:rsidRPr="00A64EE3" w:rsidRDefault="003A77F5" w:rsidP="0095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Role of </w:t>
            </w:r>
            <w:r w:rsidR="00F017D2" w:rsidRPr="00A64EE3">
              <w:rPr>
                <w:rFonts w:ascii="Times New Roman" w:hAnsi="Times New Roman" w:cs="Times New Roman"/>
                <w:sz w:val="20"/>
                <w:szCs w:val="20"/>
              </w:rPr>
              <w:t>individualised</w:t>
            </w:r>
            <w:r w:rsidR="00F51D3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hom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="00855037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6063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urolithiasis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714E3B" w:rsidRPr="00A64EE3" w:rsidRDefault="000E6B98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All age group</w:t>
            </w:r>
            <w:r w:rsidR="000172D8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A4ED4" w:rsidRPr="00A64EE3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F3202" w:rsidRPr="00A64EE3" w:rsidRDefault="008B4201" w:rsidP="00017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Cases (symptomatic and asymptomatic) with</w:t>
            </w:r>
            <w:r w:rsidR="000172D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radiological evidence (X-ray </w:t>
            </w:r>
            <w:r w:rsidR="0095488B" w:rsidRPr="00A64EE3">
              <w:rPr>
                <w:rFonts w:ascii="Times New Roman" w:hAnsi="Times New Roman" w:cs="Times New Roman"/>
                <w:sz w:val="20"/>
                <w:szCs w:val="20"/>
              </w:rPr>
              <w:t>and u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ltrasound KUB) of</w:t>
            </w:r>
            <w:r w:rsidR="00BF320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calculi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 kidney/ureter/ bladder and no history of expulsion of calculi after the radiological </w:t>
            </w:r>
            <w:r w:rsidR="00BF3202" w:rsidRPr="00A64EE3">
              <w:rPr>
                <w:rFonts w:ascii="Times New Roman" w:hAnsi="Times New Roman" w:cs="Times New Roman"/>
                <w:sz w:val="20"/>
                <w:szCs w:val="20"/>
              </w:rPr>
              <w:t>investigation within</w:t>
            </w:r>
            <w:r w:rsidR="00F6575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one month period were included.</w:t>
            </w:r>
            <w:r w:rsidR="00BF320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5A6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Cases with moderate or </w:t>
            </w:r>
            <w:r w:rsidR="00F6575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severe hydronephrosis, </w:t>
            </w:r>
            <w:r w:rsidR="00BF3202" w:rsidRPr="00A64EE3">
              <w:rPr>
                <w:rFonts w:ascii="Times New Roman" w:hAnsi="Times New Roman" w:cs="Times New Roman"/>
                <w:sz w:val="20"/>
                <w:szCs w:val="20"/>
              </w:rPr>
              <w:t>uremia, recurrent urinary tract infections (other than</w:t>
            </w:r>
          </w:p>
          <w:p w:rsidR="00714E3B" w:rsidRPr="00A64EE3" w:rsidRDefault="00BF3202" w:rsidP="00017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calculi), acute retention of urine for more than 24</w:t>
            </w:r>
            <w:r w:rsidR="000172D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hours, hyperparathyroidism, gross developmental</w:t>
            </w:r>
            <w:r w:rsidR="0096063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defects or structural abnormality of kidney, other</w:t>
            </w:r>
            <w:r w:rsidR="0096063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systemic diseases like cardiovascular, endocrinal</w:t>
            </w:r>
            <w:r w:rsidR="008C6BF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diseases or systemic infections or on other treatment</w:t>
            </w:r>
            <w:r w:rsidR="00F017D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therapies, kidney function impairment, stag horn</w:t>
            </w:r>
            <w:r w:rsidR="0096063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calculus and calculi in poles of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kidney</w:t>
            </w:r>
            <w:r w:rsidR="0096063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were excluded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4E3B" w:rsidRPr="00A64EE3" w:rsidRDefault="003A77F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Prospective, </w:t>
            </w:r>
            <w:r w:rsidR="004850F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open,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multicentric, 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714E3B" w:rsidRPr="00A64EE3" w:rsidRDefault="004850FF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r w:rsidR="00E97B4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of hom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="00E97B4C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73D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311)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14E3B" w:rsidRPr="00A64EE3" w:rsidRDefault="00EE7043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311-91-220</w:t>
            </w:r>
            <w:r w:rsidR="004850F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(PP)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C0076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0172D8"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172D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had</w:t>
            </w:r>
            <w:r w:rsidR="0066301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marked role in urolithiasis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14E3B" w:rsidRPr="00A64EE3" w:rsidRDefault="00BB1486" w:rsidP="005C7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Study funded by CCRH; conflict of interest: no</w:t>
            </w:r>
            <w:r w:rsidR="005C7CB9" w:rsidRPr="00A64EE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stated</w:t>
            </w:r>
          </w:p>
        </w:tc>
      </w:tr>
      <w:tr w:rsidR="00714E3B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714E3B" w:rsidP="00FD20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Johny J,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14E3B" w:rsidRPr="00A64EE3" w:rsidRDefault="00090C03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4957" w:rsidRPr="00A64EE3">
              <w:rPr>
                <w:rFonts w:ascii="Times New Roman" w:hAnsi="Times New Roman" w:cs="Times New Roman"/>
                <w:sz w:val="20"/>
                <w:szCs w:val="20"/>
              </w:rPr>
              <w:t>; 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714E3B" w:rsidRPr="00A64EE3" w:rsidRDefault="00D02B0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 of hom</w:t>
            </w:r>
            <w:r w:rsidR="00090C0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individualiz</w:t>
            </w:r>
            <w:r w:rsidR="00F017D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r w:rsidR="00090C03" w:rsidRPr="00A64EE3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90C0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073AFB" w:rsidRPr="00954B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714E3B" w:rsidRPr="00A64EE3" w:rsidRDefault="00B1776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106896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D7B2B" w:rsidRPr="00A64EE3">
              <w:rPr>
                <w:rFonts w:ascii="Times New Roman" w:hAnsi="Times New Roman" w:cs="Times New Roman"/>
                <w:sz w:val="20"/>
                <w:szCs w:val="20"/>
              </w:rPr>
              <w:t>Kerala</w:t>
            </w:r>
            <w:r w:rsidR="00106896" w:rsidRPr="00A64EE3">
              <w:rPr>
                <w:rFonts w:ascii="Times New Roman" w:hAnsi="Times New Roman" w:cs="Times New Roman"/>
                <w:sz w:val="20"/>
                <w:szCs w:val="20"/>
              </w:rPr>
              <w:t>, 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714E3B" w:rsidRPr="00A64EE3" w:rsidRDefault="00B21C1B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Diagnosed case of </w:t>
            </w:r>
            <w:r w:rsidR="00073AFB" w:rsidRPr="00954B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, aged between </w:t>
            </w:r>
            <w:r w:rsidR="004677A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50-75yrs, purely benign cases were included. Cases with high PSA, </w:t>
            </w:r>
            <w:r w:rsidR="00170100" w:rsidRPr="00A64EE3">
              <w:rPr>
                <w:rFonts w:ascii="Times New Roman" w:hAnsi="Times New Roman" w:cs="Times New Roman"/>
                <w:sz w:val="20"/>
                <w:szCs w:val="20"/>
              </w:rPr>
              <w:t>DRE suggest CA prostate, not fulfil the diagnostic criteria were excluded.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4E3B" w:rsidRPr="00A64EE3" w:rsidRDefault="0017010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Prospective, 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714E3B" w:rsidRPr="00A64EE3" w:rsidRDefault="00C00760" w:rsidP="0073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7363CD" w:rsidRPr="00A64EE3">
              <w:rPr>
                <w:rFonts w:ascii="Times New Roman" w:hAnsi="Times New Roman" w:cs="Times New Roman"/>
                <w:sz w:val="20"/>
                <w:szCs w:val="20"/>
              </w:rPr>
              <w:t>eopathic  individualized 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73D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</w:t>
            </w:r>
            <w:r w:rsidR="00A7000B"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73D6" w:rsidRPr="00A64EE3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14E3B" w:rsidRPr="00A64EE3" w:rsidRDefault="000D7B2B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  <w:r w:rsidR="001954EB" w:rsidRPr="00A64EE3">
              <w:rPr>
                <w:rFonts w:ascii="Times New Roman" w:hAnsi="Times New Roman" w:cs="Times New Roman"/>
                <w:sz w:val="20"/>
                <w:szCs w:val="20"/>
              </w:rPr>
              <w:t>0-30 (PP</w:t>
            </w:r>
            <w:r w:rsidR="007363CD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14E3B" w:rsidRPr="00A64EE3" w:rsidRDefault="00C0076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BB1486"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 showed</w:t>
            </w:r>
            <w:r w:rsidR="00BB148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marked improvement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14E3B" w:rsidRPr="00A64EE3" w:rsidRDefault="00BB1486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552517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552517" w:rsidP="00FD20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Oberai P,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32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52517" w:rsidRPr="00A64EE3" w:rsidRDefault="009573A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50642"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552517" w:rsidRPr="00A64EE3" w:rsidRDefault="005A6ACC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Role of hom</w:t>
            </w:r>
            <w:r w:rsidR="007A7FF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</w:t>
            </w:r>
            <w:r w:rsidR="00D51E5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individualised </w:t>
            </w:r>
            <w:r w:rsidR="007A7FF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medicine in </w:t>
            </w:r>
            <w:r w:rsidR="00073AFB" w:rsidRPr="00073A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552517" w:rsidRPr="00A64EE3" w:rsidRDefault="007A7FF6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Adult; 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162C28" w:rsidRPr="00A64EE3" w:rsidRDefault="00162C28" w:rsidP="00162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Patients with ≥ 50 years</w:t>
            </w:r>
            <w:r w:rsidR="0042139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of age,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having sign and</w:t>
            </w:r>
          </w:p>
          <w:p w:rsidR="00162C28" w:rsidRPr="00A64EE3" w:rsidRDefault="00162C28" w:rsidP="00162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symptoms of </w:t>
            </w:r>
            <w:r w:rsidR="00073AFB" w:rsidRPr="00954B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, PSA</w:t>
            </w:r>
            <w:r w:rsidR="0032186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="005A6ACC" w:rsidRPr="00A64EE3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="0042139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4 ng/ml,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smooth, firm and elastic enlargement</w:t>
            </w:r>
            <w:r w:rsidR="005A6AC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of prostate on di</w:t>
            </w:r>
            <w:r w:rsidR="0042139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gital rectal examination and PV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&gt;20ml</w:t>
            </w:r>
            <w:r w:rsidR="00421393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on ultrasonic examination were included. Patients with</w:t>
            </w:r>
            <w:r w:rsidR="005A6AC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complete retention of urine </w:t>
            </w:r>
            <w:r w:rsidR="005A6ACC" w:rsidRPr="00A64EE3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24 hours, complications</w:t>
            </w:r>
          </w:p>
          <w:p w:rsidR="00552517" w:rsidRPr="00A64EE3" w:rsidRDefault="00162C28" w:rsidP="006A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from benign </w:t>
            </w:r>
            <w:r w:rsidR="006A7A08" w:rsidRPr="00A64EE3">
              <w:rPr>
                <w:rFonts w:ascii="Times New Roman" w:hAnsi="Times New Roman" w:cs="Times New Roman"/>
                <w:sz w:val="20"/>
                <w:szCs w:val="20"/>
              </w:rPr>
              <w:t>neoplasm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needing hospitalization, history</w:t>
            </w:r>
            <w:r w:rsidR="0032186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prostatic carcinoma and other possible causes such</w:t>
            </w:r>
            <w:r w:rsidR="005A6AC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as urinary tract infection, neurogenic</w:t>
            </w:r>
            <w:r w:rsidRPr="00A64EE3">
              <w:rPr>
                <w:rFonts w:ascii="ArialMT" w:eastAsia="ArialMT" w:cs="ArialMT"/>
                <w:sz w:val="20"/>
                <w:szCs w:val="20"/>
                <w:lang w:val="en-US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bladder, or urethral</w:t>
            </w:r>
            <w:r w:rsidR="006A7A0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stricture were excluded.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2517" w:rsidRPr="00A64EE3" w:rsidRDefault="00552517" w:rsidP="00CC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Prospective, multicentric,  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552517" w:rsidRPr="00A64EE3" w:rsidRDefault="00865DD8" w:rsidP="00A7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7A7FF6" w:rsidRPr="00A64EE3">
              <w:rPr>
                <w:rFonts w:ascii="Times New Roman" w:hAnsi="Times New Roman" w:cs="Times New Roman"/>
                <w:sz w:val="20"/>
                <w:szCs w:val="20"/>
              </w:rPr>
              <w:t>eopathic  individualized</w:t>
            </w:r>
            <w:r w:rsidR="00C5341F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predefined</w:t>
            </w:r>
            <w:r w:rsidR="007A7FF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7000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231)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52517" w:rsidRPr="00A64EE3" w:rsidRDefault="00FD32A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231- </w:t>
            </w:r>
            <w:r w:rsidR="00F81E87" w:rsidRPr="00A64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0179" w:rsidRPr="00A64EE3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187 (PP)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5A6ACC" w:rsidP="00957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F81E87" w:rsidRPr="00A64EE3">
              <w:rPr>
                <w:rFonts w:ascii="Times New Roman" w:hAnsi="Times New Roman" w:cs="Times New Roman"/>
                <w:sz w:val="20"/>
                <w:szCs w:val="20"/>
              </w:rPr>
              <w:t>eopathic medicines significantly improved lowe</w:t>
            </w:r>
            <w:r w:rsidR="009573A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 urinary tract symptoms in men </w:t>
            </w:r>
            <w:r w:rsidR="00F81E87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r w:rsidR="00073AFB" w:rsidRPr="00073A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52517" w:rsidRPr="00A64EE3" w:rsidRDefault="005C7CB9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Study funded by CCRH; conflict of interest: none</w:t>
            </w:r>
          </w:p>
        </w:tc>
      </w:tr>
      <w:tr w:rsidR="00223C4E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223C4E" w:rsidRPr="00A64EE3" w:rsidRDefault="00223C4E" w:rsidP="00A7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Dhawankar NV, 2013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33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23C4E" w:rsidRPr="00A64EE3" w:rsidRDefault="00223C4E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4957" w:rsidRPr="00A64EE3">
              <w:rPr>
                <w:rFonts w:ascii="Times New Roman" w:hAnsi="Times New Roman" w:cs="Times New Roman"/>
                <w:sz w:val="20"/>
                <w:szCs w:val="20"/>
              </w:rPr>
              <w:t>; 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223C4E" w:rsidRPr="00A64EE3" w:rsidRDefault="00223C4E" w:rsidP="006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Role of </w:t>
            </w:r>
            <w:r w:rsidR="008C74B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individualised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homeopathic medicine</w:t>
            </w:r>
            <w:r w:rsidR="00D81303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renal colic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23C4E" w:rsidRPr="00A64EE3" w:rsidRDefault="00223C4E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D81303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; 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223C4E" w:rsidRPr="00A64EE3" w:rsidRDefault="00223C4E" w:rsidP="00321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Cases of renal calculi suffering from renal colic; age between 30 and 50</w:t>
            </w:r>
            <w:r w:rsidR="00653BF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yrs; both sexes were included. Patients suffering from renal colic other than renal colic cause; </w:t>
            </w:r>
            <w:r w:rsidR="00321868" w:rsidRPr="00A64EE3">
              <w:rPr>
                <w:rFonts w:ascii="Times New Roman" w:hAnsi="Times New Roman" w:cs="Times New Roman"/>
                <w:sz w:val="20"/>
                <w:szCs w:val="20"/>
              </w:rPr>
              <w:t>suffering from other systemic diseases was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excluded.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3C4E" w:rsidRPr="00A64EE3" w:rsidRDefault="006B3424" w:rsidP="006B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Open, observational</w:t>
            </w:r>
            <w:r w:rsidR="00653BF2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C4E" w:rsidRPr="00A64EE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223C4E" w:rsidRPr="00A64EE3" w:rsidRDefault="00653BF2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223C4E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</w:t>
            </w:r>
            <w:r w:rsidR="008C74B8" w:rsidRPr="00A64EE3">
              <w:rPr>
                <w:rFonts w:ascii="Times New Roman" w:hAnsi="Times New Roman" w:cs="Times New Roman"/>
                <w:sz w:val="20"/>
                <w:szCs w:val="20"/>
              </w:rPr>
              <w:t>individuali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C74B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r w:rsidR="00223C4E" w:rsidRPr="00A64EE3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213F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74B8" w:rsidRPr="00A64EE3">
              <w:rPr>
                <w:rFonts w:ascii="Times New Roman" w:hAnsi="Times New Roman" w:cs="Times New Roman"/>
                <w:sz w:val="20"/>
                <w:szCs w:val="20"/>
              </w:rPr>
              <w:t>(n=70)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223C4E" w:rsidRPr="00A64EE3" w:rsidRDefault="00223C4E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70-0-70</w:t>
            </w:r>
            <w:r w:rsidR="005C17F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108F2" w:rsidRPr="00A64EE3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r w:rsidR="005C17F5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23C4E" w:rsidRPr="00A64EE3" w:rsidRDefault="00653BF2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Homeopathy had </w:t>
            </w:r>
            <w:r w:rsidR="00223C4E" w:rsidRPr="00A64EE3">
              <w:rPr>
                <w:rFonts w:ascii="Times New Roman" w:hAnsi="Times New Roman" w:cs="Times New Roman"/>
                <w:sz w:val="20"/>
                <w:szCs w:val="20"/>
              </w:rPr>
              <w:t>excellent effect on renal colic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23C4E" w:rsidRPr="00A64EE3" w:rsidRDefault="00223C4E" w:rsidP="00A7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552517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552517" w:rsidP="00FD20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2016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34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52517" w:rsidRPr="00A64EE3" w:rsidRDefault="000A3B88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30D94" w:rsidRPr="00A64EE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552517" w:rsidRPr="00A64EE3" w:rsidRDefault="000A3B88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Role of </w:t>
            </w:r>
            <w:r w:rsidR="00190A41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individualised </w:t>
            </w:r>
            <w:r w:rsidR="00626348"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C260F4" w:rsidRPr="00A64EE3">
              <w:rPr>
                <w:rFonts w:ascii="Times New Roman" w:hAnsi="Times New Roman" w:cs="Times New Roman"/>
                <w:sz w:val="20"/>
                <w:szCs w:val="20"/>
              </w:rPr>
              <w:t>eopathic medicine</w:t>
            </w:r>
            <w:r w:rsidR="00626348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F2F21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with Sabal serrulata</w:t>
            </w:r>
            <w:r w:rsidR="00C260F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F21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mother tincture </w:t>
            </w:r>
            <w:r w:rsidR="00C260F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C260F4" w:rsidRPr="00073A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552517" w:rsidRPr="00A64EE3" w:rsidRDefault="00FF3C56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Adults; Lucknow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52517" w:rsidRPr="00A64EE3" w:rsidRDefault="00591C3E" w:rsidP="00321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Patient with ≥</w:t>
            </w:r>
            <w:r w:rsidR="0089392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50gm of</w:t>
            </w:r>
            <w:r w:rsidR="0089392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weight of prostate in USG were included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2517" w:rsidRPr="00A64EE3" w:rsidRDefault="00FF3C56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Open, observational</w:t>
            </w:r>
            <w:r w:rsidR="002F57DC" w:rsidRPr="00A64EE3">
              <w:rPr>
                <w:rFonts w:ascii="Times New Roman" w:hAnsi="Times New Roman" w:cs="Times New Roman"/>
                <w:sz w:val="20"/>
                <w:szCs w:val="20"/>
              </w:rPr>
              <w:t>, retrospective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552517" w:rsidRPr="00A64EE3" w:rsidRDefault="00D81303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FF3C56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</w:t>
            </w:r>
            <w:r w:rsidR="009C0C1A" w:rsidRPr="00A64EE3">
              <w:rPr>
                <w:rFonts w:ascii="Times New Roman" w:hAnsi="Times New Roman" w:cs="Times New Roman"/>
                <w:sz w:val="20"/>
                <w:szCs w:val="20"/>
              </w:rPr>
              <w:t>indi</w:t>
            </w:r>
            <w:r w:rsidR="00195529" w:rsidRPr="00A64EE3">
              <w:rPr>
                <w:rFonts w:ascii="Times New Roman" w:hAnsi="Times New Roman" w:cs="Times New Roman"/>
                <w:sz w:val="20"/>
                <w:szCs w:val="20"/>
              </w:rPr>
              <w:t>vidualized medicine</w:t>
            </w:r>
            <w:r w:rsidR="00E00A85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7000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61)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52517" w:rsidRPr="00A64EE3" w:rsidRDefault="001108F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61-0-61(PP</w:t>
            </w:r>
            <w:r w:rsidR="00195529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2F57DC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Almost 64% of patients reduced their prostatic weight significantly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52517" w:rsidRPr="00A64EE3" w:rsidRDefault="006A6590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Non funded study; Conflict of interest: None</w:t>
            </w:r>
          </w:p>
        </w:tc>
      </w:tr>
      <w:tr w:rsidR="00552517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552517" w:rsidP="009C22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</w:t>
            </w:r>
            <w:r w:rsidR="00030D94"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, 2017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A7257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52517" w:rsidRPr="00A64EE3" w:rsidRDefault="00B2458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3; 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552517" w:rsidRPr="00A64EE3" w:rsidRDefault="00BD2151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Clinical verification of hom</w:t>
            </w:r>
            <w:r w:rsidR="00AA6DA7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eopathic </w:t>
            </w:r>
            <w:r w:rsidR="00190A41" w:rsidRPr="00A64EE3">
              <w:rPr>
                <w:rFonts w:ascii="Times New Roman" w:hAnsi="Times New Roman" w:cs="Times New Roman"/>
                <w:sz w:val="20"/>
                <w:szCs w:val="20"/>
              </w:rPr>
              <w:t>individualized medicines</w:t>
            </w:r>
            <w:r w:rsidR="00CC6A5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CC6A58" w:rsidRPr="00073A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552517" w:rsidRPr="00A64EE3" w:rsidRDefault="0089392B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Adults; Delhi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52517" w:rsidRPr="00A64EE3" w:rsidRDefault="0089392B" w:rsidP="00321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Patients age ≥</w:t>
            </w:r>
            <w:r w:rsidR="00CC6A5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45yrs, residing around NCR with symptoms of </w:t>
            </w:r>
            <w:r w:rsidR="00CC6A58" w:rsidRPr="00954B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BHP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6A58" w:rsidRPr="00A64EE3">
              <w:rPr>
                <w:rFonts w:ascii="Times New Roman" w:hAnsi="Times New Roman" w:cs="Times New Roman"/>
                <w:sz w:val="20"/>
                <w:szCs w:val="20"/>
              </w:rPr>
              <w:t>were included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2517" w:rsidRPr="00A64EE3" w:rsidRDefault="00AA6DA7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Open, observational study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552517" w:rsidRPr="00A64EE3" w:rsidRDefault="00BD2151" w:rsidP="00A7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="0089392B" w:rsidRPr="00A64EE3">
              <w:rPr>
                <w:rFonts w:ascii="Times New Roman" w:hAnsi="Times New Roman" w:cs="Times New Roman"/>
                <w:sz w:val="20"/>
                <w:szCs w:val="20"/>
              </w:rPr>
              <w:t>eopathic individualized medicine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7000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30)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52517" w:rsidRPr="00A64EE3" w:rsidRDefault="0089392B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  <w:r w:rsidR="001108F2" w:rsidRPr="00A64EE3">
              <w:rPr>
                <w:rFonts w:ascii="Times New Roman" w:hAnsi="Times New Roman" w:cs="Times New Roman"/>
                <w:sz w:val="20"/>
                <w:szCs w:val="20"/>
              </w:rPr>
              <w:t>0-30 (PP</w:t>
            </w:r>
            <w:r w:rsidR="00A941E8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E5086F" w:rsidP="00E5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83% patients showed marked to moderate improvement in symptomatology and size of prostate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52517" w:rsidRPr="00A64EE3" w:rsidRDefault="00E20F6B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Not stated</w:t>
            </w:r>
          </w:p>
        </w:tc>
      </w:tr>
      <w:tr w:rsidR="00552517" w:rsidRPr="00A64EE3" w:rsidTr="00A66EEB">
        <w:tc>
          <w:tcPr>
            <w:tcW w:w="1710" w:type="dxa"/>
            <w:tcBorders>
              <w:top w:val="single" w:sz="4" w:space="0" w:color="auto"/>
            </w:tcBorders>
          </w:tcPr>
          <w:p w:rsidR="00552517" w:rsidRPr="00A64EE3" w:rsidRDefault="00552517" w:rsidP="00FD20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Patil S, 2017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9C223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52517" w:rsidRPr="00A64EE3" w:rsidRDefault="00FB08B5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3; </w:t>
            </w:r>
            <w:r w:rsidR="00B24585"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</w:tcPr>
          <w:p w:rsidR="00552517" w:rsidRPr="00A64EE3" w:rsidRDefault="00FB08B5" w:rsidP="00FB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80C61" w:rsidRPr="00A64EE3">
              <w:rPr>
                <w:rFonts w:ascii="Times New Roman" w:hAnsi="Times New Roman" w:cs="Times New Roman"/>
                <w:sz w:val="20"/>
                <w:szCs w:val="20"/>
              </w:rPr>
              <w:t>rophylactic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role</w:t>
            </w:r>
            <w:r w:rsidR="00C80C61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of three </w:t>
            </w:r>
            <w:r w:rsidR="00C80C61"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differ</w:t>
            </w:r>
            <w:r w:rsidR="00BD2151" w:rsidRPr="00A64EE3">
              <w:rPr>
                <w:rFonts w:ascii="Times New Roman" w:hAnsi="Times New Roman" w:cs="Times New Roman"/>
                <w:sz w:val="20"/>
                <w:szCs w:val="20"/>
              </w:rPr>
              <w:t>ent prescribing strategies of Berberis</w:t>
            </w:r>
            <w:r w:rsidR="0095488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C80C61" w:rsidRPr="00A64EE3">
              <w:rPr>
                <w:rFonts w:ascii="Times New Roman" w:hAnsi="Times New Roman" w:cs="Times New Roman"/>
                <w:sz w:val="20"/>
                <w:szCs w:val="20"/>
              </w:rPr>
              <w:t>ulgaris in urolithiasis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552517" w:rsidRPr="00A64EE3" w:rsidRDefault="00826DD4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Adults</w:t>
            </w:r>
            <w:r w:rsidR="00FB08B5" w:rsidRPr="00A64EE3">
              <w:rPr>
                <w:rFonts w:ascii="Times New Roman" w:hAnsi="Times New Roman" w:cs="Times New Roman"/>
                <w:sz w:val="20"/>
                <w:szCs w:val="20"/>
              </w:rPr>
              <w:t>; Miraj</w:t>
            </w:r>
            <w:r w:rsidR="00BD2151" w:rsidRPr="00A64EE3">
              <w:rPr>
                <w:rFonts w:ascii="Times New Roman" w:hAnsi="Times New Roman" w:cs="Times New Roman"/>
                <w:sz w:val="20"/>
                <w:szCs w:val="20"/>
              </w:rPr>
              <w:t>, India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52517" w:rsidRPr="00A64EE3" w:rsidRDefault="00BF05E4" w:rsidP="00FB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Inclusion criteria were patients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aged 20 years or above, of both</w:t>
            </w:r>
            <w:r w:rsidR="0032186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sexes, patients having history of recurrence at least thrice before commencement of </w:t>
            </w:r>
            <w:r w:rsidR="009342ED" w:rsidRPr="00A64EE3">
              <w:rPr>
                <w:rFonts w:ascii="Times New Roman" w:hAnsi="Times New Roman" w:cs="Times New Roman"/>
                <w:sz w:val="20"/>
                <w:szCs w:val="20"/>
              </w:rPr>
              <w:t>hom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eopat</w:t>
            </w:r>
            <w:r w:rsidR="009342ED" w:rsidRPr="00A64EE3">
              <w:rPr>
                <w:rFonts w:ascii="Times New Roman" w:hAnsi="Times New Roman" w:cs="Times New Roman"/>
                <w:sz w:val="20"/>
                <w:szCs w:val="20"/>
              </w:rPr>
              <w:t>hic treatment and continued hom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eopathic treatment for at least</w:t>
            </w:r>
            <w:r w:rsidR="00F62D81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last two years. Cases having any known malignancy or known immune</w:t>
            </w:r>
            <w:r w:rsidR="00FB0680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suppression</w:t>
            </w:r>
            <w:r w:rsidR="00FB0680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were excluded.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2517" w:rsidRPr="00A64EE3" w:rsidRDefault="00C80C61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="00E20F6B" w:rsidRPr="00A64EE3">
              <w:rPr>
                <w:rFonts w:ascii="Times New Roman" w:hAnsi="Times New Roman" w:cs="Times New Roman"/>
                <w:sz w:val="20"/>
                <w:szCs w:val="20"/>
              </w:rPr>
              <w:t>rospective, open, non-</w:t>
            </w:r>
            <w:r w:rsidR="00E20F6B"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randomized, three parallel arms, pragmatic</w:t>
            </w:r>
            <w:r w:rsidR="00CF2636" w:rsidRPr="00A64EE3">
              <w:rPr>
                <w:rFonts w:ascii="Times New Roman" w:hAnsi="Times New Roman" w:cs="Times New Roman"/>
                <w:sz w:val="20"/>
                <w:szCs w:val="20"/>
              </w:rPr>
              <w:t>, comparative</w:t>
            </w:r>
            <w:r w:rsidR="00E20F6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trial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552517" w:rsidRPr="00A64EE3" w:rsidRDefault="00FB0680" w:rsidP="0072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Berberis vulgaris</w:t>
            </w:r>
            <w:r w:rsidR="006E54C0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(n=22)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 w:rsidR="00430CF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Berberis </w:t>
            </w:r>
            <w:r w:rsidR="00430CF5"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vulgaris and </w:t>
            </w:r>
            <w:r w:rsidR="00826DD4" w:rsidRPr="00A64EE3">
              <w:rPr>
                <w:rFonts w:ascii="Times New Roman" w:hAnsi="Times New Roman" w:cs="Times New Roman"/>
                <w:sz w:val="20"/>
                <w:szCs w:val="20"/>
              </w:rPr>
              <w:t>add on individualized</w:t>
            </w:r>
            <w:r w:rsidR="00430CF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medicine</w:t>
            </w:r>
            <w:r w:rsidR="00BD2151" w:rsidRPr="00A64E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213F8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(n=17)</w:t>
            </w:r>
            <w:r w:rsidR="00430CF5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vs</w:t>
            </w:r>
            <w:r w:rsidR="00826DD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individualized medicine</w:t>
            </w:r>
            <w:r w:rsidR="00A7000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(n= </w:t>
            </w:r>
            <w:r w:rsidR="007213F8" w:rsidRPr="00A64E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7000B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52517" w:rsidRPr="00A64EE3" w:rsidRDefault="001108F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50-0-50 (PP</w:t>
            </w:r>
            <w:r w:rsidR="00826DD4" w:rsidRPr="00A6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746A2" w:rsidRPr="00A64EE3" w:rsidRDefault="003746A2" w:rsidP="00374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Three different prescribing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strategies of B.</w:t>
            </w:r>
          </w:p>
          <w:p w:rsidR="00552517" w:rsidRPr="00A64EE3" w:rsidRDefault="003746A2" w:rsidP="00357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vulgaris did not produce any statistically </w:t>
            </w:r>
            <w:r w:rsidR="003572BC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different results in preventing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recurrence of urolithiasis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52517" w:rsidRPr="00A64EE3" w:rsidRDefault="003746A2" w:rsidP="007D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Non funded study; Conflict 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 interest: None</w:t>
            </w:r>
          </w:p>
        </w:tc>
      </w:tr>
    </w:tbl>
    <w:p w:rsidR="005B0E22" w:rsidRPr="00A64EE3" w:rsidRDefault="005B0E22" w:rsidP="00425E8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488B" w:rsidRPr="00A64EE3" w:rsidRDefault="0095488B" w:rsidP="00425E8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06E3" w:rsidRPr="00A64EE3" w:rsidRDefault="00716AD4" w:rsidP="00425E8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7</w:t>
      </w:r>
      <w:r w:rsidRPr="00A64EE3">
        <w:rPr>
          <w:rFonts w:ascii="Times New Roman" w:hAnsi="Times New Roman" w:cs="Times New Roman"/>
          <w:sz w:val="20"/>
          <w:szCs w:val="20"/>
        </w:rPr>
        <w:t xml:space="preserve">: </w:t>
      </w:r>
      <w:r w:rsidR="00A406E3" w:rsidRPr="00A64EE3">
        <w:rPr>
          <w:rFonts w:ascii="Times New Roman" w:hAnsi="Times New Roman" w:cs="Times New Roman"/>
          <w:sz w:val="20"/>
          <w:szCs w:val="20"/>
        </w:rPr>
        <w:t xml:space="preserve">Risk of bias analysis of the </w:t>
      </w:r>
      <w:r w:rsidR="00022BEA" w:rsidRPr="00A64EE3">
        <w:rPr>
          <w:rFonts w:ascii="Times New Roman" w:hAnsi="Times New Roman" w:cs="Times New Roman"/>
          <w:sz w:val="20"/>
          <w:szCs w:val="20"/>
        </w:rPr>
        <w:t>controlled</w:t>
      </w:r>
      <w:r w:rsidR="00A406E3" w:rsidRPr="00A64EE3">
        <w:rPr>
          <w:rFonts w:ascii="Times New Roman" w:hAnsi="Times New Roman" w:cs="Times New Roman"/>
          <w:sz w:val="20"/>
          <w:szCs w:val="20"/>
        </w:rPr>
        <w:t xml:space="preserve"> trials by Cochrane Collaboration Tool</w:t>
      </w:r>
    </w:p>
    <w:tbl>
      <w:tblPr>
        <w:tblStyle w:val="TableGrid"/>
        <w:tblW w:w="13079" w:type="dxa"/>
        <w:jc w:val="center"/>
        <w:tblInd w:w="-298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0"/>
        <w:gridCol w:w="1276"/>
        <w:gridCol w:w="1275"/>
        <w:gridCol w:w="1560"/>
        <w:gridCol w:w="1275"/>
        <w:gridCol w:w="1276"/>
        <w:gridCol w:w="1345"/>
        <w:gridCol w:w="1348"/>
        <w:gridCol w:w="1044"/>
      </w:tblGrid>
      <w:tr w:rsidR="003925D4" w:rsidRPr="00A64EE3" w:rsidTr="00F32D39">
        <w:trPr>
          <w:jc w:val="center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I: Random sequence generation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II: Allocation concealment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III: Blinding of participants and personnel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IV: Blinding of outcome assessors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V: Incomplete outcome data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VI: Selective reporting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VII: Anything else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Overall RoB</w:t>
            </w:r>
          </w:p>
        </w:tc>
      </w:tr>
      <w:tr w:rsidR="009C2236" w:rsidRPr="00A64EE3" w:rsidTr="00F32D39">
        <w:trPr>
          <w:jc w:val="center"/>
        </w:trPr>
        <w:tc>
          <w:tcPr>
            <w:tcW w:w="2680" w:type="dxa"/>
            <w:tcBorders>
              <w:top w:val="single" w:sz="4" w:space="0" w:color="auto"/>
            </w:tcBorders>
          </w:tcPr>
          <w:p w:rsidR="009C2236" w:rsidRPr="00A64EE3" w:rsidRDefault="009C2236" w:rsidP="009673C1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Saruggia M, et al, 1992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[19]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9C2236" w:rsidRPr="00A64EE3" w:rsidRDefault="00F32D3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Unclear</w:t>
            </w:r>
          </w:p>
        </w:tc>
      </w:tr>
      <w:tr w:rsidR="003925D4" w:rsidRPr="00A64EE3" w:rsidTr="00F32D39">
        <w:trPr>
          <w:jc w:val="center"/>
        </w:trPr>
        <w:tc>
          <w:tcPr>
            <w:tcW w:w="2680" w:type="dxa"/>
          </w:tcPr>
          <w:p w:rsidR="003925D4" w:rsidRPr="00A64EE3" w:rsidRDefault="00AE41B2" w:rsidP="009673C1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Kurz</w:t>
            </w:r>
            <w:r w:rsidR="003925D4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C, et al, 1993 </w:t>
            </w:r>
            <w:r w:rsidR="003925D4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E7070E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="003925D4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276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44" w:type="dxa"/>
          </w:tcPr>
          <w:p w:rsidR="003925D4" w:rsidRPr="00A64EE3" w:rsidRDefault="008037E5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3925D4" w:rsidRPr="00A64EE3" w:rsidTr="00F32D39">
        <w:trPr>
          <w:jc w:val="center"/>
        </w:trPr>
        <w:tc>
          <w:tcPr>
            <w:tcW w:w="2680" w:type="dxa"/>
          </w:tcPr>
          <w:p w:rsidR="003925D4" w:rsidRPr="00A64EE3" w:rsidRDefault="003925D4" w:rsidP="009673C1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Naude DF, et al, 2003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E7070E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21</w:t>
            </w:r>
            <w:r w:rsidR="009A7257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276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3925D4" w:rsidRPr="00A64EE3" w:rsidRDefault="00FF7367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4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48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44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Unc</w:t>
            </w:r>
            <w:r w:rsidR="008037E5" w:rsidRPr="00A64EE3">
              <w:rPr>
                <w:rFonts w:ascii="Times New Roman" w:hAnsi="Times New Roman" w:cs="Times New Roman"/>
                <w:sz w:val="20"/>
                <w:szCs w:val="20"/>
              </w:rPr>
              <w:t>lear</w:t>
            </w:r>
          </w:p>
        </w:tc>
      </w:tr>
      <w:tr w:rsidR="003925D4" w:rsidRPr="00A64EE3" w:rsidTr="00F32D39">
        <w:trPr>
          <w:jc w:val="center"/>
        </w:trPr>
        <w:tc>
          <w:tcPr>
            <w:tcW w:w="2680" w:type="dxa"/>
          </w:tcPr>
          <w:p w:rsidR="003925D4" w:rsidRPr="00A64EE3" w:rsidRDefault="003925D4" w:rsidP="009673C1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Hati AK, et al.,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E7070E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22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276" w:type="dxa"/>
          </w:tcPr>
          <w:p w:rsidR="003925D4" w:rsidRPr="00A64EE3" w:rsidRDefault="00135B0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25D4" w:rsidRPr="00A64EE3" w:rsidRDefault="00FF7367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5D4" w:rsidRPr="00A64EE3" w:rsidRDefault="00FF7367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45" w:type="dxa"/>
          </w:tcPr>
          <w:p w:rsidR="003925D4" w:rsidRPr="00A64EE3" w:rsidRDefault="00FF7367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48" w:type="dxa"/>
          </w:tcPr>
          <w:p w:rsidR="003925D4" w:rsidRPr="00A64EE3" w:rsidRDefault="003925D4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44" w:type="dxa"/>
          </w:tcPr>
          <w:p w:rsidR="003925D4" w:rsidRPr="00A64EE3" w:rsidRDefault="00236652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</w:tbl>
    <w:p w:rsidR="00EF596A" w:rsidRPr="00A64EE3" w:rsidRDefault="00EF596A" w:rsidP="00EF596A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EE3">
        <w:rPr>
          <w:rFonts w:ascii="Times New Roman" w:hAnsi="Times New Roman" w:cs="Times New Roman"/>
          <w:sz w:val="20"/>
          <w:szCs w:val="20"/>
        </w:rPr>
        <w:t>+: Low risk of bias; - : High risk of bias</w:t>
      </w:r>
      <w:r w:rsidR="003925D4" w:rsidRPr="00A64EE3">
        <w:rPr>
          <w:rFonts w:ascii="Times New Roman" w:hAnsi="Times New Roman" w:cs="Times New Roman"/>
          <w:sz w:val="20"/>
          <w:szCs w:val="20"/>
        </w:rPr>
        <w:t xml:space="preserve">; </w:t>
      </w:r>
      <w:r w:rsidRPr="00A64EE3">
        <w:rPr>
          <w:rFonts w:ascii="Times New Roman" w:hAnsi="Times New Roman" w:cs="Times New Roman"/>
          <w:sz w:val="20"/>
          <w:szCs w:val="20"/>
        </w:rPr>
        <w:t>? : Unclear risk of bias</w:t>
      </w:r>
    </w:p>
    <w:p w:rsidR="00F76121" w:rsidRPr="00A64EE3" w:rsidRDefault="00F76121" w:rsidP="00CF0F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97D" w:rsidRPr="00A64EE3" w:rsidRDefault="009A797D" w:rsidP="00CF0FD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6F20" w:rsidRPr="00A64EE3" w:rsidRDefault="00296F20" w:rsidP="00CF0FD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0FD9" w:rsidRPr="00A64EE3" w:rsidRDefault="00716AD4" w:rsidP="00CF0FD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8</w:t>
      </w:r>
      <w:r w:rsidRPr="00A64EE3">
        <w:rPr>
          <w:rFonts w:ascii="Times New Roman" w:hAnsi="Times New Roman" w:cs="Times New Roman"/>
          <w:sz w:val="20"/>
          <w:szCs w:val="20"/>
        </w:rPr>
        <w:t xml:space="preserve">: </w:t>
      </w:r>
      <w:r w:rsidR="00CF0FD9" w:rsidRPr="00A64EE3">
        <w:rPr>
          <w:rFonts w:ascii="Times New Roman" w:hAnsi="Times New Roman" w:cs="Times New Roman"/>
          <w:sz w:val="20"/>
          <w:szCs w:val="20"/>
        </w:rPr>
        <w:t xml:space="preserve">Model validity assessment of the </w:t>
      </w:r>
      <w:r w:rsidR="00022BEA" w:rsidRPr="00A64EE3">
        <w:rPr>
          <w:rFonts w:ascii="Times New Roman" w:hAnsi="Times New Roman" w:cs="Times New Roman"/>
          <w:sz w:val="20"/>
          <w:szCs w:val="20"/>
        </w:rPr>
        <w:t>controlled</w:t>
      </w:r>
      <w:r w:rsidR="00CF0FD9" w:rsidRPr="00A64EE3">
        <w:rPr>
          <w:rFonts w:ascii="Times New Roman" w:hAnsi="Times New Roman" w:cs="Times New Roman"/>
          <w:sz w:val="20"/>
          <w:szCs w:val="20"/>
        </w:rPr>
        <w:t xml:space="preserve"> trials by Mathie’s criteria</w:t>
      </w:r>
    </w:p>
    <w:tbl>
      <w:tblPr>
        <w:tblStyle w:val="TableGrid"/>
        <w:tblW w:w="13806" w:type="dxa"/>
        <w:jc w:val="center"/>
        <w:tblInd w:w="-321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1559"/>
        <w:gridCol w:w="1418"/>
        <w:gridCol w:w="1417"/>
        <w:gridCol w:w="1276"/>
        <w:gridCol w:w="1417"/>
        <w:gridCol w:w="1602"/>
        <w:gridCol w:w="1296"/>
        <w:gridCol w:w="1269"/>
      </w:tblGrid>
      <w:tr w:rsidR="00837AFC" w:rsidRPr="00A64EE3" w:rsidTr="00296F20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erences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: Rationale for the choice of the particular homeopathic intervention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II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: Homeopathic principles reflected in the intervention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III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: Extent of homeopathic practitioner input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IV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: Nature of the main outcome measure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V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: Capability of the main outcome measure to detect change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Domain VI</w:t>
            </w:r>
            <w:r w:rsidR="00C11838" w:rsidRPr="00A64EE3">
              <w:rPr>
                <w:rFonts w:ascii="Times New Roman" w:hAnsi="Times New Roman" w:cs="Times New Roman"/>
                <w:sz w:val="20"/>
                <w:szCs w:val="20"/>
              </w:rPr>
              <w:t>: Length of the follow-up to the endpoint of the study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Overall validity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AFC" w:rsidRPr="00A64EE3" w:rsidRDefault="00837AFC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Validity rating</w:t>
            </w:r>
          </w:p>
        </w:tc>
      </w:tr>
      <w:tr w:rsidR="00296F20" w:rsidRPr="00A64EE3" w:rsidTr="00296F20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704F65">
            <w:p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Saruggia M, et al, 1992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[19]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Unclear</w:t>
            </w: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</w:tr>
      <w:tr w:rsidR="009E228D" w:rsidRPr="00A64EE3" w:rsidTr="00296F20">
        <w:trPr>
          <w:jc w:val="center"/>
        </w:trPr>
        <w:tc>
          <w:tcPr>
            <w:tcW w:w="2552" w:type="dxa"/>
            <w:tcBorders>
              <w:top w:val="nil"/>
            </w:tcBorders>
          </w:tcPr>
          <w:p w:rsidR="009E228D" w:rsidRPr="00A64EE3" w:rsidRDefault="00AE41B2" w:rsidP="00704F65">
            <w:p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Kurz</w:t>
            </w:r>
            <w:r w:rsidR="009E228D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C, et al, 1993 </w:t>
            </w:r>
            <w:r w:rsidR="009E228D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296F20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="009E228D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559" w:type="dxa"/>
            <w:tcBorders>
              <w:top w:val="nil"/>
            </w:tcBorders>
          </w:tcPr>
          <w:p w:rsidR="009E228D" w:rsidRPr="00A64EE3" w:rsidRDefault="00637D2F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nil"/>
            </w:tcBorders>
          </w:tcPr>
          <w:p w:rsidR="009E228D" w:rsidRPr="00A64EE3" w:rsidRDefault="00637D2F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17" w:type="dxa"/>
            <w:tcBorders>
              <w:top w:val="nil"/>
            </w:tcBorders>
          </w:tcPr>
          <w:p w:rsidR="009E228D" w:rsidRPr="00A64EE3" w:rsidRDefault="00686EFE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nil"/>
            </w:tcBorders>
          </w:tcPr>
          <w:p w:rsidR="009E228D" w:rsidRPr="00A64EE3" w:rsidRDefault="00686EFE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nil"/>
            </w:tcBorders>
          </w:tcPr>
          <w:p w:rsidR="009E228D" w:rsidRPr="00A64EE3" w:rsidRDefault="00686EFE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02" w:type="dxa"/>
            <w:tcBorders>
              <w:top w:val="nil"/>
            </w:tcBorders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96" w:type="dxa"/>
            <w:tcBorders>
              <w:top w:val="nil"/>
            </w:tcBorders>
          </w:tcPr>
          <w:p w:rsidR="009E228D" w:rsidRPr="00A64EE3" w:rsidRDefault="00471C0A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Unclear</w:t>
            </w:r>
          </w:p>
        </w:tc>
        <w:tc>
          <w:tcPr>
            <w:tcW w:w="1269" w:type="dxa"/>
            <w:tcBorders>
              <w:top w:val="nil"/>
            </w:tcBorders>
          </w:tcPr>
          <w:p w:rsidR="009E228D" w:rsidRPr="00A64EE3" w:rsidRDefault="008E334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</w:tr>
      <w:tr w:rsidR="009E228D" w:rsidRPr="00A64EE3" w:rsidTr="00704F65">
        <w:trPr>
          <w:jc w:val="center"/>
        </w:trPr>
        <w:tc>
          <w:tcPr>
            <w:tcW w:w="2552" w:type="dxa"/>
          </w:tcPr>
          <w:p w:rsidR="009E228D" w:rsidRPr="00A64EE3" w:rsidRDefault="009E228D" w:rsidP="00704F65">
            <w:p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Naude DF, et al, 2003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296F20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21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559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18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</w:tcPr>
          <w:p w:rsidR="009E228D" w:rsidRPr="00A64EE3" w:rsidRDefault="00135F1E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02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96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Inadequate</w:t>
            </w:r>
          </w:p>
        </w:tc>
        <w:tc>
          <w:tcPr>
            <w:tcW w:w="1269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D7D89"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7D89"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228D" w:rsidRPr="00A64EE3" w:rsidTr="00704F65">
        <w:trPr>
          <w:jc w:val="center"/>
        </w:trPr>
        <w:tc>
          <w:tcPr>
            <w:tcW w:w="2552" w:type="dxa"/>
          </w:tcPr>
          <w:p w:rsidR="009E228D" w:rsidRPr="00A64EE3" w:rsidRDefault="009E228D" w:rsidP="00704F65">
            <w:p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Hati AK, et al.,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296F20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22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559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8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02" w:type="dxa"/>
          </w:tcPr>
          <w:p w:rsidR="009E228D" w:rsidRPr="00A64EE3" w:rsidRDefault="009E228D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96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</w:p>
        </w:tc>
        <w:tc>
          <w:tcPr>
            <w:tcW w:w="1269" w:type="dxa"/>
          </w:tcPr>
          <w:p w:rsidR="009E228D" w:rsidRPr="00A64EE3" w:rsidRDefault="003D7D89" w:rsidP="0096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:rsidR="003D0DF4" w:rsidRPr="00A64EE3" w:rsidRDefault="00E76573" w:rsidP="00E76573">
      <w:pPr>
        <w:spacing w:before="240"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>Y: Yes; N: No; U: Uncertain</w:t>
      </w:r>
    </w:p>
    <w:p w:rsidR="003D0DF4" w:rsidRPr="00A64EE3" w:rsidRDefault="003D0DF4" w:rsidP="009D6CD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6CD2" w:rsidRPr="00A64EE3" w:rsidRDefault="00716AD4" w:rsidP="009D6CD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9</w:t>
      </w:r>
      <w:r w:rsidRPr="00A64EE3">
        <w:rPr>
          <w:rFonts w:ascii="Times New Roman" w:hAnsi="Times New Roman" w:cs="Times New Roman"/>
          <w:sz w:val="20"/>
          <w:szCs w:val="20"/>
        </w:rPr>
        <w:t xml:space="preserve">: </w:t>
      </w:r>
      <w:r w:rsidR="009D6CD2" w:rsidRPr="00A64EE3">
        <w:rPr>
          <w:rFonts w:ascii="Times New Roman" w:hAnsi="Times New Roman" w:cs="Times New Roman"/>
          <w:sz w:val="20"/>
          <w:szCs w:val="20"/>
        </w:rPr>
        <w:t xml:space="preserve">Quality of individualization assessment of the </w:t>
      </w:r>
      <w:r w:rsidR="00BF09BE" w:rsidRPr="00A64EE3">
        <w:rPr>
          <w:rFonts w:ascii="Times New Roman" w:hAnsi="Times New Roman" w:cs="Times New Roman"/>
          <w:sz w:val="20"/>
          <w:szCs w:val="20"/>
        </w:rPr>
        <w:t>controll</w:t>
      </w:r>
      <w:r w:rsidR="009D6CD2" w:rsidRPr="00A64EE3">
        <w:rPr>
          <w:rFonts w:ascii="Times New Roman" w:hAnsi="Times New Roman" w:cs="Times New Roman"/>
          <w:sz w:val="20"/>
          <w:szCs w:val="20"/>
        </w:rPr>
        <w:t>ed trials by Saha’s criteria</w:t>
      </w:r>
    </w:p>
    <w:tbl>
      <w:tblPr>
        <w:tblStyle w:val="TableGrid"/>
        <w:tblW w:w="14913" w:type="dxa"/>
        <w:jc w:val="center"/>
        <w:tblInd w:w="-589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1984"/>
        <w:gridCol w:w="1701"/>
        <w:gridCol w:w="2126"/>
        <w:gridCol w:w="1701"/>
        <w:gridCol w:w="1843"/>
        <w:gridCol w:w="1843"/>
        <w:gridCol w:w="1021"/>
      </w:tblGrid>
      <w:tr w:rsidR="004E21FA" w:rsidRPr="00A64EE3" w:rsidTr="00296F20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erences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: Single medicine prescription when required on each occasion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II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: Medicine individualisation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III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: Proper description of approach to medicine individualisation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IV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: Dose individualisation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V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: Proper description of approach to dose individualisation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VI</w:t>
            </w:r>
            <w:r w:rsidR="002972FE" w:rsidRPr="00A64EE3">
              <w:rPr>
                <w:rFonts w:ascii="Times New Roman" w:hAnsi="Times New Roman" w:cs="Times New Roman"/>
                <w:sz w:val="20"/>
                <w:szCs w:val="20"/>
              </w:rPr>
              <w:t>: Subsequent prescriptions as per Kent’s observations and/or Hering’s law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BC5" w:rsidRPr="00A64EE3" w:rsidRDefault="003C0BC5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r w:rsidR="00B55CDB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(max. 6)</w:t>
            </w:r>
          </w:p>
        </w:tc>
      </w:tr>
      <w:tr w:rsidR="00296F20" w:rsidRPr="00A64EE3" w:rsidTr="00296F20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296F20" w:rsidRPr="00A64EE3" w:rsidRDefault="00296F20" w:rsidP="001841A9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Saruggia M, et al, 1992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[19]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296F20" w:rsidRPr="00A64EE3" w:rsidRDefault="00D47D3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1FA" w:rsidRPr="00A64EE3" w:rsidTr="00296F20">
        <w:trPr>
          <w:jc w:val="center"/>
        </w:trPr>
        <w:tc>
          <w:tcPr>
            <w:tcW w:w="2694" w:type="dxa"/>
            <w:tcBorders>
              <w:top w:val="nil"/>
            </w:tcBorders>
          </w:tcPr>
          <w:p w:rsidR="00EE3A29" w:rsidRPr="00A64EE3" w:rsidRDefault="00704F65" w:rsidP="001841A9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Kurz</w:t>
            </w:r>
            <w:r w:rsidR="00EE3A29"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 C, et al, 1993 </w:t>
            </w:r>
            <w:r w:rsidR="00EE3A29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296F20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="00EE3A29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984" w:type="dxa"/>
            <w:tcBorders>
              <w:top w:val="nil"/>
            </w:tcBorders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nil"/>
            </w:tcBorders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nil"/>
            </w:tcBorders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nil"/>
            </w:tcBorders>
          </w:tcPr>
          <w:p w:rsidR="00EE3A29" w:rsidRPr="00A64EE3" w:rsidRDefault="00FE5BE0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43" w:type="dxa"/>
            <w:tcBorders>
              <w:top w:val="nil"/>
            </w:tcBorders>
          </w:tcPr>
          <w:p w:rsidR="00EE3A29" w:rsidRPr="00A64EE3" w:rsidRDefault="00FE5BE0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43" w:type="dxa"/>
            <w:tcBorders>
              <w:top w:val="nil"/>
            </w:tcBorders>
          </w:tcPr>
          <w:p w:rsidR="00EE3A29" w:rsidRPr="00A64EE3" w:rsidRDefault="00FE5BE0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021" w:type="dxa"/>
            <w:tcBorders>
              <w:top w:val="nil"/>
            </w:tcBorders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1FA" w:rsidRPr="00A64EE3" w:rsidTr="00296F20">
        <w:trPr>
          <w:jc w:val="center"/>
        </w:trPr>
        <w:tc>
          <w:tcPr>
            <w:tcW w:w="2694" w:type="dxa"/>
          </w:tcPr>
          <w:p w:rsidR="00EE3A29" w:rsidRPr="00A64EE3" w:rsidRDefault="00EE3A29" w:rsidP="001841A9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Naude DF, et al, 2003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296F20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21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984" w:type="dxa"/>
          </w:tcPr>
          <w:p w:rsidR="00EE3A29" w:rsidRPr="00A64EE3" w:rsidRDefault="0059095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01" w:type="dxa"/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26" w:type="dxa"/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01" w:type="dxa"/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43" w:type="dxa"/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43" w:type="dxa"/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21" w:type="dxa"/>
          </w:tcPr>
          <w:p w:rsidR="00EE3A29" w:rsidRPr="00A64EE3" w:rsidRDefault="0059095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1FA" w:rsidRPr="00A64EE3" w:rsidTr="00296F20">
        <w:trPr>
          <w:jc w:val="center"/>
        </w:trPr>
        <w:tc>
          <w:tcPr>
            <w:tcW w:w="2694" w:type="dxa"/>
          </w:tcPr>
          <w:p w:rsidR="00EE3A29" w:rsidRPr="00A64EE3" w:rsidRDefault="00EE3A29" w:rsidP="001841A9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Hati AK, et al., 2012 </w:t>
            </w:r>
            <w:r w:rsidR="009E21CF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296F20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22</w:t>
            </w:r>
            <w:r w:rsidR="009E21CF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1984" w:type="dxa"/>
          </w:tcPr>
          <w:p w:rsidR="00EE3A29" w:rsidRPr="00A64EE3" w:rsidRDefault="00EE3A29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1" w:type="dxa"/>
          </w:tcPr>
          <w:p w:rsidR="00EE3A29" w:rsidRPr="00A64EE3" w:rsidRDefault="0059095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126" w:type="dxa"/>
          </w:tcPr>
          <w:p w:rsidR="00EE3A29" w:rsidRPr="00A64EE3" w:rsidRDefault="0059095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1" w:type="dxa"/>
          </w:tcPr>
          <w:p w:rsidR="00EE3A29" w:rsidRPr="00A64EE3" w:rsidRDefault="00575DB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43" w:type="dxa"/>
          </w:tcPr>
          <w:p w:rsidR="00EE3A29" w:rsidRPr="00A64EE3" w:rsidRDefault="00575DB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43" w:type="dxa"/>
          </w:tcPr>
          <w:p w:rsidR="00EE3A29" w:rsidRPr="00A64EE3" w:rsidRDefault="00575DB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021" w:type="dxa"/>
          </w:tcPr>
          <w:p w:rsidR="00EE3A29" w:rsidRPr="00A64EE3" w:rsidRDefault="00575DBB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67D7B" w:rsidRPr="00A64EE3" w:rsidRDefault="00AF7B22" w:rsidP="00433F10">
      <w:pPr>
        <w:spacing w:before="240"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>Y: Yes; N: No; U: Uncertain</w:t>
      </w:r>
    </w:p>
    <w:p w:rsidR="00D23910" w:rsidRPr="00A64EE3" w:rsidRDefault="00D23910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5A1B" w:rsidRPr="00A64EE3" w:rsidRDefault="00855A1B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10</w:t>
      </w:r>
      <w:r w:rsidRPr="00A64EE3">
        <w:rPr>
          <w:rFonts w:ascii="Times New Roman" w:hAnsi="Times New Roman" w:cs="Times New Roman"/>
          <w:sz w:val="20"/>
          <w:szCs w:val="20"/>
        </w:rPr>
        <w:t xml:space="preserve">: </w:t>
      </w:r>
      <w:r w:rsidR="001F03F0" w:rsidRPr="00A64EE3">
        <w:rPr>
          <w:rFonts w:ascii="Times New Roman" w:hAnsi="Times New Roman" w:cs="Times New Roman"/>
          <w:sz w:val="20"/>
          <w:szCs w:val="20"/>
        </w:rPr>
        <w:t>Methodological quality anal</w:t>
      </w:r>
      <w:r w:rsidR="00A573CD" w:rsidRPr="00A64EE3">
        <w:rPr>
          <w:rFonts w:ascii="Times New Roman" w:hAnsi="Times New Roman" w:cs="Times New Roman"/>
          <w:sz w:val="20"/>
          <w:szCs w:val="20"/>
        </w:rPr>
        <w:t xml:space="preserve">ysis of the </w:t>
      </w:r>
      <w:r w:rsidR="002E32FD" w:rsidRPr="00A64EE3">
        <w:rPr>
          <w:rFonts w:ascii="Times New Roman" w:hAnsi="Times New Roman" w:cs="Times New Roman"/>
          <w:sz w:val="20"/>
          <w:szCs w:val="20"/>
        </w:rPr>
        <w:t xml:space="preserve">observational studies and </w:t>
      </w:r>
      <w:r w:rsidR="00CF2636" w:rsidRPr="00A64EE3">
        <w:rPr>
          <w:rFonts w:ascii="Times New Roman" w:hAnsi="Times New Roman" w:cs="Times New Roman"/>
          <w:sz w:val="20"/>
          <w:szCs w:val="20"/>
        </w:rPr>
        <w:t>non</w:t>
      </w:r>
      <w:r w:rsidR="00B55CDB" w:rsidRPr="00A64EE3">
        <w:rPr>
          <w:rFonts w:ascii="Times New Roman" w:hAnsi="Times New Roman" w:cs="Times New Roman"/>
          <w:sz w:val="20"/>
          <w:szCs w:val="20"/>
        </w:rPr>
        <w:t>-</w:t>
      </w:r>
      <w:r w:rsidR="00CF2636" w:rsidRPr="00A64EE3">
        <w:rPr>
          <w:rFonts w:ascii="Times New Roman" w:hAnsi="Times New Roman" w:cs="Times New Roman"/>
          <w:sz w:val="20"/>
          <w:szCs w:val="20"/>
        </w:rPr>
        <w:t xml:space="preserve">comparative, </w:t>
      </w:r>
      <w:r w:rsidR="00A573CD" w:rsidRPr="00A64EE3">
        <w:rPr>
          <w:rFonts w:ascii="Times New Roman" w:hAnsi="Times New Roman" w:cs="Times New Roman"/>
          <w:sz w:val="20"/>
          <w:szCs w:val="20"/>
        </w:rPr>
        <w:t>non-randomised</w:t>
      </w:r>
      <w:r w:rsidR="00127759" w:rsidRPr="00A64EE3">
        <w:rPr>
          <w:rFonts w:ascii="Times New Roman" w:hAnsi="Times New Roman" w:cs="Times New Roman"/>
          <w:sz w:val="20"/>
          <w:szCs w:val="20"/>
        </w:rPr>
        <w:t xml:space="preserve"> </w:t>
      </w:r>
      <w:r w:rsidRPr="00A64EE3">
        <w:rPr>
          <w:rFonts w:ascii="Times New Roman" w:hAnsi="Times New Roman" w:cs="Times New Roman"/>
          <w:sz w:val="20"/>
          <w:szCs w:val="20"/>
        </w:rPr>
        <w:t xml:space="preserve">trials by </w:t>
      </w:r>
      <w:r w:rsidR="000776A8" w:rsidRPr="00A64EE3">
        <w:rPr>
          <w:rFonts w:ascii="Times New Roman" w:hAnsi="Times New Roman" w:cs="Times New Roman"/>
          <w:sz w:val="20"/>
          <w:szCs w:val="20"/>
        </w:rPr>
        <w:t>MINORS</w:t>
      </w:r>
      <w:r w:rsidRPr="00A64EE3">
        <w:rPr>
          <w:rFonts w:ascii="Times New Roman" w:hAnsi="Times New Roman" w:cs="Times New Roman"/>
          <w:sz w:val="20"/>
          <w:szCs w:val="20"/>
        </w:rPr>
        <w:t xml:space="preserve"> criteria</w:t>
      </w:r>
    </w:p>
    <w:tbl>
      <w:tblPr>
        <w:tblStyle w:val="TableGrid"/>
        <w:tblW w:w="15300" w:type="dxa"/>
        <w:jc w:val="center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0"/>
        <w:gridCol w:w="990"/>
        <w:gridCol w:w="1440"/>
        <w:gridCol w:w="1350"/>
        <w:gridCol w:w="1530"/>
        <w:gridCol w:w="1890"/>
        <w:gridCol w:w="1980"/>
        <w:gridCol w:w="1080"/>
        <w:gridCol w:w="1440"/>
        <w:gridCol w:w="990"/>
      </w:tblGrid>
      <w:tr w:rsidR="00461F6F" w:rsidRPr="00A64EE3" w:rsidTr="00CA2275">
        <w:trPr>
          <w:jc w:val="center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Aim stated clearly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Consecutive patients inclusion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 data collection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Appropriate endpoint to study aim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Unbiased assessment of study endpoints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Follow-up period appropriate to the aim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Loss to follow up &lt; 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 calculation of study size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Total score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1994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Rau MT, 2003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24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2006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26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Heidl R,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151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Malipatil CV,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88527A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Thomas B, 2010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29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Siddiqui VA, 2011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750892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Johny J,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D45091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Oberai P, 2012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32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D45091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1F6F" w:rsidRPr="00A64EE3" w:rsidTr="00CA2275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Dhawankar NV, 2013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33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D45091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1F6F" w:rsidRPr="00A64EE3" w:rsidTr="0015141C">
        <w:trPr>
          <w:jc w:val="center"/>
        </w:trPr>
        <w:tc>
          <w:tcPr>
            <w:tcW w:w="2610" w:type="dxa"/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2016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34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461F6F" w:rsidRPr="00A64EE3" w:rsidRDefault="00D45091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61F6F" w:rsidRPr="00A64EE3" w:rsidTr="0015141C">
        <w:trPr>
          <w:jc w:val="center"/>
        </w:trPr>
        <w:tc>
          <w:tcPr>
            <w:tcW w:w="2610" w:type="dxa"/>
            <w:tcBorders>
              <w:bottom w:val="single" w:sz="4" w:space="0" w:color="auto"/>
            </w:tcBorders>
          </w:tcPr>
          <w:p w:rsidR="00461F6F" w:rsidRPr="00A64EE3" w:rsidRDefault="00461F6F" w:rsidP="00220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N, 2017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5141C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1F6F" w:rsidRPr="00A64EE3" w:rsidRDefault="00461F6F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1F6F" w:rsidRPr="00A64EE3" w:rsidRDefault="00D45091" w:rsidP="0018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9D1396" w:rsidRPr="00A64EE3" w:rsidRDefault="003A2D7C" w:rsidP="00855A1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>0: Not reported; 1: Reported but inadequate; 2: Reported and adequate</w:t>
      </w:r>
    </w:p>
    <w:p w:rsidR="00926444" w:rsidRPr="00A64EE3" w:rsidRDefault="00926444" w:rsidP="0012775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2636" w:rsidRPr="00A64EE3" w:rsidRDefault="00CF2636" w:rsidP="00CF26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 xml:space="preserve">Table </w:t>
      </w:r>
      <w:r w:rsidR="009A797D" w:rsidRPr="00A64EE3">
        <w:rPr>
          <w:rFonts w:ascii="Times New Roman" w:hAnsi="Times New Roman" w:cs="Times New Roman"/>
          <w:sz w:val="20"/>
          <w:szCs w:val="20"/>
        </w:rPr>
        <w:t>11</w:t>
      </w:r>
      <w:r w:rsidRPr="00A64EE3">
        <w:rPr>
          <w:rFonts w:ascii="Times New Roman" w:hAnsi="Times New Roman" w:cs="Times New Roman"/>
          <w:sz w:val="20"/>
          <w:szCs w:val="20"/>
        </w:rPr>
        <w:t xml:space="preserve">: Methodological quality analysis of the comparative, </w:t>
      </w:r>
      <w:r w:rsidR="00FD0F9F" w:rsidRPr="00A64EE3">
        <w:rPr>
          <w:rFonts w:ascii="Times New Roman" w:hAnsi="Times New Roman" w:cs="Times New Roman"/>
          <w:sz w:val="20"/>
          <w:szCs w:val="20"/>
        </w:rPr>
        <w:t>non-randomised trials by MINOR</w:t>
      </w:r>
      <w:r w:rsidRPr="00A64EE3">
        <w:rPr>
          <w:rFonts w:ascii="Times New Roman" w:hAnsi="Times New Roman" w:cs="Times New Roman"/>
          <w:sz w:val="20"/>
          <w:szCs w:val="20"/>
        </w:rPr>
        <w:t>’s criteria</w:t>
      </w:r>
    </w:p>
    <w:tbl>
      <w:tblPr>
        <w:tblStyle w:val="TableGrid"/>
        <w:tblW w:w="16248" w:type="dxa"/>
        <w:jc w:val="center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1"/>
        <w:gridCol w:w="834"/>
        <w:gridCol w:w="1292"/>
        <w:gridCol w:w="1200"/>
        <w:gridCol w:w="1198"/>
        <w:gridCol w:w="1260"/>
        <w:gridCol w:w="1350"/>
        <w:gridCol w:w="990"/>
        <w:gridCol w:w="1350"/>
        <w:gridCol w:w="1080"/>
        <w:gridCol w:w="990"/>
        <w:gridCol w:w="1174"/>
        <w:gridCol w:w="1156"/>
        <w:gridCol w:w="803"/>
      </w:tblGrid>
      <w:tr w:rsidR="00A17FEF" w:rsidRPr="00A64EE3" w:rsidTr="00073AFB">
        <w:trPr>
          <w:jc w:val="center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Aim stated clearly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Consecutive patients inclusion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 data collection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Appropriate endpoint to study aim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Unbiased assessment of study endpoints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Follow-up period appropriate to the aim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Loss to follow up &lt; 5%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Prospective calculation of study size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An adequate control group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Contemporary groups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Baseline equivalence of groups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Adequate statistical analyses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Total score</w:t>
            </w:r>
          </w:p>
        </w:tc>
      </w:tr>
      <w:tr w:rsidR="00A17FEF" w:rsidRPr="00A64EE3" w:rsidTr="00073AFB">
        <w:trPr>
          <w:jc w:val="center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F80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Patil S, 2017 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</w:t>
            </w:r>
            <w:r w:rsidR="00105B68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250602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CE3D76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7938AE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CE3D76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0165" w:rsidRPr="00A64EE3" w:rsidRDefault="001F0165" w:rsidP="00D4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0602"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CF2636" w:rsidRPr="00A64EE3" w:rsidRDefault="00CF2636" w:rsidP="00CF26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t>0: Not reported; 1: Reported but inadequate; 2: Reported and adequate</w:t>
      </w:r>
    </w:p>
    <w:p w:rsidR="00CF2636" w:rsidRPr="00A64EE3" w:rsidRDefault="00CF2636" w:rsidP="0012775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797D" w:rsidRPr="00A64EE3" w:rsidRDefault="009A797D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7254" w:rsidRPr="00A64EE3" w:rsidRDefault="005A4183" w:rsidP="0039725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4EE3">
        <w:rPr>
          <w:rFonts w:ascii="Times New Roman" w:hAnsi="Times New Roman" w:cs="Times New Roman"/>
          <w:sz w:val="20"/>
          <w:szCs w:val="20"/>
        </w:rPr>
        <w:lastRenderedPageBreak/>
        <w:t>Table 12</w:t>
      </w:r>
      <w:r w:rsidR="00397254" w:rsidRPr="00A64EE3">
        <w:rPr>
          <w:rFonts w:ascii="Times New Roman" w:hAnsi="Times New Roman" w:cs="Times New Roman"/>
          <w:sz w:val="20"/>
          <w:szCs w:val="20"/>
        </w:rPr>
        <w:t xml:space="preserve">: </w:t>
      </w:r>
      <w:r w:rsidR="002E32FD" w:rsidRPr="00A64EE3">
        <w:rPr>
          <w:rFonts w:ascii="Times New Roman" w:hAnsi="Times New Roman" w:cs="Times New Roman"/>
          <w:sz w:val="20"/>
          <w:szCs w:val="20"/>
        </w:rPr>
        <w:t>Assessment of q</w:t>
      </w:r>
      <w:r w:rsidR="00397254" w:rsidRPr="00A64EE3">
        <w:rPr>
          <w:rFonts w:ascii="Times New Roman" w:hAnsi="Times New Roman" w:cs="Times New Roman"/>
          <w:sz w:val="20"/>
          <w:szCs w:val="20"/>
        </w:rPr>
        <w:t xml:space="preserve">uality </w:t>
      </w:r>
      <w:r w:rsidR="002E32FD" w:rsidRPr="00A64EE3">
        <w:rPr>
          <w:rFonts w:ascii="Times New Roman" w:hAnsi="Times New Roman" w:cs="Times New Roman"/>
          <w:sz w:val="20"/>
          <w:szCs w:val="20"/>
        </w:rPr>
        <w:t xml:space="preserve">of individualization </w:t>
      </w:r>
      <w:r w:rsidR="00397254" w:rsidRPr="00A64EE3">
        <w:rPr>
          <w:rFonts w:ascii="Times New Roman" w:hAnsi="Times New Roman" w:cs="Times New Roman"/>
          <w:sz w:val="20"/>
          <w:szCs w:val="20"/>
        </w:rPr>
        <w:t xml:space="preserve">of the </w:t>
      </w:r>
      <w:r w:rsidR="0000548D" w:rsidRPr="00A64EE3">
        <w:rPr>
          <w:rFonts w:ascii="Times New Roman" w:hAnsi="Times New Roman" w:cs="Times New Roman"/>
          <w:sz w:val="20"/>
          <w:szCs w:val="20"/>
        </w:rPr>
        <w:t>observational studies</w:t>
      </w:r>
      <w:r w:rsidR="00397254" w:rsidRPr="00A64EE3">
        <w:rPr>
          <w:rFonts w:ascii="Times New Roman" w:hAnsi="Times New Roman" w:cs="Times New Roman"/>
          <w:sz w:val="20"/>
          <w:szCs w:val="20"/>
        </w:rPr>
        <w:t xml:space="preserve"> </w:t>
      </w:r>
      <w:r w:rsidR="002E32FD" w:rsidRPr="00A64EE3">
        <w:rPr>
          <w:rFonts w:ascii="Times New Roman" w:hAnsi="Times New Roman" w:cs="Times New Roman"/>
          <w:sz w:val="20"/>
          <w:szCs w:val="20"/>
        </w:rPr>
        <w:t xml:space="preserve">and non-randomized trials </w:t>
      </w:r>
      <w:r w:rsidR="00397254" w:rsidRPr="00A64EE3">
        <w:rPr>
          <w:rFonts w:ascii="Times New Roman" w:hAnsi="Times New Roman" w:cs="Times New Roman"/>
          <w:sz w:val="20"/>
          <w:szCs w:val="20"/>
        </w:rPr>
        <w:t>by Saha’s criteria</w:t>
      </w:r>
    </w:p>
    <w:tbl>
      <w:tblPr>
        <w:tblStyle w:val="TableGrid"/>
        <w:tblW w:w="15750" w:type="dxa"/>
        <w:jc w:val="center"/>
        <w:tblInd w:w="-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00"/>
        <w:gridCol w:w="2070"/>
        <w:gridCol w:w="1890"/>
        <w:gridCol w:w="1890"/>
        <w:gridCol w:w="1890"/>
        <w:gridCol w:w="1890"/>
        <w:gridCol w:w="1980"/>
        <w:gridCol w:w="1440"/>
      </w:tblGrid>
      <w:tr w:rsidR="00397254" w:rsidRPr="00A64EE3" w:rsidTr="00397254">
        <w:trPr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I: Single medicine prescription when required on each occasion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II: Medicine individualisation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III: Proper description of approach to medicine individualisation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IV: Dose individualisation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V: Proper description of approach to dose individualisation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Criterion VI: Subsequent prescriptions as per Kent’s observations and/or Hering’s law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1994 </w:t>
            </w:r>
            <w:r w:rsidR="0055021D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[23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Rau MT, 2003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[24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2006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[25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2010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[26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Heidl R, 2010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[27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Malipatil CV, 2010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[28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Thomas B, 2010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[29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Siddiqui VA, 2011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[30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Johny J, 2012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[31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Oberai P, 2012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[32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Dhawankar NV, 2013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[33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7254" w:rsidRPr="00A64EE3" w:rsidTr="00397254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G, 2016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[34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7254" w:rsidRPr="00A64EE3" w:rsidTr="005936AB">
        <w:trPr>
          <w:jc w:val="center"/>
        </w:trPr>
        <w:tc>
          <w:tcPr>
            <w:tcW w:w="2700" w:type="dxa"/>
            <w:hideMark/>
          </w:tcPr>
          <w:p w:rsidR="00397254" w:rsidRPr="00A64EE3" w:rsidRDefault="0039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Gupta N, 2017 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[35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7254" w:rsidRPr="00A64EE3" w:rsidTr="005936AB">
        <w:trPr>
          <w:jc w:val="center"/>
        </w:trPr>
        <w:tc>
          <w:tcPr>
            <w:tcW w:w="2700" w:type="dxa"/>
            <w:tcBorders>
              <w:bottom w:val="single" w:sz="4" w:space="0" w:color="auto"/>
            </w:tcBorders>
            <w:hideMark/>
          </w:tcPr>
          <w:p w:rsidR="00397254" w:rsidRPr="00A64EE3" w:rsidRDefault="00397254" w:rsidP="0059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 xml:space="preserve">Patil S, 2017 </w:t>
            </w:r>
            <w:r w:rsidR="00A93DF6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</w:t>
            </w:r>
            <w:r w:rsidR="005936AB"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A64E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397254" w:rsidRPr="00A64EE3" w:rsidRDefault="0039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B6AB7" w:rsidRPr="00A64EE3" w:rsidRDefault="00397254" w:rsidP="00E828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EE3">
        <w:rPr>
          <w:rFonts w:ascii="Times New Roman" w:hAnsi="Times New Roman" w:cs="Times New Roman"/>
          <w:sz w:val="20"/>
          <w:szCs w:val="20"/>
        </w:rPr>
        <w:t>Y: Yes; N: No; U: Uncertain</w:t>
      </w:r>
    </w:p>
    <w:sectPr w:rsidR="008B6AB7" w:rsidRPr="00A64EE3" w:rsidSect="00946D32">
      <w:footerReference w:type="default" r:id="rId8"/>
      <w:pgSz w:w="16838" w:h="11906" w:orient="landscape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67" w:rsidRDefault="00EE6A67" w:rsidP="00501525">
      <w:pPr>
        <w:spacing w:after="0" w:line="240" w:lineRule="auto"/>
      </w:pPr>
      <w:r>
        <w:separator/>
      </w:r>
    </w:p>
  </w:endnote>
  <w:endnote w:type="continuationSeparator" w:id="1">
    <w:p w:rsidR="00EE6A67" w:rsidRDefault="00EE6A67" w:rsidP="0050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0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64EE3" w:rsidRDefault="00C0651B">
        <w:pPr>
          <w:pStyle w:val="Footer"/>
          <w:jc w:val="right"/>
        </w:pPr>
        <w:r w:rsidRPr="005015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64EE3" w:rsidRPr="0050152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015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4B17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5015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64EE3" w:rsidRDefault="00A64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67" w:rsidRDefault="00EE6A67" w:rsidP="00501525">
      <w:pPr>
        <w:spacing w:after="0" w:line="240" w:lineRule="auto"/>
      </w:pPr>
      <w:r>
        <w:separator/>
      </w:r>
    </w:p>
  </w:footnote>
  <w:footnote w:type="continuationSeparator" w:id="1">
    <w:p w:rsidR="00EE6A67" w:rsidRDefault="00EE6A67" w:rsidP="00501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DB5"/>
    <w:multiLevelType w:val="hybridMultilevel"/>
    <w:tmpl w:val="715A2D52"/>
    <w:lvl w:ilvl="0" w:tplc="FF7E2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68CD"/>
    <w:multiLevelType w:val="hybridMultilevel"/>
    <w:tmpl w:val="A904A22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48DF"/>
    <w:multiLevelType w:val="hybridMultilevel"/>
    <w:tmpl w:val="B1D2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20A7"/>
    <w:multiLevelType w:val="hybridMultilevel"/>
    <w:tmpl w:val="B0CC02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B7C8B"/>
    <w:multiLevelType w:val="hybridMultilevel"/>
    <w:tmpl w:val="4F3877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401C"/>
    <w:multiLevelType w:val="hybridMultilevel"/>
    <w:tmpl w:val="456243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D577C"/>
    <w:multiLevelType w:val="hybridMultilevel"/>
    <w:tmpl w:val="213EA7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F1756"/>
    <w:multiLevelType w:val="hybridMultilevel"/>
    <w:tmpl w:val="DA847E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C023F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87EFD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D07E9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27DE3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818BF"/>
    <w:multiLevelType w:val="hybridMultilevel"/>
    <w:tmpl w:val="FE6889A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80CF5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90A04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E3E14"/>
    <w:multiLevelType w:val="hybridMultilevel"/>
    <w:tmpl w:val="A690725E"/>
    <w:lvl w:ilvl="0" w:tplc="24229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66F31"/>
    <w:multiLevelType w:val="hybridMultilevel"/>
    <w:tmpl w:val="E6A2741A"/>
    <w:lvl w:ilvl="0" w:tplc="EF007B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F6270"/>
    <w:multiLevelType w:val="hybridMultilevel"/>
    <w:tmpl w:val="54B4CED6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3"/>
  </w:num>
  <w:num w:numId="7">
    <w:abstractNumId w:val="6"/>
  </w:num>
  <w:num w:numId="8">
    <w:abstractNumId w:val="14"/>
  </w:num>
  <w:num w:numId="9">
    <w:abstractNumId w:val="9"/>
  </w:num>
  <w:num w:numId="10">
    <w:abstractNumId w:val="16"/>
  </w:num>
  <w:num w:numId="11">
    <w:abstractNumId w:val="8"/>
  </w:num>
  <w:num w:numId="12">
    <w:abstractNumId w:val="11"/>
  </w:num>
  <w:num w:numId="13">
    <w:abstractNumId w:val="15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563"/>
    <w:rsid w:val="00000198"/>
    <w:rsid w:val="0000057E"/>
    <w:rsid w:val="00003FC1"/>
    <w:rsid w:val="00004460"/>
    <w:rsid w:val="0000548D"/>
    <w:rsid w:val="00012FF8"/>
    <w:rsid w:val="000172D8"/>
    <w:rsid w:val="0002150D"/>
    <w:rsid w:val="00022BEA"/>
    <w:rsid w:val="0002367C"/>
    <w:rsid w:val="00023F68"/>
    <w:rsid w:val="00030D94"/>
    <w:rsid w:val="000318DA"/>
    <w:rsid w:val="0003196A"/>
    <w:rsid w:val="000332D0"/>
    <w:rsid w:val="000344E2"/>
    <w:rsid w:val="00034DED"/>
    <w:rsid w:val="000366D5"/>
    <w:rsid w:val="00037AD2"/>
    <w:rsid w:val="00042091"/>
    <w:rsid w:val="0004371A"/>
    <w:rsid w:val="000451A2"/>
    <w:rsid w:val="00047AD4"/>
    <w:rsid w:val="000532D3"/>
    <w:rsid w:val="00054C54"/>
    <w:rsid w:val="00061F0F"/>
    <w:rsid w:val="000673DB"/>
    <w:rsid w:val="000711B5"/>
    <w:rsid w:val="00073065"/>
    <w:rsid w:val="00073AFB"/>
    <w:rsid w:val="00073DD1"/>
    <w:rsid w:val="00076900"/>
    <w:rsid w:val="00076CBB"/>
    <w:rsid w:val="000771AD"/>
    <w:rsid w:val="000776A8"/>
    <w:rsid w:val="00080068"/>
    <w:rsid w:val="00081DE4"/>
    <w:rsid w:val="00081FE1"/>
    <w:rsid w:val="00082A7F"/>
    <w:rsid w:val="00082D78"/>
    <w:rsid w:val="0008309F"/>
    <w:rsid w:val="00084DA5"/>
    <w:rsid w:val="00086A1A"/>
    <w:rsid w:val="00087CD4"/>
    <w:rsid w:val="00090C03"/>
    <w:rsid w:val="000911EB"/>
    <w:rsid w:val="00094CC0"/>
    <w:rsid w:val="00095AA6"/>
    <w:rsid w:val="000964A7"/>
    <w:rsid w:val="000A3B88"/>
    <w:rsid w:val="000A709A"/>
    <w:rsid w:val="000A7A6E"/>
    <w:rsid w:val="000B04F5"/>
    <w:rsid w:val="000B138D"/>
    <w:rsid w:val="000B2FDA"/>
    <w:rsid w:val="000B5C3E"/>
    <w:rsid w:val="000C12A5"/>
    <w:rsid w:val="000C1EBA"/>
    <w:rsid w:val="000C2AEC"/>
    <w:rsid w:val="000C3558"/>
    <w:rsid w:val="000C4452"/>
    <w:rsid w:val="000D0711"/>
    <w:rsid w:val="000D0EB7"/>
    <w:rsid w:val="000D3869"/>
    <w:rsid w:val="000D64C4"/>
    <w:rsid w:val="000D6641"/>
    <w:rsid w:val="000D7B2B"/>
    <w:rsid w:val="000E306C"/>
    <w:rsid w:val="000E335A"/>
    <w:rsid w:val="000E4C2F"/>
    <w:rsid w:val="000E5F22"/>
    <w:rsid w:val="000E6B98"/>
    <w:rsid w:val="000F02B5"/>
    <w:rsid w:val="000F0F4E"/>
    <w:rsid w:val="000F12DB"/>
    <w:rsid w:val="000F1529"/>
    <w:rsid w:val="000F27AC"/>
    <w:rsid w:val="000F2F21"/>
    <w:rsid w:val="001002A8"/>
    <w:rsid w:val="00100C2A"/>
    <w:rsid w:val="00100C66"/>
    <w:rsid w:val="001010EC"/>
    <w:rsid w:val="00102BE3"/>
    <w:rsid w:val="00104DFD"/>
    <w:rsid w:val="00105B68"/>
    <w:rsid w:val="00106896"/>
    <w:rsid w:val="0010746D"/>
    <w:rsid w:val="00107966"/>
    <w:rsid w:val="001108F2"/>
    <w:rsid w:val="00110A9A"/>
    <w:rsid w:val="00110F93"/>
    <w:rsid w:val="00111181"/>
    <w:rsid w:val="001124DE"/>
    <w:rsid w:val="00116C5A"/>
    <w:rsid w:val="00120705"/>
    <w:rsid w:val="00120A5D"/>
    <w:rsid w:val="00120B54"/>
    <w:rsid w:val="001219F1"/>
    <w:rsid w:val="00127433"/>
    <w:rsid w:val="00127759"/>
    <w:rsid w:val="00130B3D"/>
    <w:rsid w:val="00135827"/>
    <w:rsid w:val="00135B0D"/>
    <w:rsid w:val="00135F1E"/>
    <w:rsid w:val="00140031"/>
    <w:rsid w:val="001402F2"/>
    <w:rsid w:val="00141567"/>
    <w:rsid w:val="0014359F"/>
    <w:rsid w:val="0015141C"/>
    <w:rsid w:val="00153364"/>
    <w:rsid w:val="00153F2D"/>
    <w:rsid w:val="001540FD"/>
    <w:rsid w:val="00157559"/>
    <w:rsid w:val="00160D36"/>
    <w:rsid w:val="00162C28"/>
    <w:rsid w:val="0016532D"/>
    <w:rsid w:val="00170100"/>
    <w:rsid w:val="00170DBE"/>
    <w:rsid w:val="00170DE7"/>
    <w:rsid w:val="00172B87"/>
    <w:rsid w:val="00173897"/>
    <w:rsid w:val="00181945"/>
    <w:rsid w:val="001841A9"/>
    <w:rsid w:val="00185395"/>
    <w:rsid w:val="00186859"/>
    <w:rsid w:val="00190A41"/>
    <w:rsid w:val="00190FB6"/>
    <w:rsid w:val="0019524A"/>
    <w:rsid w:val="001954EB"/>
    <w:rsid w:val="00195529"/>
    <w:rsid w:val="00195A5D"/>
    <w:rsid w:val="001A0B8F"/>
    <w:rsid w:val="001A4ED4"/>
    <w:rsid w:val="001A7446"/>
    <w:rsid w:val="001A74FA"/>
    <w:rsid w:val="001C2824"/>
    <w:rsid w:val="001C46FD"/>
    <w:rsid w:val="001C4F42"/>
    <w:rsid w:val="001D2F45"/>
    <w:rsid w:val="001D3ACE"/>
    <w:rsid w:val="001D40FE"/>
    <w:rsid w:val="001D4A60"/>
    <w:rsid w:val="001D53C9"/>
    <w:rsid w:val="001D5E64"/>
    <w:rsid w:val="001D725D"/>
    <w:rsid w:val="001E2C25"/>
    <w:rsid w:val="001E31DE"/>
    <w:rsid w:val="001E4BD1"/>
    <w:rsid w:val="001E6876"/>
    <w:rsid w:val="001F0165"/>
    <w:rsid w:val="001F03F0"/>
    <w:rsid w:val="001F402A"/>
    <w:rsid w:val="001F706D"/>
    <w:rsid w:val="0020053B"/>
    <w:rsid w:val="00201BFF"/>
    <w:rsid w:val="00203AD5"/>
    <w:rsid w:val="002100BD"/>
    <w:rsid w:val="00212C87"/>
    <w:rsid w:val="0021362B"/>
    <w:rsid w:val="0021522A"/>
    <w:rsid w:val="00216648"/>
    <w:rsid w:val="00220330"/>
    <w:rsid w:val="0022068C"/>
    <w:rsid w:val="00220BFB"/>
    <w:rsid w:val="00223171"/>
    <w:rsid w:val="00223C4E"/>
    <w:rsid w:val="0022407D"/>
    <w:rsid w:val="00225CC9"/>
    <w:rsid w:val="0023178E"/>
    <w:rsid w:val="0023359E"/>
    <w:rsid w:val="00233934"/>
    <w:rsid w:val="00233F7B"/>
    <w:rsid w:val="00234205"/>
    <w:rsid w:val="00236652"/>
    <w:rsid w:val="00243C05"/>
    <w:rsid w:val="00244E42"/>
    <w:rsid w:val="00245131"/>
    <w:rsid w:val="00250602"/>
    <w:rsid w:val="00250B9F"/>
    <w:rsid w:val="00251187"/>
    <w:rsid w:val="00255226"/>
    <w:rsid w:val="0025761D"/>
    <w:rsid w:val="00261C06"/>
    <w:rsid w:val="002664B1"/>
    <w:rsid w:val="00266B1F"/>
    <w:rsid w:val="00267F13"/>
    <w:rsid w:val="00271FA8"/>
    <w:rsid w:val="00273935"/>
    <w:rsid w:val="002742F8"/>
    <w:rsid w:val="00274628"/>
    <w:rsid w:val="00287F70"/>
    <w:rsid w:val="00290265"/>
    <w:rsid w:val="0029144B"/>
    <w:rsid w:val="00292EE1"/>
    <w:rsid w:val="00296163"/>
    <w:rsid w:val="00296F20"/>
    <w:rsid w:val="002972FE"/>
    <w:rsid w:val="002A0DDB"/>
    <w:rsid w:val="002A1956"/>
    <w:rsid w:val="002A3DC9"/>
    <w:rsid w:val="002A6453"/>
    <w:rsid w:val="002A7464"/>
    <w:rsid w:val="002B5F55"/>
    <w:rsid w:val="002B69CD"/>
    <w:rsid w:val="002C1508"/>
    <w:rsid w:val="002C51D9"/>
    <w:rsid w:val="002C77C2"/>
    <w:rsid w:val="002D0A0E"/>
    <w:rsid w:val="002D5814"/>
    <w:rsid w:val="002D7ADD"/>
    <w:rsid w:val="002E16B2"/>
    <w:rsid w:val="002E32FD"/>
    <w:rsid w:val="002F0153"/>
    <w:rsid w:val="002F301E"/>
    <w:rsid w:val="002F57DC"/>
    <w:rsid w:val="003077E9"/>
    <w:rsid w:val="00313FDF"/>
    <w:rsid w:val="00314270"/>
    <w:rsid w:val="00321868"/>
    <w:rsid w:val="003249E8"/>
    <w:rsid w:val="00324E55"/>
    <w:rsid w:val="003254A8"/>
    <w:rsid w:val="0033122A"/>
    <w:rsid w:val="00334B4A"/>
    <w:rsid w:val="00335E06"/>
    <w:rsid w:val="00342387"/>
    <w:rsid w:val="003446C1"/>
    <w:rsid w:val="00345AE6"/>
    <w:rsid w:val="00350AF1"/>
    <w:rsid w:val="00350D66"/>
    <w:rsid w:val="00353223"/>
    <w:rsid w:val="0035601C"/>
    <w:rsid w:val="003572BC"/>
    <w:rsid w:val="00364346"/>
    <w:rsid w:val="003651C4"/>
    <w:rsid w:val="00365487"/>
    <w:rsid w:val="003746A2"/>
    <w:rsid w:val="00376F7C"/>
    <w:rsid w:val="00380756"/>
    <w:rsid w:val="00381313"/>
    <w:rsid w:val="00386D45"/>
    <w:rsid w:val="003878AB"/>
    <w:rsid w:val="003918FC"/>
    <w:rsid w:val="003925D4"/>
    <w:rsid w:val="00392B80"/>
    <w:rsid w:val="00394368"/>
    <w:rsid w:val="003955FC"/>
    <w:rsid w:val="00397254"/>
    <w:rsid w:val="003A2298"/>
    <w:rsid w:val="003A288D"/>
    <w:rsid w:val="003A2C1C"/>
    <w:rsid w:val="003A2D7C"/>
    <w:rsid w:val="003A57FC"/>
    <w:rsid w:val="003A5A71"/>
    <w:rsid w:val="003A679C"/>
    <w:rsid w:val="003A6CEE"/>
    <w:rsid w:val="003A728F"/>
    <w:rsid w:val="003A77F5"/>
    <w:rsid w:val="003B5929"/>
    <w:rsid w:val="003C0BC5"/>
    <w:rsid w:val="003C27F7"/>
    <w:rsid w:val="003C43E2"/>
    <w:rsid w:val="003C56D4"/>
    <w:rsid w:val="003C6F69"/>
    <w:rsid w:val="003D0DF4"/>
    <w:rsid w:val="003D1B97"/>
    <w:rsid w:val="003D1D9E"/>
    <w:rsid w:val="003D210F"/>
    <w:rsid w:val="003D3D22"/>
    <w:rsid w:val="003D3F7D"/>
    <w:rsid w:val="003D48D3"/>
    <w:rsid w:val="003D7D89"/>
    <w:rsid w:val="003E09D3"/>
    <w:rsid w:val="003E2AC2"/>
    <w:rsid w:val="003E40DB"/>
    <w:rsid w:val="00402398"/>
    <w:rsid w:val="0040273F"/>
    <w:rsid w:val="00405A4E"/>
    <w:rsid w:val="0040616A"/>
    <w:rsid w:val="00407F19"/>
    <w:rsid w:val="0041379B"/>
    <w:rsid w:val="004146F4"/>
    <w:rsid w:val="00415FD2"/>
    <w:rsid w:val="00417F9F"/>
    <w:rsid w:val="00420DEA"/>
    <w:rsid w:val="00421393"/>
    <w:rsid w:val="00425E8F"/>
    <w:rsid w:val="004269BA"/>
    <w:rsid w:val="00430CF5"/>
    <w:rsid w:val="00431067"/>
    <w:rsid w:val="004311E7"/>
    <w:rsid w:val="004325B5"/>
    <w:rsid w:val="004338F5"/>
    <w:rsid w:val="00433B36"/>
    <w:rsid w:val="00433F10"/>
    <w:rsid w:val="004373E9"/>
    <w:rsid w:val="004419A6"/>
    <w:rsid w:val="00445BE6"/>
    <w:rsid w:val="00446303"/>
    <w:rsid w:val="004464ED"/>
    <w:rsid w:val="00446D55"/>
    <w:rsid w:val="004521E0"/>
    <w:rsid w:val="004533C3"/>
    <w:rsid w:val="004533D2"/>
    <w:rsid w:val="00453A1D"/>
    <w:rsid w:val="00454362"/>
    <w:rsid w:val="00456A69"/>
    <w:rsid w:val="00461CC8"/>
    <w:rsid w:val="00461F6F"/>
    <w:rsid w:val="004653F0"/>
    <w:rsid w:val="004677A3"/>
    <w:rsid w:val="00470C94"/>
    <w:rsid w:val="0047134C"/>
    <w:rsid w:val="00471C0A"/>
    <w:rsid w:val="00472FD9"/>
    <w:rsid w:val="00473E58"/>
    <w:rsid w:val="00475923"/>
    <w:rsid w:val="004760CA"/>
    <w:rsid w:val="00480E75"/>
    <w:rsid w:val="00481185"/>
    <w:rsid w:val="004811BE"/>
    <w:rsid w:val="00482CEF"/>
    <w:rsid w:val="0048416E"/>
    <w:rsid w:val="00484F16"/>
    <w:rsid w:val="004850FF"/>
    <w:rsid w:val="00487684"/>
    <w:rsid w:val="0048773D"/>
    <w:rsid w:val="00493DD2"/>
    <w:rsid w:val="00494CE4"/>
    <w:rsid w:val="00496DD2"/>
    <w:rsid w:val="004A06D1"/>
    <w:rsid w:val="004A28D0"/>
    <w:rsid w:val="004A6563"/>
    <w:rsid w:val="004B5077"/>
    <w:rsid w:val="004B648E"/>
    <w:rsid w:val="004B65D6"/>
    <w:rsid w:val="004B73C6"/>
    <w:rsid w:val="004C5918"/>
    <w:rsid w:val="004C787E"/>
    <w:rsid w:val="004D3096"/>
    <w:rsid w:val="004D6C5B"/>
    <w:rsid w:val="004D7470"/>
    <w:rsid w:val="004E21FA"/>
    <w:rsid w:val="004E2AE0"/>
    <w:rsid w:val="004E42D6"/>
    <w:rsid w:val="004E43D9"/>
    <w:rsid w:val="004E750B"/>
    <w:rsid w:val="004F6712"/>
    <w:rsid w:val="004F73A2"/>
    <w:rsid w:val="00501525"/>
    <w:rsid w:val="005015F1"/>
    <w:rsid w:val="00505A3F"/>
    <w:rsid w:val="00507A31"/>
    <w:rsid w:val="00507DE1"/>
    <w:rsid w:val="00510659"/>
    <w:rsid w:val="00511316"/>
    <w:rsid w:val="0051251D"/>
    <w:rsid w:val="00515BBC"/>
    <w:rsid w:val="00516D33"/>
    <w:rsid w:val="005204E0"/>
    <w:rsid w:val="0052076D"/>
    <w:rsid w:val="00521796"/>
    <w:rsid w:val="00532335"/>
    <w:rsid w:val="005331C1"/>
    <w:rsid w:val="00537C1D"/>
    <w:rsid w:val="005478EC"/>
    <w:rsid w:val="0055021D"/>
    <w:rsid w:val="00552517"/>
    <w:rsid w:val="00554D87"/>
    <w:rsid w:val="00555A4B"/>
    <w:rsid w:val="0055773E"/>
    <w:rsid w:val="005601C8"/>
    <w:rsid w:val="0056186E"/>
    <w:rsid w:val="00561893"/>
    <w:rsid w:val="005619C0"/>
    <w:rsid w:val="00564851"/>
    <w:rsid w:val="00566943"/>
    <w:rsid w:val="005679A8"/>
    <w:rsid w:val="00575DBB"/>
    <w:rsid w:val="00577C3B"/>
    <w:rsid w:val="0059095B"/>
    <w:rsid w:val="00591C3E"/>
    <w:rsid w:val="005936AB"/>
    <w:rsid w:val="005964C7"/>
    <w:rsid w:val="005A07DF"/>
    <w:rsid w:val="005A1733"/>
    <w:rsid w:val="005A29E8"/>
    <w:rsid w:val="005A2ADF"/>
    <w:rsid w:val="005A33F5"/>
    <w:rsid w:val="005A4183"/>
    <w:rsid w:val="005A508E"/>
    <w:rsid w:val="005A6ACC"/>
    <w:rsid w:val="005B02D3"/>
    <w:rsid w:val="005B0E22"/>
    <w:rsid w:val="005B2277"/>
    <w:rsid w:val="005B2784"/>
    <w:rsid w:val="005B3D20"/>
    <w:rsid w:val="005B5151"/>
    <w:rsid w:val="005B6275"/>
    <w:rsid w:val="005C0E01"/>
    <w:rsid w:val="005C17F5"/>
    <w:rsid w:val="005C1CCB"/>
    <w:rsid w:val="005C347D"/>
    <w:rsid w:val="005C5126"/>
    <w:rsid w:val="005C7CB9"/>
    <w:rsid w:val="005E3CDC"/>
    <w:rsid w:val="005F7138"/>
    <w:rsid w:val="006023D1"/>
    <w:rsid w:val="00602DA1"/>
    <w:rsid w:val="00605EA8"/>
    <w:rsid w:val="00616474"/>
    <w:rsid w:val="00623867"/>
    <w:rsid w:val="00625335"/>
    <w:rsid w:val="00626348"/>
    <w:rsid w:val="00627ED4"/>
    <w:rsid w:val="00635BBB"/>
    <w:rsid w:val="00637D2F"/>
    <w:rsid w:val="006436BB"/>
    <w:rsid w:val="0064404E"/>
    <w:rsid w:val="006451A1"/>
    <w:rsid w:val="00651F14"/>
    <w:rsid w:val="00653BF2"/>
    <w:rsid w:val="00653CF1"/>
    <w:rsid w:val="00653D25"/>
    <w:rsid w:val="00654531"/>
    <w:rsid w:val="006547DA"/>
    <w:rsid w:val="00663014"/>
    <w:rsid w:val="00666F99"/>
    <w:rsid w:val="0066759E"/>
    <w:rsid w:val="00670D14"/>
    <w:rsid w:val="0067415C"/>
    <w:rsid w:val="00674E5A"/>
    <w:rsid w:val="00676186"/>
    <w:rsid w:val="00676D2D"/>
    <w:rsid w:val="00680122"/>
    <w:rsid w:val="00681D17"/>
    <w:rsid w:val="006822B4"/>
    <w:rsid w:val="00682A60"/>
    <w:rsid w:val="00686EFE"/>
    <w:rsid w:val="0068742E"/>
    <w:rsid w:val="00687820"/>
    <w:rsid w:val="00691B57"/>
    <w:rsid w:val="0069448B"/>
    <w:rsid w:val="00695040"/>
    <w:rsid w:val="006978EF"/>
    <w:rsid w:val="006A2826"/>
    <w:rsid w:val="006A3E53"/>
    <w:rsid w:val="006A43DB"/>
    <w:rsid w:val="006A47B1"/>
    <w:rsid w:val="006A6590"/>
    <w:rsid w:val="006A73EA"/>
    <w:rsid w:val="006A7A08"/>
    <w:rsid w:val="006B0C6D"/>
    <w:rsid w:val="006B29F3"/>
    <w:rsid w:val="006B3424"/>
    <w:rsid w:val="006B39EF"/>
    <w:rsid w:val="006B6828"/>
    <w:rsid w:val="006B79CC"/>
    <w:rsid w:val="006C183B"/>
    <w:rsid w:val="006C22E9"/>
    <w:rsid w:val="006C7A5E"/>
    <w:rsid w:val="006D26F5"/>
    <w:rsid w:val="006D3567"/>
    <w:rsid w:val="006D4071"/>
    <w:rsid w:val="006D559B"/>
    <w:rsid w:val="006D57E8"/>
    <w:rsid w:val="006D65A9"/>
    <w:rsid w:val="006E2105"/>
    <w:rsid w:val="006E2E90"/>
    <w:rsid w:val="006E54C0"/>
    <w:rsid w:val="006F1313"/>
    <w:rsid w:val="006F1A72"/>
    <w:rsid w:val="006F2034"/>
    <w:rsid w:val="006F3B14"/>
    <w:rsid w:val="006F41D5"/>
    <w:rsid w:val="006F5417"/>
    <w:rsid w:val="006F694F"/>
    <w:rsid w:val="00703C94"/>
    <w:rsid w:val="00704F65"/>
    <w:rsid w:val="00704FB9"/>
    <w:rsid w:val="007074BF"/>
    <w:rsid w:val="00707A68"/>
    <w:rsid w:val="007102FD"/>
    <w:rsid w:val="0071057A"/>
    <w:rsid w:val="007108AA"/>
    <w:rsid w:val="007115C8"/>
    <w:rsid w:val="00712E74"/>
    <w:rsid w:val="00713BC6"/>
    <w:rsid w:val="00713D6F"/>
    <w:rsid w:val="00714105"/>
    <w:rsid w:val="00714E3B"/>
    <w:rsid w:val="00716AD4"/>
    <w:rsid w:val="00717F66"/>
    <w:rsid w:val="007213F8"/>
    <w:rsid w:val="007217CC"/>
    <w:rsid w:val="00723D2B"/>
    <w:rsid w:val="00725F00"/>
    <w:rsid w:val="007274F9"/>
    <w:rsid w:val="0073281B"/>
    <w:rsid w:val="00733534"/>
    <w:rsid w:val="00733623"/>
    <w:rsid w:val="007363CD"/>
    <w:rsid w:val="007368B5"/>
    <w:rsid w:val="00736BF5"/>
    <w:rsid w:val="007378D4"/>
    <w:rsid w:val="0074190B"/>
    <w:rsid w:val="00742C3C"/>
    <w:rsid w:val="00744B29"/>
    <w:rsid w:val="007507CC"/>
    <w:rsid w:val="00750892"/>
    <w:rsid w:val="00751F18"/>
    <w:rsid w:val="0075321C"/>
    <w:rsid w:val="00754043"/>
    <w:rsid w:val="00757286"/>
    <w:rsid w:val="00757A87"/>
    <w:rsid w:val="00757E3C"/>
    <w:rsid w:val="007614BF"/>
    <w:rsid w:val="007647C9"/>
    <w:rsid w:val="007718E0"/>
    <w:rsid w:val="0077248B"/>
    <w:rsid w:val="0077403F"/>
    <w:rsid w:val="0077534A"/>
    <w:rsid w:val="007759EB"/>
    <w:rsid w:val="00787451"/>
    <w:rsid w:val="00787783"/>
    <w:rsid w:val="00787C2C"/>
    <w:rsid w:val="00792653"/>
    <w:rsid w:val="00792682"/>
    <w:rsid w:val="007938AE"/>
    <w:rsid w:val="00794A8F"/>
    <w:rsid w:val="00795795"/>
    <w:rsid w:val="007A0AFA"/>
    <w:rsid w:val="007A2A4B"/>
    <w:rsid w:val="007A7FF6"/>
    <w:rsid w:val="007B1ABC"/>
    <w:rsid w:val="007B2D5A"/>
    <w:rsid w:val="007B5066"/>
    <w:rsid w:val="007B5826"/>
    <w:rsid w:val="007C0986"/>
    <w:rsid w:val="007C2647"/>
    <w:rsid w:val="007C50CC"/>
    <w:rsid w:val="007D2CE4"/>
    <w:rsid w:val="007D32F7"/>
    <w:rsid w:val="007D7A8F"/>
    <w:rsid w:val="007D7F49"/>
    <w:rsid w:val="007E1BD8"/>
    <w:rsid w:val="007E22E4"/>
    <w:rsid w:val="007E2E63"/>
    <w:rsid w:val="007E3F81"/>
    <w:rsid w:val="007E5B8B"/>
    <w:rsid w:val="007E61D1"/>
    <w:rsid w:val="007E7D62"/>
    <w:rsid w:val="007F0F06"/>
    <w:rsid w:val="007F4636"/>
    <w:rsid w:val="007F4C46"/>
    <w:rsid w:val="007F7906"/>
    <w:rsid w:val="00801872"/>
    <w:rsid w:val="00802A5B"/>
    <w:rsid w:val="00803595"/>
    <w:rsid w:val="008037E5"/>
    <w:rsid w:val="0080441C"/>
    <w:rsid w:val="00805E63"/>
    <w:rsid w:val="00806406"/>
    <w:rsid w:val="00806786"/>
    <w:rsid w:val="00815192"/>
    <w:rsid w:val="00820E9C"/>
    <w:rsid w:val="008214BD"/>
    <w:rsid w:val="00823BA7"/>
    <w:rsid w:val="00826DD4"/>
    <w:rsid w:val="008315C4"/>
    <w:rsid w:val="00836F88"/>
    <w:rsid w:val="00837AFC"/>
    <w:rsid w:val="00843207"/>
    <w:rsid w:val="0084360C"/>
    <w:rsid w:val="008528FA"/>
    <w:rsid w:val="008529DD"/>
    <w:rsid w:val="00854F5E"/>
    <w:rsid w:val="00855037"/>
    <w:rsid w:val="008552D1"/>
    <w:rsid w:val="00855A1B"/>
    <w:rsid w:val="008568FC"/>
    <w:rsid w:val="00863A45"/>
    <w:rsid w:val="008658B9"/>
    <w:rsid w:val="00865DD8"/>
    <w:rsid w:val="008661B0"/>
    <w:rsid w:val="008661E6"/>
    <w:rsid w:val="008714A6"/>
    <w:rsid w:val="0087620A"/>
    <w:rsid w:val="00876669"/>
    <w:rsid w:val="0087729D"/>
    <w:rsid w:val="008811A2"/>
    <w:rsid w:val="00881A76"/>
    <w:rsid w:val="0088527A"/>
    <w:rsid w:val="0088544F"/>
    <w:rsid w:val="00885EF9"/>
    <w:rsid w:val="0088612E"/>
    <w:rsid w:val="00886851"/>
    <w:rsid w:val="00887300"/>
    <w:rsid w:val="00890305"/>
    <w:rsid w:val="00890C9D"/>
    <w:rsid w:val="00892B22"/>
    <w:rsid w:val="00892F37"/>
    <w:rsid w:val="008936D8"/>
    <w:rsid w:val="0089392B"/>
    <w:rsid w:val="00897141"/>
    <w:rsid w:val="008A02C7"/>
    <w:rsid w:val="008A243F"/>
    <w:rsid w:val="008A4CCD"/>
    <w:rsid w:val="008B2941"/>
    <w:rsid w:val="008B4201"/>
    <w:rsid w:val="008B456C"/>
    <w:rsid w:val="008B5A62"/>
    <w:rsid w:val="008B6AB7"/>
    <w:rsid w:val="008B709C"/>
    <w:rsid w:val="008C03B9"/>
    <w:rsid w:val="008C33B2"/>
    <w:rsid w:val="008C455D"/>
    <w:rsid w:val="008C6BFE"/>
    <w:rsid w:val="008C74B8"/>
    <w:rsid w:val="008D0547"/>
    <w:rsid w:val="008D0694"/>
    <w:rsid w:val="008D099C"/>
    <w:rsid w:val="008D0D8D"/>
    <w:rsid w:val="008D4AF2"/>
    <w:rsid w:val="008E22BA"/>
    <w:rsid w:val="008E3349"/>
    <w:rsid w:val="008E662A"/>
    <w:rsid w:val="008F0147"/>
    <w:rsid w:val="008F0406"/>
    <w:rsid w:val="008F46ED"/>
    <w:rsid w:val="008F4F0E"/>
    <w:rsid w:val="008F5BF4"/>
    <w:rsid w:val="00900E7A"/>
    <w:rsid w:val="00902267"/>
    <w:rsid w:val="00902F5E"/>
    <w:rsid w:val="0090379F"/>
    <w:rsid w:val="0091477E"/>
    <w:rsid w:val="00920110"/>
    <w:rsid w:val="009224B8"/>
    <w:rsid w:val="00925234"/>
    <w:rsid w:val="00926444"/>
    <w:rsid w:val="0092674B"/>
    <w:rsid w:val="00931856"/>
    <w:rsid w:val="00932F85"/>
    <w:rsid w:val="009342ED"/>
    <w:rsid w:val="0094020C"/>
    <w:rsid w:val="00941232"/>
    <w:rsid w:val="00941515"/>
    <w:rsid w:val="00941E56"/>
    <w:rsid w:val="00942C9D"/>
    <w:rsid w:val="00942CDB"/>
    <w:rsid w:val="00943394"/>
    <w:rsid w:val="00943F16"/>
    <w:rsid w:val="00946D32"/>
    <w:rsid w:val="00951EEC"/>
    <w:rsid w:val="0095488B"/>
    <w:rsid w:val="00954B17"/>
    <w:rsid w:val="00955B54"/>
    <w:rsid w:val="009573A2"/>
    <w:rsid w:val="0096047B"/>
    <w:rsid w:val="00960638"/>
    <w:rsid w:val="00961AC5"/>
    <w:rsid w:val="00961C18"/>
    <w:rsid w:val="009673C1"/>
    <w:rsid w:val="00970840"/>
    <w:rsid w:val="00971FBE"/>
    <w:rsid w:val="0097686A"/>
    <w:rsid w:val="00977EC1"/>
    <w:rsid w:val="0098169B"/>
    <w:rsid w:val="00981C28"/>
    <w:rsid w:val="00983030"/>
    <w:rsid w:val="00995AC5"/>
    <w:rsid w:val="009976EF"/>
    <w:rsid w:val="009A5849"/>
    <w:rsid w:val="009A58EC"/>
    <w:rsid w:val="009A7257"/>
    <w:rsid w:val="009A797D"/>
    <w:rsid w:val="009B5910"/>
    <w:rsid w:val="009B714A"/>
    <w:rsid w:val="009B72F7"/>
    <w:rsid w:val="009C02D1"/>
    <w:rsid w:val="009C0C1A"/>
    <w:rsid w:val="009C2236"/>
    <w:rsid w:val="009C3791"/>
    <w:rsid w:val="009C3B63"/>
    <w:rsid w:val="009C4246"/>
    <w:rsid w:val="009C4F52"/>
    <w:rsid w:val="009C56A0"/>
    <w:rsid w:val="009C7886"/>
    <w:rsid w:val="009D1396"/>
    <w:rsid w:val="009D2002"/>
    <w:rsid w:val="009D23A8"/>
    <w:rsid w:val="009D6CD2"/>
    <w:rsid w:val="009D6E03"/>
    <w:rsid w:val="009E07EA"/>
    <w:rsid w:val="009E159C"/>
    <w:rsid w:val="009E21CF"/>
    <w:rsid w:val="009E228D"/>
    <w:rsid w:val="009E41A2"/>
    <w:rsid w:val="009E543A"/>
    <w:rsid w:val="009E5A62"/>
    <w:rsid w:val="009E64E4"/>
    <w:rsid w:val="009E664D"/>
    <w:rsid w:val="009E7044"/>
    <w:rsid w:val="009F13D7"/>
    <w:rsid w:val="009F2A6C"/>
    <w:rsid w:val="009F5F54"/>
    <w:rsid w:val="009F7FA1"/>
    <w:rsid w:val="00A00DD0"/>
    <w:rsid w:val="00A04202"/>
    <w:rsid w:val="00A10567"/>
    <w:rsid w:val="00A10B85"/>
    <w:rsid w:val="00A122F3"/>
    <w:rsid w:val="00A157F5"/>
    <w:rsid w:val="00A15E3F"/>
    <w:rsid w:val="00A17FEF"/>
    <w:rsid w:val="00A2387C"/>
    <w:rsid w:val="00A2452B"/>
    <w:rsid w:val="00A26870"/>
    <w:rsid w:val="00A26A44"/>
    <w:rsid w:val="00A278A2"/>
    <w:rsid w:val="00A307C9"/>
    <w:rsid w:val="00A31E34"/>
    <w:rsid w:val="00A34C5D"/>
    <w:rsid w:val="00A3640A"/>
    <w:rsid w:val="00A406E3"/>
    <w:rsid w:val="00A4154F"/>
    <w:rsid w:val="00A41BDD"/>
    <w:rsid w:val="00A43154"/>
    <w:rsid w:val="00A43C82"/>
    <w:rsid w:val="00A444DF"/>
    <w:rsid w:val="00A45BE8"/>
    <w:rsid w:val="00A47AA1"/>
    <w:rsid w:val="00A52652"/>
    <w:rsid w:val="00A5271C"/>
    <w:rsid w:val="00A573CD"/>
    <w:rsid w:val="00A57C57"/>
    <w:rsid w:val="00A6015D"/>
    <w:rsid w:val="00A60EEE"/>
    <w:rsid w:val="00A6239C"/>
    <w:rsid w:val="00A633B7"/>
    <w:rsid w:val="00A64EE3"/>
    <w:rsid w:val="00A65BF7"/>
    <w:rsid w:val="00A66EEB"/>
    <w:rsid w:val="00A67B22"/>
    <w:rsid w:val="00A7000B"/>
    <w:rsid w:val="00A70A0B"/>
    <w:rsid w:val="00A7174C"/>
    <w:rsid w:val="00A743FA"/>
    <w:rsid w:val="00A77297"/>
    <w:rsid w:val="00A82F3D"/>
    <w:rsid w:val="00A86C00"/>
    <w:rsid w:val="00A921B4"/>
    <w:rsid w:val="00A93DF6"/>
    <w:rsid w:val="00A941E8"/>
    <w:rsid w:val="00A9429A"/>
    <w:rsid w:val="00A9527B"/>
    <w:rsid w:val="00A96EBB"/>
    <w:rsid w:val="00AA149D"/>
    <w:rsid w:val="00AA1A38"/>
    <w:rsid w:val="00AA26BB"/>
    <w:rsid w:val="00AA2E98"/>
    <w:rsid w:val="00AA6DA7"/>
    <w:rsid w:val="00AB26BC"/>
    <w:rsid w:val="00AB33FB"/>
    <w:rsid w:val="00AB4C7F"/>
    <w:rsid w:val="00AB6D22"/>
    <w:rsid w:val="00AB7ECE"/>
    <w:rsid w:val="00AC1222"/>
    <w:rsid w:val="00AC1B1D"/>
    <w:rsid w:val="00AC1F91"/>
    <w:rsid w:val="00AC23DB"/>
    <w:rsid w:val="00AC330F"/>
    <w:rsid w:val="00AC54CF"/>
    <w:rsid w:val="00AC5DA6"/>
    <w:rsid w:val="00AD4FE9"/>
    <w:rsid w:val="00AE279A"/>
    <w:rsid w:val="00AE41B2"/>
    <w:rsid w:val="00AE4273"/>
    <w:rsid w:val="00AE435A"/>
    <w:rsid w:val="00AE4CF8"/>
    <w:rsid w:val="00AF248A"/>
    <w:rsid w:val="00AF2C0C"/>
    <w:rsid w:val="00AF43D7"/>
    <w:rsid w:val="00AF502B"/>
    <w:rsid w:val="00AF67E5"/>
    <w:rsid w:val="00AF6A80"/>
    <w:rsid w:val="00AF7AA2"/>
    <w:rsid w:val="00AF7B22"/>
    <w:rsid w:val="00B001BB"/>
    <w:rsid w:val="00B02E1E"/>
    <w:rsid w:val="00B05E86"/>
    <w:rsid w:val="00B10359"/>
    <w:rsid w:val="00B10F4A"/>
    <w:rsid w:val="00B17760"/>
    <w:rsid w:val="00B179BE"/>
    <w:rsid w:val="00B21C1B"/>
    <w:rsid w:val="00B22DB5"/>
    <w:rsid w:val="00B23629"/>
    <w:rsid w:val="00B24585"/>
    <w:rsid w:val="00B24960"/>
    <w:rsid w:val="00B251AF"/>
    <w:rsid w:val="00B255F6"/>
    <w:rsid w:val="00B34E0E"/>
    <w:rsid w:val="00B3541B"/>
    <w:rsid w:val="00B40344"/>
    <w:rsid w:val="00B43F3B"/>
    <w:rsid w:val="00B4427A"/>
    <w:rsid w:val="00B4567B"/>
    <w:rsid w:val="00B45C54"/>
    <w:rsid w:val="00B51B72"/>
    <w:rsid w:val="00B55CDB"/>
    <w:rsid w:val="00B55F63"/>
    <w:rsid w:val="00B57003"/>
    <w:rsid w:val="00B62710"/>
    <w:rsid w:val="00B6287F"/>
    <w:rsid w:val="00B63C24"/>
    <w:rsid w:val="00B640C7"/>
    <w:rsid w:val="00B6547B"/>
    <w:rsid w:val="00B66159"/>
    <w:rsid w:val="00B66CA6"/>
    <w:rsid w:val="00B70953"/>
    <w:rsid w:val="00B72CE7"/>
    <w:rsid w:val="00B752CB"/>
    <w:rsid w:val="00B7532B"/>
    <w:rsid w:val="00B75571"/>
    <w:rsid w:val="00B81849"/>
    <w:rsid w:val="00B832D1"/>
    <w:rsid w:val="00B8500D"/>
    <w:rsid w:val="00B90E09"/>
    <w:rsid w:val="00B917B8"/>
    <w:rsid w:val="00B96BC0"/>
    <w:rsid w:val="00B9715A"/>
    <w:rsid w:val="00BA2F78"/>
    <w:rsid w:val="00BA36E2"/>
    <w:rsid w:val="00BB0330"/>
    <w:rsid w:val="00BB1486"/>
    <w:rsid w:val="00BB16DF"/>
    <w:rsid w:val="00BB2386"/>
    <w:rsid w:val="00BB3DBB"/>
    <w:rsid w:val="00BB5E5F"/>
    <w:rsid w:val="00BC0A17"/>
    <w:rsid w:val="00BC1C87"/>
    <w:rsid w:val="00BC2A54"/>
    <w:rsid w:val="00BC5D12"/>
    <w:rsid w:val="00BD1149"/>
    <w:rsid w:val="00BD2151"/>
    <w:rsid w:val="00BD4C74"/>
    <w:rsid w:val="00BD574A"/>
    <w:rsid w:val="00BD6D1B"/>
    <w:rsid w:val="00BD7074"/>
    <w:rsid w:val="00BD7769"/>
    <w:rsid w:val="00BE02D7"/>
    <w:rsid w:val="00BE17A6"/>
    <w:rsid w:val="00BE30A0"/>
    <w:rsid w:val="00BE62F8"/>
    <w:rsid w:val="00BE775A"/>
    <w:rsid w:val="00BF05E4"/>
    <w:rsid w:val="00BF09BE"/>
    <w:rsid w:val="00BF0E52"/>
    <w:rsid w:val="00BF156F"/>
    <w:rsid w:val="00BF1C28"/>
    <w:rsid w:val="00BF3202"/>
    <w:rsid w:val="00BF3CCE"/>
    <w:rsid w:val="00BF4349"/>
    <w:rsid w:val="00BF5F1C"/>
    <w:rsid w:val="00BF6679"/>
    <w:rsid w:val="00C00760"/>
    <w:rsid w:val="00C01D0F"/>
    <w:rsid w:val="00C0651B"/>
    <w:rsid w:val="00C11838"/>
    <w:rsid w:val="00C13B7C"/>
    <w:rsid w:val="00C16188"/>
    <w:rsid w:val="00C16320"/>
    <w:rsid w:val="00C20079"/>
    <w:rsid w:val="00C2047E"/>
    <w:rsid w:val="00C22980"/>
    <w:rsid w:val="00C236BB"/>
    <w:rsid w:val="00C2534B"/>
    <w:rsid w:val="00C260F4"/>
    <w:rsid w:val="00C273C0"/>
    <w:rsid w:val="00C34525"/>
    <w:rsid w:val="00C34A98"/>
    <w:rsid w:val="00C35017"/>
    <w:rsid w:val="00C35896"/>
    <w:rsid w:val="00C3592E"/>
    <w:rsid w:val="00C35F8E"/>
    <w:rsid w:val="00C36805"/>
    <w:rsid w:val="00C36E8E"/>
    <w:rsid w:val="00C37317"/>
    <w:rsid w:val="00C47989"/>
    <w:rsid w:val="00C50458"/>
    <w:rsid w:val="00C50642"/>
    <w:rsid w:val="00C519C1"/>
    <w:rsid w:val="00C52B23"/>
    <w:rsid w:val="00C5341F"/>
    <w:rsid w:val="00C55237"/>
    <w:rsid w:val="00C60029"/>
    <w:rsid w:val="00C62155"/>
    <w:rsid w:val="00C621C2"/>
    <w:rsid w:val="00C62633"/>
    <w:rsid w:val="00C63EAC"/>
    <w:rsid w:val="00C6527F"/>
    <w:rsid w:val="00C71001"/>
    <w:rsid w:val="00C727B3"/>
    <w:rsid w:val="00C7474D"/>
    <w:rsid w:val="00C7543E"/>
    <w:rsid w:val="00C77E2C"/>
    <w:rsid w:val="00C800F6"/>
    <w:rsid w:val="00C80C61"/>
    <w:rsid w:val="00C81378"/>
    <w:rsid w:val="00C81B24"/>
    <w:rsid w:val="00C8226F"/>
    <w:rsid w:val="00C8236C"/>
    <w:rsid w:val="00C90B3B"/>
    <w:rsid w:val="00C930A0"/>
    <w:rsid w:val="00C9358D"/>
    <w:rsid w:val="00C96918"/>
    <w:rsid w:val="00CA0148"/>
    <w:rsid w:val="00CA2275"/>
    <w:rsid w:val="00CA261F"/>
    <w:rsid w:val="00CA328A"/>
    <w:rsid w:val="00CA3461"/>
    <w:rsid w:val="00CA36C5"/>
    <w:rsid w:val="00CA6A66"/>
    <w:rsid w:val="00CA7A56"/>
    <w:rsid w:val="00CB0B2F"/>
    <w:rsid w:val="00CB225A"/>
    <w:rsid w:val="00CB2CB1"/>
    <w:rsid w:val="00CB31B1"/>
    <w:rsid w:val="00CB35F5"/>
    <w:rsid w:val="00CB3A85"/>
    <w:rsid w:val="00CB48AD"/>
    <w:rsid w:val="00CB73CF"/>
    <w:rsid w:val="00CB789A"/>
    <w:rsid w:val="00CB7D50"/>
    <w:rsid w:val="00CC1AE1"/>
    <w:rsid w:val="00CC4961"/>
    <w:rsid w:val="00CC50B0"/>
    <w:rsid w:val="00CC6A58"/>
    <w:rsid w:val="00CC7C7D"/>
    <w:rsid w:val="00CD2CF0"/>
    <w:rsid w:val="00CD7E6A"/>
    <w:rsid w:val="00CE24BA"/>
    <w:rsid w:val="00CE3D76"/>
    <w:rsid w:val="00CE600C"/>
    <w:rsid w:val="00CE764E"/>
    <w:rsid w:val="00CF0419"/>
    <w:rsid w:val="00CF0FD9"/>
    <w:rsid w:val="00CF1893"/>
    <w:rsid w:val="00CF25CF"/>
    <w:rsid w:val="00CF2636"/>
    <w:rsid w:val="00CF2AE2"/>
    <w:rsid w:val="00CF4095"/>
    <w:rsid w:val="00CF5B08"/>
    <w:rsid w:val="00D012EB"/>
    <w:rsid w:val="00D021EA"/>
    <w:rsid w:val="00D02B07"/>
    <w:rsid w:val="00D05259"/>
    <w:rsid w:val="00D06451"/>
    <w:rsid w:val="00D0745B"/>
    <w:rsid w:val="00D15072"/>
    <w:rsid w:val="00D1616A"/>
    <w:rsid w:val="00D16673"/>
    <w:rsid w:val="00D16EA8"/>
    <w:rsid w:val="00D23910"/>
    <w:rsid w:val="00D274F3"/>
    <w:rsid w:val="00D330DB"/>
    <w:rsid w:val="00D34463"/>
    <w:rsid w:val="00D43B5B"/>
    <w:rsid w:val="00D44610"/>
    <w:rsid w:val="00D45091"/>
    <w:rsid w:val="00D4553E"/>
    <w:rsid w:val="00D459BD"/>
    <w:rsid w:val="00D45A23"/>
    <w:rsid w:val="00D47D32"/>
    <w:rsid w:val="00D51E58"/>
    <w:rsid w:val="00D55C74"/>
    <w:rsid w:val="00D55F88"/>
    <w:rsid w:val="00D5773F"/>
    <w:rsid w:val="00D60583"/>
    <w:rsid w:val="00D61886"/>
    <w:rsid w:val="00D61D20"/>
    <w:rsid w:val="00D651D8"/>
    <w:rsid w:val="00D66F10"/>
    <w:rsid w:val="00D71FD1"/>
    <w:rsid w:val="00D75CAE"/>
    <w:rsid w:val="00D81303"/>
    <w:rsid w:val="00D831EE"/>
    <w:rsid w:val="00D842C8"/>
    <w:rsid w:val="00D86C45"/>
    <w:rsid w:val="00D90433"/>
    <w:rsid w:val="00D91345"/>
    <w:rsid w:val="00D92B95"/>
    <w:rsid w:val="00D94CE2"/>
    <w:rsid w:val="00D971D6"/>
    <w:rsid w:val="00DA0883"/>
    <w:rsid w:val="00DA1143"/>
    <w:rsid w:val="00DA26A3"/>
    <w:rsid w:val="00DA3425"/>
    <w:rsid w:val="00DA3C69"/>
    <w:rsid w:val="00DA5761"/>
    <w:rsid w:val="00DB0AFC"/>
    <w:rsid w:val="00DB32E7"/>
    <w:rsid w:val="00DB4258"/>
    <w:rsid w:val="00DB7102"/>
    <w:rsid w:val="00DB7E7C"/>
    <w:rsid w:val="00DC2285"/>
    <w:rsid w:val="00DC2912"/>
    <w:rsid w:val="00DC36CE"/>
    <w:rsid w:val="00DC5C37"/>
    <w:rsid w:val="00DD1B9D"/>
    <w:rsid w:val="00DD70C9"/>
    <w:rsid w:val="00DD747F"/>
    <w:rsid w:val="00DE3C38"/>
    <w:rsid w:val="00DE560E"/>
    <w:rsid w:val="00DE5E67"/>
    <w:rsid w:val="00DE6818"/>
    <w:rsid w:val="00DF73D6"/>
    <w:rsid w:val="00E00A85"/>
    <w:rsid w:val="00E04F62"/>
    <w:rsid w:val="00E106E3"/>
    <w:rsid w:val="00E1437B"/>
    <w:rsid w:val="00E166AD"/>
    <w:rsid w:val="00E17A70"/>
    <w:rsid w:val="00E20F6B"/>
    <w:rsid w:val="00E23615"/>
    <w:rsid w:val="00E23817"/>
    <w:rsid w:val="00E251F7"/>
    <w:rsid w:val="00E30E7B"/>
    <w:rsid w:val="00E30FDF"/>
    <w:rsid w:val="00E33831"/>
    <w:rsid w:val="00E3471E"/>
    <w:rsid w:val="00E35266"/>
    <w:rsid w:val="00E429DE"/>
    <w:rsid w:val="00E43468"/>
    <w:rsid w:val="00E4445A"/>
    <w:rsid w:val="00E4774D"/>
    <w:rsid w:val="00E5086F"/>
    <w:rsid w:val="00E508BB"/>
    <w:rsid w:val="00E519B4"/>
    <w:rsid w:val="00E533A2"/>
    <w:rsid w:val="00E56BCE"/>
    <w:rsid w:val="00E60E0B"/>
    <w:rsid w:val="00E60F72"/>
    <w:rsid w:val="00E6239E"/>
    <w:rsid w:val="00E6363A"/>
    <w:rsid w:val="00E67D7B"/>
    <w:rsid w:val="00E7070E"/>
    <w:rsid w:val="00E70ACB"/>
    <w:rsid w:val="00E70E97"/>
    <w:rsid w:val="00E76573"/>
    <w:rsid w:val="00E7751E"/>
    <w:rsid w:val="00E8288B"/>
    <w:rsid w:val="00E829E7"/>
    <w:rsid w:val="00E85E9E"/>
    <w:rsid w:val="00E86871"/>
    <w:rsid w:val="00E96BC4"/>
    <w:rsid w:val="00E97B4C"/>
    <w:rsid w:val="00EA221B"/>
    <w:rsid w:val="00EA2571"/>
    <w:rsid w:val="00EA37FD"/>
    <w:rsid w:val="00EA4572"/>
    <w:rsid w:val="00EA4B2D"/>
    <w:rsid w:val="00EA6C32"/>
    <w:rsid w:val="00EB4A7D"/>
    <w:rsid w:val="00EB4DA9"/>
    <w:rsid w:val="00EB6F2B"/>
    <w:rsid w:val="00EC49DF"/>
    <w:rsid w:val="00EC729C"/>
    <w:rsid w:val="00ED381E"/>
    <w:rsid w:val="00ED4554"/>
    <w:rsid w:val="00ED793E"/>
    <w:rsid w:val="00ED7F57"/>
    <w:rsid w:val="00EE0337"/>
    <w:rsid w:val="00EE20E0"/>
    <w:rsid w:val="00EE2368"/>
    <w:rsid w:val="00EE287D"/>
    <w:rsid w:val="00EE3A29"/>
    <w:rsid w:val="00EE48B6"/>
    <w:rsid w:val="00EE4D65"/>
    <w:rsid w:val="00EE6353"/>
    <w:rsid w:val="00EE6866"/>
    <w:rsid w:val="00EE6A67"/>
    <w:rsid w:val="00EE7043"/>
    <w:rsid w:val="00EF3A42"/>
    <w:rsid w:val="00EF4854"/>
    <w:rsid w:val="00EF596A"/>
    <w:rsid w:val="00EF5BC1"/>
    <w:rsid w:val="00EF5D95"/>
    <w:rsid w:val="00EF6236"/>
    <w:rsid w:val="00F017D2"/>
    <w:rsid w:val="00F024C2"/>
    <w:rsid w:val="00F104C9"/>
    <w:rsid w:val="00F128BE"/>
    <w:rsid w:val="00F12911"/>
    <w:rsid w:val="00F17FC8"/>
    <w:rsid w:val="00F2185B"/>
    <w:rsid w:val="00F2407E"/>
    <w:rsid w:val="00F245A0"/>
    <w:rsid w:val="00F3156E"/>
    <w:rsid w:val="00F32D39"/>
    <w:rsid w:val="00F33FF6"/>
    <w:rsid w:val="00F354A2"/>
    <w:rsid w:val="00F35EBD"/>
    <w:rsid w:val="00F402F9"/>
    <w:rsid w:val="00F40DAE"/>
    <w:rsid w:val="00F41264"/>
    <w:rsid w:val="00F4147C"/>
    <w:rsid w:val="00F4159A"/>
    <w:rsid w:val="00F43A38"/>
    <w:rsid w:val="00F45357"/>
    <w:rsid w:val="00F45672"/>
    <w:rsid w:val="00F47040"/>
    <w:rsid w:val="00F50179"/>
    <w:rsid w:val="00F51D38"/>
    <w:rsid w:val="00F53E43"/>
    <w:rsid w:val="00F549C1"/>
    <w:rsid w:val="00F55684"/>
    <w:rsid w:val="00F61EED"/>
    <w:rsid w:val="00F62119"/>
    <w:rsid w:val="00F62442"/>
    <w:rsid w:val="00F62D81"/>
    <w:rsid w:val="00F62FCB"/>
    <w:rsid w:val="00F641B8"/>
    <w:rsid w:val="00F656E6"/>
    <w:rsid w:val="00F6575F"/>
    <w:rsid w:val="00F74AE0"/>
    <w:rsid w:val="00F75AA1"/>
    <w:rsid w:val="00F76121"/>
    <w:rsid w:val="00F8031E"/>
    <w:rsid w:val="00F8040D"/>
    <w:rsid w:val="00F81E87"/>
    <w:rsid w:val="00F859AD"/>
    <w:rsid w:val="00F90337"/>
    <w:rsid w:val="00F9096A"/>
    <w:rsid w:val="00F93484"/>
    <w:rsid w:val="00FA3315"/>
    <w:rsid w:val="00FA4957"/>
    <w:rsid w:val="00FA7770"/>
    <w:rsid w:val="00FB0680"/>
    <w:rsid w:val="00FB08B5"/>
    <w:rsid w:val="00FC0150"/>
    <w:rsid w:val="00FC09B9"/>
    <w:rsid w:val="00FC2F9E"/>
    <w:rsid w:val="00FC5DC9"/>
    <w:rsid w:val="00FD0D11"/>
    <w:rsid w:val="00FD0F9F"/>
    <w:rsid w:val="00FD205F"/>
    <w:rsid w:val="00FD32A0"/>
    <w:rsid w:val="00FD4ADC"/>
    <w:rsid w:val="00FD73B9"/>
    <w:rsid w:val="00FD7C00"/>
    <w:rsid w:val="00FE187C"/>
    <w:rsid w:val="00FE20B2"/>
    <w:rsid w:val="00FE3DBC"/>
    <w:rsid w:val="00FE51BE"/>
    <w:rsid w:val="00FE5BE0"/>
    <w:rsid w:val="00FF0430"/>
    <w:rsid w:val="00FF318A"/>
    <w:rsid w:val="00FF3C56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525"/>
  </w:style>
  <w:style w:type="paragraph" w:styleId="Footer">
    <w:name w:val="footer"/>
    <w:basedOn w:val="Normal"/>
    <w:link w:val="FooterChar"/>
    <w:uiPriority w:val="99"/>
    <w:unhideWhenUsed/>
    <w:rsid w:val="0050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525"/>
  </w:style>
  <w:style w:type="paragraph" w:styleId="BalloonText">
    <w:name w:val="Balloon Text"/>
    <w:basedOn w:val="Normal"/>
    <w:link w:val="BalloonTextChar"/>
    <w:uiPriority w:val="99"/>
    <w:semiHidden/>
    <w:unhideWhenUsed/>
    <w:rsid w:val="00E6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2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2D9F-402B-4E37-8C2D-325885BA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13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compaq</cp:lastModifiedBy>
  <cp:revision>326</cp:revision>
  <dcterms:created xsi:type="dcterms:W3CDTF">2017-08-05T03:09:00Z</dcterms:created>
  <dcterms:modified xsi:type="dcterms:W3CDTF">2020-03-09T15:31:00Z</dcterms:modified>
</cp:coreProperties>
</file>