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DF" w:rsidRPr="009F4F9F" w:rsidRDefault="008B0FDF" w:rsidP="008B0FD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B0FDF" w:rsidRPr="009F4F9F" w:rsidRDefault="008B0FDF" w:rsidP="008B0F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0FDF" w:rsidRPr="009F4F9F" w:rsidRDefault="008B0FDF" w:rsidP="008B0FD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F4F9F">
        <w:rPr>
          <w:rFonts w:ascii="Times New Roman" w:hAnsi="Times New Roman" w:cs="Times New Roman"/>
          <w:b/>
          <w:sz w:val="24"/>
          <w:szCs w:val="24"/>
        </w:rPr>
        <w:t>Supplementary Material</w:t>
      </w:r>
    </w:p>
    <w:p w:rsidR="008B0FDF" w:rsidRPr="009F4F9F" w:rsidRDefault="008B0FDF" w:rsidP="008B0F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F4F9F">
        <w:rPr>
          <w:rFonts w:ascii="Times New Roman" w:hAnsi="Times New Roman" w:cs="Times New Roman"/>
          <w:b/>
          <w:sz w:val="24"/>
          <w:szCs w:val="24"/>
        </w:rPr>
        <w:t>Table S1</w:t>
      </w:r>
      <w:r w:rsidRPr="009F4F9F">
        <w:rPr>
          <w:rFonts w:ascii="Times New Roman" w:hAnsi="Times New Roman" w:cs="Times New Roman"/>
          <w:sz w:val="24"/>
          <w:szCs w:val="24"/>
        </w:rPr>
        <w:t>. Coding nucleotide 5’→3’ sequences of the primers used to construct the different mutants studied in this work, with nucleotide changes or insertion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4F9F">
        <w:rPr>
          <w:rFonts w:ascii="Times New Roman" w:hAnsi="Times New Roman" w:cs="Times New Roman"/>
          <w:sz w:val="24"/>
          <w:szCs w:val="24"/>
        </w:rPr>
        <w:t xml:space="preserve"> underlined. </w:t>
      </w:r>
      <w:r w:rsidRPr="00F17E16">
        <w:rPr>
          <w:rFonts w:ascii="Times New Roman" w:hAnsi="Times New Roman" w:cs="Times New Roman"/>
          <w:sz w:val="24"/>
          <w:szCs w:val="24"/>
        </w:rPr>
        <w:t>These and the corresponding complementary ones were used to obtain each mutation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Sombreadoclaro1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6"/>
        <w:gridCol w:w="7194"/>
      </w:tblGrid>
      <w:tr w:rsidR="008B0FDF" w:rsidRPr="009F4F9F" w:rsidTr="004F17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tabs>
                <w:tab w:val="left" w:pos="2767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F4F9F">
              <w:rPr>
                <w:rFonts w:ascii="Times New Roman" w:hAnsi="Times New Roman" w:cs="Times New Roman"/>
                <w:szCs w:val="24"/>
              </w:rPr>
              <w:t>HtA mutant</w:t>
            </w:r>
          </w:p>
        </w:tc>
        <w:tc>
          <w:tcPr>
            <w:tcW w:w="7194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9F4F9F">
              <w:rPr>
                <w:rFonts w:ascii="Times New Roman" w:hAnsi="Times New Roman" w:cs="Times New Roman"/>
                <w:szCs w:val="24"/>
              </w:rPr>
              <w:t>Nucleotide sequence</w:t>
            </w:r>
          </w:p>
        </w:tc>
      </w:tr>
      <w:tr w:rsidR="008B0FDF" w:rsidRPr="009F4F9F" w:rsidTr="004F1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F4F9F">
              <w:rPr>
                <w:rFonts w:ascii="Times New Roman" w:hAnsi="Times New Roman" w:cs="Times New Roman"/>
                <w:szCs w:val="24"/>
              </w:rPr>
              <w:t>K115E</w:t>
            </w:r>
          </w:p>
        </w:tc>
        <w:tc>
          <w:tcPr>
            <w:tcW w:w="7194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9F4F9F">
              <w:rPr>
                <w:rFonts w:ascii="Times New Roman" w:hAnsi="Times New Roman" w:cs="Times New Roman"/>
                <w:color w:val="auto"/>
                <w:szCs w:val="24"/>
              </w:rPr>
              <w:t>5’- ATGACGCACAGC</w:t>
            </w:r>
            <w:r w:rsidRPr="009F4F9F">
              <w:rPr>
                <w:rFonts w:ascii="Times New Roman" w:hAnsi="Times New Roman" w:cs="Times New Roman"/>
                <w:color w:val="auto"/>
                <w:szCs w:val="24"/>
                <w:u w:val="single"/>
              </w:rPr>
              <w:t>GAG</w:t>
            </w:r>
            <w:r w:rsidRPr="009F4F9F">
              <w:rPr>
                <w:rFonts w:ascii="Times New Roman" w:hAnsi="Times New Roman" w:cs="Times New Roman"/>
                <w:color w:val="auto"/>
                <w:szCs w:val="24"/>
              </w:rPr>
              <w:t>GTCGACAAGAAT -3’</w:t>
            </w:r>
          </w:p>
        </w:tc>
      </w:tr>
      <w:tr w:rsidR="008B0FDF" w:rsidRPr="009F4F9F" w:rsidTr="004F1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F4F9F">
              <w:rPr>
                <w:rFonts w:ascii="Times New Roman" w:hAnsi="Times New Roman" w:cs="Times New Roman"/>
                <w:szCs w:val="24"/>
              </w:rPr>
              <w:t>K118E</w:t>
            </w:r>
          </w:p>
        </w:tc>
        <w:tc>
          <w:tcPr>
            <w:tcW w:w="7194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9F4F9F">
              <w:rPr>
                <w:rFonts w:ascii="Times New Roman" w:hAnsi="Times New Roman" w:cs="Times New Roman"/>
                <w:color w:val="auto"/>
                <w:szCs w:val="24"/>
              </w:rPr>
              <w:t>5’- ACAGCAAGGTCGAC</w:t>
            </w:r>
            <w:r w:rsidRPr="009F4F9F">
              <w:rPr>
                <w:rFonts w:ascii="Times New Roman" w:hAnsi="Times New Roman" w:cs="Times New Roman"/>
                <w:color w:val="auto"/>
                <w:szCs w:val="24"/>
                <w:u w:val="single"/>
              </w:rPr>
              <w:t>GAG</w:t>
            </w:r>
            <w:r w:rsidRPr="009F4F9F">
              <w:rPr>
                <w:rFonts w:ascii="Times New Roman" w:hAnsi="Times New Roman" w:cs="Times New Roman"/>
                <w:color w:val="auto"/>
                <w:szCs w:val="24"/>
              </w:rPr>
              <w:t>AATAACCAGG-3’</w:t>
            </w:r>
          </w:p>
        </w:tc>
      </w:tr>
      <w:tr w:rsidR="008B0FDF" w:rsidRPr="009F4F9F" w:rsidTr="004F1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F4F9F">
              <w:rPr>
                <w:rFonts w:ascii="Times New Roman" w:hAnsi="Times New Roman" w:cs="Times New Roman"/>
                <w:szCs w:val="24"/>
              </w:rPr>
              <w:t>K123E</w:t>
            </w:r>
          </w:p>
        </w:tc>
        <w:tc>
          <w:tcPr>
            <w:tcW w:w="7194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9F4F9F">
              <w:rPr>
                <w:rFonts w:ascii="Times New Roman" w:hAnsi="Times New Roman" w:cs="Times New Roman"/>
                <w:color w:val="auto"/>
                <w:szCs w:val="24"/>
              </w:rPr>
              <w:t>5’- AATAACCAGGGC</w:t>
            </w:r>
            <w:r w:rsidRPr="009F4F9F">
              <w:rPr>
                <w:rFonts w:ascii="Times New Roman" w:hAnsi="Times New Roman" w:cs="Times New Roman"/>
                <w:color w:val="auto"/>
                <w:szCs w:val="24"/>
                <w:u w:val="single"/>
              </w:rPr>
              <w:t>GAG</w:t>
            </w:r>
            <w:r w:rsidRPr="009F4F9F">
              <w:rPr>
                <w:rFonts w:ascii="Times New Roman" w:hAnsi="Times New Roman" w:cs="Times New Roman"/>
                <w:color w:val="auto"/>
                <w:szCs w:val="24"/>
              </w:rPr>
              <w:t>GAGTTCTTTGAG -3’</w:t>
            </w:r>
          </w:p>
        </w:tc>
      </w:tr>
      <w:tr w:rsidR="008B0FDF" w:rsidRPr="009F4F9F" w:rsidTr="004F1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F4F9F">
              <w:rPr>
                <w:rFonts w:ascii="Times New Roman" w:hAnsi="Times New Roman" w:cs="Times New Roman"/>
                <w:szCs w:val="24"/>
              </w:rPr>
              <w:t>Δ(8-15)</w:t>
            </w:r>
          </w:p>
        </w:tc>
        <w:tc>
          <w:tcPr>
            <w:tcW w:w="7194" w:type="dxa"/>
            <w:shd w:val="clear" w:color="auto" w:fill="FFFFFF" w:themeFill="background1"/>
            <w:vAlign w:val="center"/>
          </w:tcPr>
          <w:p w:rsidR="008B0FDF" w:rsidRPr="009F4F9F" w:rsidRDefault="008B0FDF" w:rsidP="004F171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9F4F9F">
              <w:rPr>
                <w:rFonts w:ascii="Times New Roman" w:hAnsi="Times New Roman" w:cs="Times New Roman"/>
                <w:color w:val="auto"/>
                <w:szCs w:val="24"/>
              </w:rPr>
              <w:t>5’-GTCACCTGCCGG</w:t>
            </w:r>
            <w:r w:rsidRPr="009F4F9F">
              <w:rPr>
                <w:rFonts w:ascii="Times New Roman" w:hAnsi="Times New Roman" w:cs="Times New Roman"/>
                <w:color w:val="auto"/>
                <w:szCs w:val="24"/>
                <w:u w:val="single"/>
              </w:rPr>
              <w:t>GGTGGT</w:t>
            </w:r>
            <w:r w:rsidRPr="009F4F9F">
              <w:rPr>
                <w:rFonts w:ascii="Times New Roman" w:hAnsi="Times New Roman" w:cs="Times New Roman"/>
                <w:color w:val="auto"/>
                <w:szCs w:val="24"/>
              </w:rPr>
              <w:t>CCTTTCAAGGTAGACGTG -3’</w:t>
            </w:r>
          </w:p>
        </w:tc>
      </w:tr>
    </w:tbl>
    <w:p w:rsidR="008B0FDF" w:rsidRPr="009F4F9F" w:rsidRDefault="008B0FDF" w:rsidP="008B0F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B0FDF" w:rsidRDefault="008B0FDF" w:rsidP="008B0FDF">
      <w:pPr>
        <w:rPr>
          <w:rFonts w:ascii="Times New Roman" w:hAnsi="Times New Roman" w:cs="Times New Roman"/>
          <w:sz w:val="24"/>
          <w:szCs w:val="24"/>
        </w:rPr>
      </w:pPr>
    </w:p>
    <w:p w:rsidR="008B0FDF" w:rsidRDefault="008B0FDF" w:rsidP="008B0FDF">
      <w:pPr>
        <w:rPr>
          <w:rFonts w:ascii="Times New Roman" w:hAnsi="Times New Roman" w:cs="Times New Roman"/>
          <w:sz w:val="24"/>
          <w:szCs w:val="24"/>
        </w:rPr>
      </w:pPr>
    </w:p>
    <w:p w:rsidR="008B0FDF" w:rsidRPr="009F4F9F" w:rsidRDefault="008B0FDF" w:rsidP="008B0FDF">
      <w:pPr>
        <w:rPr>
          <w:rFonts w:ascii="Times New Roman" w:hAnsi="Times New Roman" w:cs="Times New Roman"/>
          <w:sz w:val="24"/>
          <w:szCs w:val="24"/>
        </w:rPr>
      </w:pPr>
    </w:p>
    <w:p w:rsidR="00A34FCC" w:rsidRDefault="00A34FCC"/>
    <w:sectPr w:rsidR="00A34FCC" w:rsidSect="001553D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75A" w:rsidRDefault="00A1375A">
      <w:pPr>
        <w:spacing w:after="0" w:line="240" w:lineRule="auto"/>
      </w:pPr>
      <w:r>
        <w:separator/>
      </w:r>
    </w:p>
  </w:endnote>
  <w:endnote w:type="continuationSeparator" w:id="0">
    <w:p w:rsidR="00A1375A" w:rsidRDefault="00A13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75A" w:rsidRDefault="00A1375A">
      <w:pPr>
        <w:spacing w:after="0" w:line="240" w:lineRule="auto"/>
      </w:pPr>
      <w:r>
        <w:separator/>
      </w:r>
    </w:p>
  </w:footnote>
  <w:footnote w:type="continuationSeparator" w:id="0">
    <w:p w:rsidR="00A1375A" w:rsidRDefault="00A13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3150"/>
      <w:docPartObj>
        <w:docPartGallery w:val="Page Numbers (Top of Page)"/>
        <w:docPartUnique/>
      </w:docPartObj>
    </w:sdtPr>
    <w:sdtEndPr/>
    <w:sdtContent>
      <w:p w:rsidR="005152F8" w:rsidRDefault="008B0FDF">
        <w:pPr>
          <w:pStyle w:val="Encabezado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5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52F8" w:rsidRDefault="00A1375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DF"/>
    <w:rsid w:val="00520D2F"/>
    <w:rsid w:val="008B0FDF"/>
    <w:rsid w:val="00A1375A"/>
    <w:rsid w:val="00A34FCC"/>
    <w:rsid w:val="00EB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FDF"/>
    <w:pPr>
      <w:spacing w:after="200" w:line="276" w:lineRule="auto"/>
    </w:pPr>
    <w:rPr>
      <w:rFonts w:eastAsiaTheme="minorEastAsia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0F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0FDF"/>
    <w:rPr>
      <w:rFonts w:eastAsiaTheme="minorEastAsia"/>
      <w:lang w:val="en-US"/>
    </w:rPr>
  </w:style>
  <w:style w:type="table" w:customStyle="1" w:styleId="Sombreadoclaro1">
    <w:name w:val="Sombreado claro1"/>
    <w:basedOn w:val="Tablanormal"/>
    <w:uiPriority w:val="60"/>
    <w:rsid w:val="008B0FDF"/>
    <w:pPr>
      <w:spacing w:after="0" w:line="240" w:lineRule="auto"/>
      <w:jc w:val="both"/>
    </w:pPr>
    <w:rPr>
      <w:rFonts w:ascii="Arial" w:hAnsi="Arial"/>
      <w:color w:val="000000" w:themeColor="text1" w:themeShade="BF"/>
      <w:sz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FDF"/>
    <w:pPr>
      <w:spacing w:after="200" w:line="276" w:lineRule="auto"/>
    </w:pPr>
    <w:rPr>
      <w:rFonts w:eastAsiaTheme="minorEastAsia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0F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0FDF"/>
    <w:rPr>
      <w:rFonts w:eastAsiaTheme="minorEastAsia"/>
      <w:lang w:val="en-US"/>
    </w:rPr>
  </w:style>
  <w:style w:type="table" w:customStyle="1" w:styleId="Sombreadoclaro1">
    <w:name w:val="Sombreado claro1"/>
    <w:basedOn w:val="Tablanormal"/>
    <w:uiPriority w:val="60"/>
    <w:rsid w:val="008B0FDF"/>
    <w:pPr>
      <w:spacing w:after="0" w:line="240" w:lineRule="auto"/>
      <w:jc w:val="both"/>
    </w:pPr>
    <w:rPr>
      <w:rFonts w:ascii="Arial" w:hAnsi="Arial"/>
      <w:color w:val="000000" w:themeColor="text1" w:themeShade="BF"/>
      <w:sz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Álvaro</dc:creator>
  <cp:keywords/>
  <dc:description/>
  <cp:lastModifiedBy>ALVARO</cp:lastModifiedBy>
  <cp:revision>2</cp:revision>
  <dcterms:created xsi:type="dcterms:W3CDTF">2015-09-07T08:49:00Z</dcterms:created>
  <dcterms:modified xsi:type="dcterms:W3CDTF">2015-09-07T08:49:00Z</dcterms:modified>
</cp:coreProperties>
</file>