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3D" w:rsidRPr="00AF07B3" w:rsidRDefault="0047553D" w:rsidP="0047553D">
      <w:pPr>
        <w:jc w:val="center"/>
        <w:rPr>
          <w:rFonts w:cs="Arial"/>
          <w:b/>
          <w:iCs/>
          <w:sz w:val="40"/>
          <w:szCs w:val="22"/>
          <w:lang w:val="en-US"/>
        </w:rPr>
      </w:pPr>
      <w:r w:rsidRPr="00AF07B3">
        <w:rPr>
          <w:rFonts w:cs="Arial"/>
          <w:b/>
          <w:iCs/>
          <w:sz w:val="40"/>
          <w:szCs w:val="22"/>
          <w:lang w:val="en-US"/>
        </w:rPr>
        <w:t>Supporting Information</w:t>
      </w:r>
    </w:p>
    <w:p w:rsidR="0047553D" w:rsidRPr="00AF07B3" w:rsidRDefault="0047553D" w:rsidP="0047553D">
      <w:pPr>
        <w:jc w:val="center"/>
        <w:rPr>
          <w:rFonts w:cs="Arial"/>
          <w:b/>
          <w:iCs/>
          <w:sz w:val="40"/>
          <w:szCs w:val="22"/>
          <w:lang w:val="en-US"/>
        </w:rPr>
      </w:pPr>
    </w:p>
    <w:p w:rsidR="0047553D" w:rsidRPr="00AF07B3" w:rsidRDefault="0047553D" w:rsidP="0047553D">
      <w:pPr>
        <w:jc w:val="center"/>
        <w:rPr>
          <w:rFonts w:cs="Arial"/>
          <w:b/>
          <w:szCs w:val="22"/>
          <w:lang w:val="en-US"/>
        </w:rPr>
      </w:pPr>
      <w:r w:rsidRPr="00AF07B3">
        <w:rPr>
          <w:rFonts w:cs="Arial"/>
          <w:b/>
          <w:szCs w:val="22"/>
          <w:lang w:val="en-US"/>
        </w:rPr>
        <w:t>Impact of food components during</w:t>
      </w:r>
      <w:r w:rsidRPr="00AF07B3">
        <w:rPr>
          <w:rFonts w:cs="Arial"/>
          <w:b/>
          <w:i/>
          <w:szCs w:val="22"/>
          <w:lang w:val="en-US"/>
        </w:rPr>
        <w:t xml:space="preserve"> in vitro</w:t>
      </w:r>
      <w:r w:rsidRPr="00AF07B3">
        <w:rPr>
          <w:rFonts w:cs="Arial"/>
          <w:b/>
          <w:szCs w:val="22"/>
          <w:lang w:val="en-US"/>
        </w:rPr>
        <w:t xml:space="preserve"> digestion of silver nanoparticles on cellular uptake and cytotoxicity in intestinal cells</w:t>
      </w:r>
    </w:p>
    <w:p w:rsidR="0047553D" w:rsidRPr="00AF07B3" w:rsidRDefault="0047553D" w:rsidP="0047553D">
      <w:pPr>
        <w:jc w:val="center"/>
        <w:rPr>
          <w:rFonts w:cs="Arial"/>
          <w:b/>
          <w:szCs w:val="22"/>
          <w:lang w:val="en-US"/>
        </w:rPr>
      </w:pPr>
    </w:p>
    <w:p w:rsidR="0047553D" w:rsidRPr="00AF07B3" w:rsidRDefault="0047553D" w:rsidP="0047553D">
      <w:pPr>
        <w:jc w:val="both"/>
        <w:rPr>
          <w:rFonts w:cs="Arial"/>
          <w:szCs w:val="22"/>
          <w:vertAlign w:val="superscript"/>
        </w:rPr>
      </w:pPr>
      <w:r w:rsidRPr="00AF07B3">
        <w:rPr>
          <w:rFonts w:cs="Arial"/>
          <w:szCs w:val="22"/>
        </w:rPr>
        <w:t>Dajana Lichtenstein</w:t>
      </w:r>
      <w:r w:rsidRPr="00AF07B3">
        <w:rPr>
          <w:rFonts w:cs="Arial"/>
          <w:szCs w:val="22"/>
          <w:vertAlign w:val="superscript"/>
        </w:rPr>
        <w:t>1</w:t>
      </w:r>
      <w:r w:rsidRPr="00AF07B3">
        <w:rPr>
          <w:rFonts w:cs="Arial"/>
          <w:szCs w:val="22"/>
        </w:rPr>
        <w:t>, Johanna Ebmeyer</w:t>
      </w:r>
      <w:r w:rsidRPr="00AF07B3">
        <w:rPr>
          <w:rFonts w:cs="Arial"/>
          <w:szCs w:val="22"/>
          <w:vertAlign w:val="superscript"/>
        </w:rPr>
        <w:t>1</w:t>
      </w:r>
      <w:r w:rsidRPr="00AF07B3">
        <w:rPr>
          <w:rFonts w:cs="Arial"/>
          <w:szCs w:val="22"/>
        </w:rPr>
        <w:t>, Patrick Knappe</w:t>
      </w:r>
      <w:r w:rsidRPr="00AF07B3">
        <w:rPr>
          <w:vertAlign w:val="superscript"/>
        </w:rPr>
        <w:t>2</w:t>
      </w:r>
      <w:r w:rsidRPr="00AF07B3">
        <w:rPr>
          <w:rFonts w:cs="Arial"/>
          <w:szCs w:val="22"/>
        </w:rPr>
        <w:t>,</w:t>
      </w:r>
      <w:r w:rsidRPr="00AF07B3">
        <w:t xml:space="preserve"> </w:t>
      </w:r>
      <w:r w:rsidRPr="00AF07B3">
        <w:rPr>
          <w:rFonts w:cs="Arial"/>
          <w:szCs w:val="22"/>
        </w:rPr>
        <w:t>Sabine Juling</w:t>
      </w:r>
      <w:r w:rsidRPr="00AF07B3">
        <w:rPr>
          <w:vertAlign w:val="superscript"/>
        </w:rPr>
        <w:t>1</w:t>
      </w:r>
      <w:r w:rsidRPr="00AF07B3">
        <w:rPr>
          <w:rFonts w:cs="Arial"/>
          <w:szCs w:val="22"/>
        </w:rPr>
        <w:t>, Linda Böhmert</w:t>
      </w:r>
      <w:r w:rsidRPr="00AF07B3">
        <w:rPr>
          <w:vertAlign w:val="superscript"/>
        </w:rPr>
        <w:t>1</w:t>
      </w:r>
      <w:r w:rsidRPr="00AF07B3">
        <w:rPr>
          <w:rFonts w:cs="Arial"/>
          <w:szCs w:val="22"/>
        </w:rPr>
        <w:t>, Sören Selve</w:t>
      </w:r>
      <w:r w:rsidRPr="00AF07B3">
        <w:rPr>
          <w:vertAlign w:val="superscript"/>
        </w:rPr>
        <w:t>3</w:t>
      </w:r>
      <w:r w:rsidRPr="00AF07B3">
        <w:rPr>
          <w:rFonts w:cs="Arial"/>
          <w:szCs w:val="22"/>
        </w:rPr>
        <w:t>, Birgit Niemann</w:t>
      </w:r>
      <w:r w:rsidRPr="00AF07B3">
        <w:rPr>
          <w:vertAlign w:val="superscript"/>
        </w:rPr>
        <w:t>1</w:t>
      </w:r>
      <w:r w:rsidRPr="00AF07B3">
        <w:rPr>
          <w:rFonts w:cs="Arial"/>
          <w:szCs w:val="22"/>
        </w:rPr>
        <w:t>, Albert Braeuning</w:t>
      </w:r>
      <w:r w:rsidRPr="00AF07B3">
        <w:rPr>
          <w:vertAlign w:val="superscript"/>
        </w:rPr>
        <w:t>1</w:t>
      </w:r>
      <w:r w:rsidRPr="00AF07B3">
        <w:t>,</w:t>
      </w:r>
      <w:r w:rsidRPr="00AF07B3">
        <w:rPr>
          <w:rFonts w:cs="Arial"/>
          <w:szCs w:val="22"/>
        </w:rPr>
        <w:t xml:space="preserve"> Andreas Thünemann</w:t>
      </w:r>
      <w:r w:rsidRPr="00AF07B3">
        <w:rPr>
          <w:vertAlign w:val="superscript"/>
        </w:rPr>
        <w:t>2</w:t>
      </w:r>
      <w:r w:rsidRPr="00AF07B3">
        <w:rPr>
          <w:rFonts w:cs="Arial"/>
          <w:szCs w:val="22"/>
        </w:rPr>
        <w:t>, Alfonso Lampen</w:t>
      </w:r>
      <w:r w:rsidRPr="00AF07B3">
        <w:rPr>
          <w:vertAlign w:val="superscript"/>
        </w:rPr>
        <w:t>1</w:t>
      </w:r>
    </w:p>
    <w:p w:rsidR="0047553D" w:rsidRPr="00AF07B3" w:rsidRDefault="0047553D" w:rsidP="0047553D">
      <w:pPr>
        <w:jc w:val="both"/>
        <w:rPr>
          <w:rFonts w:cs="Arial"/>
          <w:szCs w:val="22"/>
        </w:rPr>
      </w:pPr>
    </w:p>
    <w:p w:rsidR="0047553D" w:rsidRPr="00AF07B3" w:rsidRDefault="0047553D" w:rsidP="0047553D">
      <w:pPr>
        <w:jc w:val="both"/>
        <w:rPr>
          <w:rFonts w:cs="Arial"/>
          <w:szCs w:val="22"/>
          <w:lang w:val="en-US"/>
        </w:rPr>
      </w:pPr>
      <w:r w:rsidRPr="00AF07B3">
        <w:rPr>
          <w:vertAlign w:val="superscript"/>
          <w:lang w:val="en-US"/>
        </w:rPr>
        <w:t>1</w:t>
      </w:r>
      <w:r w:rsidRPr="00AF07B3">
        <w:rPr>
          <w:rFonts w:cs="Arial"/>
          <w:szCs w:val="22"/>
          <w:lang w:val="en-US"/>
        </w:rPr>
        <w:t xml:space="preserve"> Federal Institute for Risk Assessment, Max-Dohrn-Straße 8-10, 10589 </w:t>
      </w:r>
      <w:smartTag w:uri="urn:schemas-microsoft-com:office:smarttags" w:element="State">
        <w:smartTag w:uri="urn:schemas-microsoft-com:office:smarttags" w:element="place">
          <w:r w:rsidRPr="00AF07B3">
            <w:rPr>
              <w:rFonts w:cs="Arial"/>
              <w:szCs w:val="22"/>
              <w:lang w:val="en-US"/>
            </w:rPr>
            <w:t>Berlin</w:t>
          </w:r>
        </w:smartTag>
      </w:smartTag>
    </w:p>
    <w:p w:rsidR="0047553D" w:rsidRPr="00AF07B3" w:rsidRDefault="0047553D" w:rsidP="0047553D">
      <w:pPr>
        <w:jc w:val="both"/>
        <w:rPr>
          <w:rFonts w:cs="Arial"/>
          <w:szCs w:val="22"/>
        </w:rPr>
      </w:pPr>
      <w:r w:rsidRPr="00AF07B3">
        <w:rPr>
          <w:vertAlign w:val="superscript"/>
        </w:rPr>
        <w:t>2</w:t>
      </w:r>
      <w:r w:rsidRPr="00AF07B3">
        <w:rPr>
          <w:rFonts w:cs="Arial"/>
          <w:szCs w:val="22"/>
        </w:rPr>
        <w:t xml:space="preserve"> Federal Institute for Materials Research and Testing, Unter den Eichen 87, 12205 Berlin</w:t>
      </w:r>
    </w:p>
    <w:p w:rsidR="0047553D" w:rsidRPr="00AF07B3" w:rsidRDefault="0047553D" w:rsidP="0047553D">
      <w:pPr>
        <w:jc w:val="both"/>
        <w:rPr>
          <w:rFonts w:cs="Arial"/>
          <w:bCs/>
          <w:szCs w:val="22"/>
        </w:rPr>
      </w:pPr>
      <w:r w:rsidRPr="00AF07B3">
        <w:rPr>
          <w:vertAlign w:val="superscript"/>
        </w:rPr>
        <w:t>3</w:t>
      </w:r>
      <w:r w:rsidRPr="00AF07B3">
        <w:rPr>
          <w:rFonts w:cs="Arial"/>
          <w:szCs w:val="22"/>
        </w:rPr>
        <w:t xml:space="preserve"> </w:t>
      </w:r>
      <w:r w:rsidRPr="00AF07B3">
        <w:rPr>
          <w:rFonts w:cs="Arial"/>
          <w:bCs/>
          <w:szCs w:val="22"/>
        </w:rPr>
        <w:t>ZELMI, Technical University Berlin, Straße des 17. Juni 135, 10623 Berlin</w:t>
      </w:r>
    </w:p>
    <w:p w:rsidR="0047553D" w:rsidRPr="00AF07B3" w:rsidRDefault="0047553D" w:rsidP="00505D69">
      <w:pPr>
        <w:jc w:val="both"/>
        <w:rPr>
          <w:rFonts w:cs="Arial"/>
          <w:b/>
          <w:iCs/>
          <w:szCs w:val="22"/>
        </w:rPr>
      </w:pPr>
    </w:p>
    <w:p w:rsidR="0047553D" w:rsidRPr="00AF07B3" w:rsidRDefault="0047553D" w:rsidP="00505D69">
      <w:pPr>
        <w:jc w:val="both"/>
        <w:rPr>
          <w:rFonts w:cs="Arial"/>
          <w:b/>
          <w:iCs/>
          <w:szCs w:val="22"/>
          <w:u w:val="single"/>
          <w:lang w:val="en-US"/>
        </w:rPr>
      </w:pPr>
      <w:r w:rsidRPr="00AF07B3">
        <w:rPr>
          <w:rFonts w:cs="Arial"/>
          <w:b/>
          <w:iCs/>
          <w:szCs w:val="22"/>
          <w:u w:val="single"/>
          <w:lang w:val="en-US"/>
        </w:rPr>
        <w:t>Na</w:t>
      </w:r>
      <w:r w:rsidR="009A2A4F">
        <w:rPr>
          <w:rFonts w:cs="Arial"/>
          <w:b/>
          <w:iCs/>
          <w:szCs w:val="22"/>
          <w:u w:val="single"/>
          <w:lang w:val="en-US"/>
        </w:rPr>
        <w:t>noparticle Handling Information</w:t>
      </w:r>
    </w:p>
    <w:p w:rsidR="0047553D" w:rsidRPr="00AF07B3" w:rsidRDefault="0047553D" w:rsidP="00505D69">
      <w:pPr>
        <w:jc w:val="both"/>
        <w:rPr>
          <w:rFonts w:cs="Arial"/>
          <w:b/>
          <w:iCs/>
          <w:szCs w:val="22"/>
          <w:lang w:val="en-US"/>
        </w:rPr>
      </w:pPr>
    </w:p>
    <w:p w:rsidR="00CC28EE" w:rsidRPr="00AF07B3" w:rsidRDefault="00505D69" w:rsidP="00CC28EE">
      <w:pPr>
        <w:autoSpaceDE w:val="0"/>
        <w:autoSpaceDN w:val="0"/>
        <w:adjustRightInd w:val="0"/>
        <w:jc w:val="both"/>
        <w:rPr>
          <w:rFonts w:cs="Arial"/>
          <w:b/>
          <w:iCs/>
          <w:szCs w:val="22"/>
          <w:lang w:val="en-US"/>
        </w:rPr>
      </w:pPr>
      <w:r w:rsidRPr="00AF07B3">
        <w:rPr>
          <w:rFonts w:cs="Arial"/>
          <w:b/>
          <w:iCs/>
          <w:szCs w:val="22"/>
          <w:lang w:val="en-US"/>
        </w:rPr>
        <w:t>Nanoparticle</w:t>
      </w:r>
      <w:r w:rsidR="0047553D" w:rsidRPr="00AF07B3">
        <w:rPr>
          <w:rFonts w:cs="Arial"/>
          <w:b/>
          <w:iCs/>
          <w:szCs w:val="22"/>
          <w:lang w:val="en-US"/>
        </w:rPr>
        <w:t xml:space="preserve"> synthesis </w:t>
      </w:r>
      <w:r w:rsidR="00CC28EE" w:rsidRPr="00AF07B3">
        <w:rPr>
          <w:rFonts w:cs="Arial"/>
          <w:b/>
          <w:iCs/>
          <w:szCs w:val="22"/>
          <w:lang w:val="en-US"/>
        </w:rPr>
        <w:t>and s</w:t>
      </w:r>
      <w:r w:rsidR="00CC28EE" w:rsidRPr="00AF07B3">
        <w:rPr>
          <w:rFonts w:cs="Arial"/>
          <w:b/>
          <w:szCs w:val="22"/>
          <w:lang w:val="en-US"/>
        </w:rPr>
        <w:t>torage</w:t>
      </w:r>
    </w:p>
    <w:p w:rsidR="00674623" w:rsidRPr="00AF07B3" w:rsidRDefault="00CC28EE" w:rsidP="00674623">
      <w:pPr>
        <w:autoSpaceDE w:val="0"/>
        <w:autoSpaceDN w:val="0"/>
        <w:adjustRightInd w:val="0"/>
        <w:jc w:val="both"/>
        <w:rPr>
          <w:rFonts w:cs="Arial"/>
          <w:iCs/>
          <w:szCs w:val="22"/>
          <w:lang w:val="en-US"/>
        </w:rPr>
      </w:pPr>
      <w:r w:rsidRPr="00AF07B3">
        <w:rPr>
          <w:rFonts w:cs="Arial"/>
          <w:iCs/>
          <w:szCs w:val="22"/>
          <w:lang w:val="en-US"/>
        </w:rPr>
        <w:t xml:space="preserve">Silver nitrate and poly (acrylic acid) MW=1800 g/mol were used to synthesize silver nanoparticles in a polyol process as described by </w:t>
      </w:r>
      <w:hyperlink w:anchor="_ENREF_12" w:tooltip="Hu, 2008 #57" w:history="1">
        <w:r w:rsidRPr="00AF07B3">
          <w:rPr>
            <w:rFonts w:cs="Arial"/>
            <w:iCs/>
            <w:szCs w:val="22"/>
            <w:lang w:val="en-US"/>
          </w:rPr>
          <w:fldChar w:fldCharType="begin"/>
        </w:r>
        <w:r w:rsidRPr="00AF07B3">
          <w:rPr>
            <w:rFonts w:cs="Arial"/>
            <w:iCs/>
            <w:szCs w:val="22"/>
            <w:lang w:val="en-US"/>
          </w:rPr>
          <w:instrText xml:space="preserve"> ADDIN EN.CITE &lt;EndNote&gt;&lt;Cite AuthorYear="1"&gt;&lt;Author&gt;Hu&lt;/Author&gt;&lt;Year&gt;2008&lt;/Year&gt;&lt;RecNum&gt;57&lt;/RecNum&gt;&lt;DisplayText&gt;Hu et al. (2008)&lt;/DisplayText&gt;&lt;record&gt;&lt;rec-number&gt;57&lt;/rec-number&gt;&lt;foreign-keys&gt;&lt;key app="EN" db-id="99d5satx6zpfwae0zwqpp29y555vzrd5v0a2" timestamp="1400500759"&gt;57&lt;/key&gt;&lt;/foreign-keys&gt;&lt;ref-type name="Journal Article"&gt;17&lt;/ref-type&gt;&lt;contributors&gt;&lt;authors&gt;&lt;author&gt;Hu, Yongxing&lt;/author&gt;&lt;author&gt;Ge, Jianping&lt;/author&gt;&lt;author&gt;Lim, Donna&lt;/author&gt;&lt;author&gt;Zhang, Tierui&lt;/author&gt;&lt;author&gt;Yin, Yadong&lt;/author&gt;&lt;/authors&gt;&lt;/contributors&gt;&lt;titles&gt;&lt;title&gt;Size-controlled synthesis of highly water-soluble silver nanocrystals&lt;/title&gt;&lt;secondary-title&gt;Journal of Solid State Chemistry&lt;/secondary-title&gt;&lt;/titles&gt;&lt;periodical&gt;&lt;full-title&gt;Journal of Solid State Chemistry&lt;/full-title&gt;&lt;/periodical&gt;&lt;pages&gt;1524-1529&lt;/pages&gt;&lt;volume&gt;181&lt;/volume&gt;&lt;number&gt;7&lt;/number&gt;&lt;keywords&gt;&lt;keyword&gt;Johanna, PAA&lt;/keyword&gt;&lt;/keywords&gt;&lt;dates&gt;&lt;year&gt;2008&lt;/year&gt;&lt;/dates&gt;&lt;isbn&gt;0022-4596&lt;/isbn&gt;&lt;urls&gt;&lt;/urls&gt;&lt;/record&gt;&lt;/Cite&gt;&lt;/EndNote&gt;</w:instrText>
        </w:r>
        <w:r w:rsidRPr="00AF07B3">
          <w:rPr>
            <w:rFonts w:cs="Arial"/>
            <w:iCs/>
            <w:szCs w:val="22"/>
            <w:lang w:val="en-US"/>
          </w:rPr>
          <w:fldChar w:fldCharType="separate"/>
        </w:r>
        <w:r w:rsidRPr="00AF07B3">
          <w:rPr>
            <w:rFonts w:cs="Arial"/>
            <w:iCs/>
            <w:noProof/>
            <w:szCs w:val="22"/>
            <w:lang w:val="en-US"/>
          </w:rPr>
          <w:t>Hu et al. (2008)</w:t>
        </w:r>
        <w:r w:rsidRPr="00AF07B3">
          <w:rPr>
            <w:rFonts w:cs="Arial"/>
            <w:iCs/>
            <w:szCs w:val="22"/>
            <w:lang w:val="en-US"/>
          </w:rPr>
          <w:fldChar w:fldCharType="end"/>
        </w:r>
      </w:hyperlink>
      <w:r w:rsidRPr="00AF07B3">
        <w:rPr>
          <w:rFonts w:cs="Arial"/>
          <w:iCs/>
          <w:szCs w:val="22"/>
          <w:lang w:val="en-US"/>
        </w:rPr>
        <w:t xml:space="preserve"> The obtained particle suspension was characterized by small-angle X-ray scattering (SAXS) and diluted to receive a Stock suspension for subsequent cytotoxicity- and uptake experiments. Therefore, the particle dispersion were diluted to obtain a 1000 µg silver / ml MilliQ. By adding NaOH to the suspension until they showed pH of 12, stability of the stock solutions was assured due to the repulsive forces of the coating material poly (acrylic acid). The concentration of the stock </w:t>
      </w:r>
      <w:r w:rsidR="00674623" w:rsidRPr="00AF07B3">
        <w:rPr>
          <w:rFonts w:cs="Arial"/>
          <w:iCs/>
          <w:szCs w:val="22"/>
          <w:lang w:val="en-US"/>
        </w:rPr>
        <w:t xml:space="preserve">suspension </w:t>
      </w:r>
      <w:r w:rsidRPr="00AF07B3">
        <w:rPr>
          <w:rFonts w:cs="Arial"/>
          <w:iCs/>
          <w:szCs w:val="22"/>
          <w:lang w:val="en-US"/>
        </w:rPr>
        <w:t>was determined as describe in the section</w:t>
      </w:r>
      <w:r w:rsidRPr="00AF07B3">
        <w:rPr>
          <w:lang w:val="en-US"/>
        </w:rPr>
        <w:t xml:space="preserve"> “</w:t>
      </w:r>
      <w:r w:rsidRPr="00AF07B3">
        <w:rPr>
          <w:rFonts w:cs="Arial"/>
          <w:iCs/>
          <w:szCs w:val="22"/>
          <w:lang w:val="en-US"/>
        </w:rPr>
        <w:t xml:space="preserve">Determination of silver content in cell culture media, stock suspensions and cells”. </w:t>
      </w:r>
      <w:r w:rsidR="00674623" w:rsidRPr="00AF07B3">
        <w:rPr>
          <w:rFonts w:cs="Arial"/>
          <w:iCs/>
          <w:szCs w:val="22"/>
          <w:lang w:val="en-US"/>
        </w:rPr>
        <w:t>Particle stocks were stored at 4°C in the dark.</w:t>
      </w:r>
    </w:p>
    <w:p w:rsidR="00CC28EE" w:rsidRPr="00AF07B3" w:rsidRDefault="00CC28EE" w:rsidP="00505D69">
      <w:pPr>
        <w:jc w:val="both"/>
        <w:rPr>
          <w:rFonts w:cs="Arial"/>
          <w:b/>
          <w:iCs/>
          <w:szCs w:val="22"/>
          <w:lang w:val="en-US"/>
        </w:rPr>
      </w:pPr>
    </w:p>
    <w:p w:rsidR="00505D69" w:rsidRPr="00AF07B3" w:rsidRDefault="00CC28EE" w:rsidP="00505D69">
      <w:pPr>
        <w:jc w:val="both"/>
        <w:rPr>
          <w:rFonts w:cs="Arial"/>
          <w:b/>
          <w:iCs/>
          <w:szCs w:val="22"/>
          <w:lang w:val="en-US"/>
        </w:rPr>
      </w:pPr>
      <w:r w:rsidRPr="00AF07B3">
        <w:rPr>
          <w:rFonts w:cs="Arial"/>
          <w:b/>
          <w:i/>
          <w:iCs/>
          <w:szCs w:val="22"/>
          <w:lang w:val="en-US"/>
        </w:rPr>
        <w:t>In vitro</w:t>
      </w:r>
      <w:r w:rsidRPr="00AF07B3">
        <w:rPr>
          <w:rFonts w:cs="Arial"/>
          <w:b/>
          <w:iCs/>
          <w:szCs w:val="22"/>
          <w:lang w:val="en-US"/>
        </w:rPr>
        <w:t xml:space="preserve"> </w:t>
      </w:r>
      <w:r w:rsidR="0047553D" w:rsidRPr="00AF07B3">
        <w:rPr>
          <w:rFonts w:cs="Arial"/>
          <w:b/>
          <w:iCs/>
          <w:szCs w:val="22"/>
          <w:lang w:val="en-US"/>
        </w:rPr>
        <w:t>digestion</w:t>
      </w:r>
      <w:r w:rsidR="00505D69" w:rsidRPr="00AF07B3">
        <w:rPr>
          <w:rFonts w:cs="Arial"/>
          <w:b/>
          <w:iCs/>
          <w:szCs w:val="22"/>
          <w:lang w:val="en-US"/>
        </w:rPr>
        <w:t xml:space="preserve"> </w:t>
      </w:r>
    </w:p>
    <w:p w:rsidR="00CC28EE" w:rsidRPr="00AF07B3" w:rsidRDefault="006D72DA" w:rsidP="00CC28EE">
      <w:pPr>
        <w:jc w:val="both"/>
        <w:rPr>
          <w:rFonts w:cs="Arial"/>
          <w:iCs/>
          <w:szCs w:val="22"/>
          <w:lang w:val="en-US"/>
        </w:rPr>
      </w:pPr>
      <w:r w:rsidRPr="00AF07B3">
        <w:rPr>
          <w:rFonts w:cs="Arial"/>
          <w:iCs/>
          <w:szCs w:val="22"/>
          <w:lang w:val="en-US"/>
        </w:rPr>
        <w:t>For digestion 1 ml primary particle dispersion (100 mg silver/ml)</w:t>
      </w:r>
      <w:r w:rsidR="003F7CD3" w:rsidRPr="00AF07B3">
        <w:rPr>
          <w:rFonts w:cs="Arial"/>
          <w:iCs/>
          <w:szCs w:val="22"/>
          <w:lang w:val="en-US"/>
        </w:rPr>
        <w:t xml:space="preserve"> respectively silver nitrate (17 mg silver/ml)</w:t>
      </w:r>
      <w:r w:rsidRPr="00AF07B3">
        <w:rPr>
          <w:rFonts w:cs="Arial"/>
          <w:iCs/>
          <w:szCs w:val="22"/>
          <w:lang w:val="en-US"/>
        </w:rPr>
        <w:t xml:space="preserve">, heated to 37 °C in a water bath and stirred for 5 min. In the next step, 35 ml synthetic gastric juice was added, the pH was adjusted to pH 2 and the suspension was stirred for 2 h. Finally, the pH was set to 7.5 by using sodium bicarbonate and 50 ml synthetic intestinal juice was added and the suspension was stirred for 2 more hours </w:t>
      </w:r>
      <w:r w:rsidR="000C27BD" w:rsidRPr="00AF07B3">
        <w:rPr>
          <w:rFonts w:cs="Arial"/>
          <w:iCs/>
          <w:szCs w:val="22"/>
          <w:lang w:val="en-US"/>
        </w:rPr>
        <w:t>a</w:t>
      </w:r>
      <w:r w:rsidRPr="00AF07B3">
        <w:rPr>
          <w:rFonts w:cs="Arial"/>
          <w:iCs/>
          <w:szCs w:val="22"/>
          <w:lang w:val="en-US"/>
        </w:rPr>
        <w:t xml:space="preserve">s </w:t>
      </w:r>
      <w:r w:rsidR="000C27BD" w:rsidRPr="00AF07B3">
        <w:rPr>
          <w:rFonts w:cs="Arial"/>
          <w:iCs/>
          <w:szCs w:val="22"/>
          <w:lang w:val="en-US"/>
        </w:rPr>
        <w:t>also</w:t>
      </w:r>
      <w:r w:rsidRPr="00AF07B3">
        <w:rPr>
          <w:rFonts w:cs="Arial"/>
          <w:iCs/>
          <w:szCs w:val="22"/>
          <w:lang w:val="en-US"/>
        </w:rPr>
        <w:t xml:space="preserve"> described by Böhmert et. al.  (2014)</w:t>
      </w:r>
      <w:r w:rsidR="001764F9" w:rsidRPr="00AF07B3">
        <w:rPr>
          <w:rFonts w:cs="Arial"/>
          <w:iCs/>
          <w:szCs w:val="22"/>
          <w:lang w:val="en-US"/>
        </w:rPr>
        <w:t>.</w:t>
      </w:r>
      <w:r w:rsidRPr="00AF07B3">
        <w:rPr>
          <w:rFonts w:cs="Arial"/>
          <w:iCs/>
          <w:szCs w:val="22"/>
          <w:lang w:val="en-US"/>
        </w:rPr>
        <w:t xml:space="preserve"> The organic and inorganic components of the digestion fluids are listed in Table 1 in the manuscript.</w:t>
      </w:r>
      <w:r w:rsidR="000C27BD" w:rsidRPr="00AF07B3">
        <w:rPr>
          <w:rFonts w:cs="Arial"/>
          <w:iCs/>
          <w:szCs w:val="22"/>
          <w:lang w:val="en-US"/>
        </w:rPr>
        <w:t xml:space="preserve"> Additionally, this </w:t>
      </w:r>
      <w:r w:rsidR="000C27BD" w:rsidRPr="00AF07B3">
        <w:rPr>
          <w:rFonts w:cs="Arial"/>
          <w:i/>
          <w:iCs/>
          <w:szCs w:val="22"/>
          <w:lang w:val="en-US"/>
        </w:rPr>
        <w:t>in vitro</w:t>
      </w:r>
      <w:r w:rsidR="000C27BD" w:rsidRPr="00AF07B3">
        <w:rPr>
          <w:rFonts w:cs="Arial"/>
          <w:iCs/>
          <w:szCs w:val="22"/>
          <w:lang w:val="en-US"/>
        </w:rPr>
        <w:t xml:space="preserve"> digestion model was extended by the main food components</w:t>
      </w:r>
      <w:r w:rsidR="000C27BD" w:rsidRPr="00AF07B3">
        <w:rPr>
          <w:rFonts w:cs="Arial"/>
          <w:szCs w:val="22"/>
          <w:lang w:val="en-US"/>
        </w:rPr>
        <w:t xml:space="preserve"> proteins, carbohydrates and fatty acids </w:t>
      </w:r>
      <w:r w:rsidR="000C27BD" w:rsidRPr="00AF07B3">
        <w:rPr>
          <w:rFonts w:cs="Arial"/>
          <w:iCs/>
          <w:szCs w:val="22"/>
          <w:lang w:val="en-US"/>
        </w:rPr>
        <w:t>using milk powder, starch and olive oil available from consumer supermarkets. Therefore, 1 ml particle dispersion (100 mg/ml) was mixed with 1 g food components (3 equal portions of oil, starch and milk powder) followed by digestion with saliva as well as gastric and intestinal juice as described above. The samples were used without further processing for all subsequent testing.</w:t>
      </w:r>
      <w:r w:rsidR="000C27BD" w:rsidRPr="00AF07B3">
        <w:rPr>
          <w:lang w:val="en-US"/>
        </w:rPr>
        <w:t xml:space="preserve"> </w:t>
      </w:r>
      <w:r w:rsidR="00942EB6" w:rsidRPr="00AF07B3">
        <w:rPr>
          <w:lang w:val="en-US"/>
        </w:rPr>
        <w:t xml:space="preserve">Obtained concentrations after digestion were </w:t>
      </w:r>
      <w:r w:rsidR="000C27BD" w:rsidRPr="00AF07B3">
        <w:rPr>
          <w:rFonts w:cs="Arial"/>
          <w:iCs/>
          <w:szCs w:val="22"/>
          <w:lang w:val="en-US"/>
        </w:rPr>
        <w:t>1 mg/ml</w:t>
      </w:r>
      <w:r w:rsidR="003F7CD3" w:rsidRPr="00AF07B3">
        <w:rPr>
          <w:rFonts w:cs="Arial"/>
          <w:iCs/>
          <w:szCs w:val="22"/>
          <w:lang w:val="en-US"/>
        </w:rPr>
        <w:t xml:space="preserve"> </w:t>
      </w:r>
      <w:r w:rsidR="00942EB6" w:rsidRPr="00AF07B3">
        <w:rPr>
          <w:rFonts w:cs="Arial"/>
          <w:iCs/>
          <w:szCs w:val="22"/>
          <w:lang w:val="en-US"/>
        </w:rPr>
        <w:t>and</w:t>
      </w:r>
      <w:r w:rsidR="003F7CD3" w:rsidRPr="00AF07B3">
        <w:rPr>
          <w:rFonts w:cs="Arial"/>
          <w:iCs/>
          <w:szCs w:val="22"/>
          <w:lang w:val="en-US"/>
        </w:rPr>
        <w:t xml:space="preserve"> 0.17 mg/ml </w:t>
      </w:r>
      <w:r w:rsidR="00942EB6" w:rsidRPr="00AF07B3">
        <w:rPr>
          <w:rFonts w:cs="Arial"/>
          <w:iCs/>
          <w:szCs w:val="22"/>
          <w:lang w:val="en-US"/>
        </w:rPr>
        <w:t>for nanoparticles respectively silver ions</w:t>
      </w:r>
      <w:r w:rsidR="000C27BD" w:rsidRPr="00AF07B3">
        <w:rPr>
          <w:rFonts w:cs="Arial"/>
          <w:iCs/>
          <w:szCs w:val="22"/>
          <w:lang w:val="en-US"/>
        </w:rPr>
        <w:t>. All suspension</w:t>
      </w:r>
      <w:r w:rsidR="00674623" w:rsidRPr="00AF07B3">
        <w:rPr>
          <w:rFonts w:cs="Arial"/>
          <w:iCs/>
          <w:szCs w:val="22"/>
          <w:lang w:val="en-US"/>
        </w:rPr>
        <w:t>s</w:t>
      </w:r>
      <w:r w:rsidR="000C27BD" w:rsidRPr="00AF07B3">
        <w:rPr>
          <w:rFonts w:cs="Arial"/>
          <w:iCs/>
          <w:szCs w:val="22"/>
          <w:lang w:val="en-US"/>
        </w:rPr>
        <w:t xml:space="preserve"> were gently mixed and aliquoted in 10 ml portions and stored at 4°C</w:t>
      </w:r>
      <w:r w:rsidR="00674623" w:rsidRPr="00AF07B3">
        <w:rPr>
          <w:rFonts w:cs="Arial"/>
          <w:iCs/>
          <w:szCs w:val="22"/>
          <w:lang w:val="en-US"/>
        </w:rPr>
        <w:t xml:space="preserve"> in the dark</w:t>
      </w:r>
      <w:r w:rsidR="000C27BD" w:rsidRPr="00AF07B3">
        <w:rPr>
          <w:rFonts w:cs="Arial"/>
          <w:iCs/>
          <w:szCs w:val="22"/>
          <w:lang w:val="en-US"/>
        </w:rPr>
        <w:t>.</w:t>
      </w:r>
      <w:r w:rsidR="00CC28EE" w:rsidRPr="00AF07B3">
        <w:rPr>
          <w:rFonts w:cs="Arial"/>
          <w:iCs/>
          <w:szCs w:val="22"/>
          <w:lang w:val="en-US"/>
        </w:rPr>
        <w:t xml:space="preserve"> Silver concentrations of all samples were determined as describe in the section</w:t>
      </w:r>
      <w:r w:rsidR="00CC28EE" w:rsidRPr="00AF07B3">
        <w:rPr>
          <w:lang w:val="en-US"/>
        </w:rPr>
        <w:t xml:space="preserve"> “</w:t>
      </w:r>
      <w:r w:rsidR="00CC28EE" w:rsidRPr="00AF07B3">
        <w:rPr>
          <w:rFonts w:cs="Arial"/>
          <w:iCs/>
          <w:szCs w:val="22"/>
          <w:lang w:val="en-US"/>
        </w:rPr>
        <w:t xml:space="preserve">Determination of silver content in cell culture media, stock suspensions and cells”. </w:t>
      </w:r>
    </w:p>
    <w:p w:rsidR="00FE5D2C" w:rsidRPr="00AF07B3" w:rsidRDefault="00FE5D2C" w:rsidP="000C27BD">
      <w:pPr>
        <w:jc w:val="both"/>
        <w:rPr>
          <w:rFonts w:cs="Arial"/>
          <w:iCs/>
          <w:szCs w:val="22"/>
          <w:lang w:val="en-US"/>
        </w:rPr>
      </w:pPr>
    </w:p>
    <w:p w:rsidR="000C27BD" w:rsidRPr="00AF07B3" w:rsidRDefault="001764F9" w:rsidP="000C27BD">
      <w:pPr>
        <w:jc w:val="both"/>
        <w:rPr>
          <w:rFonts w:cs="Arial"/>
          <w:b/>
          <w:iCs/>
          <w:szCs w:val="22"/>
          <w:lang w:val="en-US"/>
        </w:rPr>
      </w:pPr>
      <w:r w:rsidRPr="00AF07B3">
        <w:rPr>
          <w:rFonts w:cs="Arial"/>
          <w:b/>
          <w:iCs/>
          <w:szCs w:val="22"/>
          <w:lang w:val="en-US"/>
        </w:rPr>
        <w:t>SAXS measurements</w:t>
      </w:r>
    </w:p>
    <w:p w:rsidR="001764F9" w:rsidRPr="00AF07B3" w:rsidRDefault="004571E6" w:rsidP="000C27BD">
      <w:pPr>
        <w:jc w:val="both"/>
        <w:rPr>
          <w:rFonts w:cs="Arial"/>
          <w:iCs/>
          <w:szCs w:val="22"/>
          <w:lang w:val="en-US"/>
        </w:rPr>
      </w:pPr>
      <w:r w:rsidRPr="00AF07B3">
        <w:rPr>
          <w:rFonts w:cs="Arial"/>
          <w:iCs/>
          <w:szCs w:val="22"/>
          <w:lang w:val="en-US"/>
        </w:rPr>
        <w:t>All samples were diluted as described below. 120 replicates of the samples were measured 10 seconds each.</w:t>
      </w:r>
      <w:r w:rsidR="00B170A1" w:rsidRPr="00AF07B3">
        <w:rPr>
          <w:rFonts w:cs="Arial"/>
          <w:iCs/>
          <w:szCs w:val="22"/>
          <w:lang w:val="en-US"/>
        </w:rPr>
        <w:t xml:space="preserve"> D</w:t>
      </w:r>
      <w:r w:rsidRPr="00AF07B3">
        <w:rPr>
          <w:rFonts w:cs="Arial"/>
          <w:iCs/>
          <w:szCs w:val="22"/>
          <w:lang w:val="en-US"/>
        </w:rPr>
        <w:t>uring digestion</w:t>
      </w:r>
      <w:r w:rsidR="00B170A1" w:rsidRPr="00AF07B3">
        <w:rPr>
          <w:rFonts w:cs="Arial"/>
          <w:iCs/>
          <w:szCs w:val="22"/>
          <w:lang w:val="en-US"/>
        </w:rPr>
        <w:t xml:space="preserve"> the stability of the </w:t>
      </w:r>
      <w:r w:rsidR="00674623" w:rsidRPr="00AF07B3">
        <w:rPr>
          <w:rFonts w:cs="Arial"/>
          <w:iCs/>
          <w:szCs w:val="22"/>
          <w:lang w:val="en-US"/>
        </w:rPr>
        <w:t>p</w:t>
      </w:r>
      <w:r w:rsidR="00B170A1" w:rsidRPr="00AF07B3">
        <w:rPr>
          <w:rFonts w:cs="Arial"/>
          <w:iCs/>
          <w:szCs w:val="22"/>
          <w:lang w:val="en-US"/>
        </w:rPr>
        <w:t xml:space="preserve">articles was monitored online. </w:t>
      </w:r>
      <w:r w:rsidR="009C780A" w:rsidRPr="00AF07B3">
        <w:rPr>
          <w:rFonts w:cs="Arial"/>
          <w:iCs/>
          <w:szCs w:val="22"/>
          <w:lang w:val="en-US"/>
        </w:rPr>
        <w:t>F</w:t>
      </w:r>
      <w:r w:rsidR="00B170A1" w:rsidRPr="00AF07B3">
        <w:rPr>
          <w:rFonts w:cs="Arial"/>
          <w:iCs/>
          <w:szCs w:val="22"/>
          <w:lang w:val="en-US"/>
        </w:rPr>
        <w:t>o</w:t>
      </w:r>
      <w:r w:rsidR="009C780A" w:rsidRPr="00AF07B3">
        <w:rPr>
          <w:rFonts w:cs="Arial"/>
          <w:iCs/>
          <w:szCs w:val="22"/>
          <w:lang w:val="en-US"/>
        </w:rPr>
        <w:t>r</w:t>
      </w:r>
      <w:r w:rsidR="00B170A1" w:rsidRPr="00AF07B3">
        <w:rPr>
          <w:rFonts w:cs="Arial"/>
          <w:iCs/>
          <w:szCs w:val="22"/>
          <w:lang w:val="en-US"/>
        </w:rPr>
        <w:t xml:space="preserve"> </w:t>
      </w:r>
      <w:r w:rsidR="009C780A" w:rsidRPr="00AF07B3">
        <w:rPr>
          <w:rFonts w:cs="Arial"/>
          <w:iCs/>
          <w:szCs w:val="22"/>
          <w:lang w:val="en-US"/>
        </w:rPr>
        <w:t>s</w:t>
      </w:r>
      <w:r w:rsidR="00B170A1" w:rsidRPr="00AF07B3">
        <w:rPr>
          <w:rFonts w:cs="Arial"/>
          <w:iCs/>
          <w:szCs w:val="22"/>
          <w:lang w:val="en-US"/>
        </w:rPr>
        <w:t>tability testing of the particle under cell culture conditions freshly digested particles were</w:t>
      </w:r>
      <w:r w:rsidR="001764F9" w:rsidRPr="00AF07B3">
        <w:rPr>
          <w:rFonts w:cs="Arial"/>
          <w:iCs/>
          <w:szCs w:val="22"/>
          <w:lang w:val="en-GB"/>
        </w:rPr>
        <w:t xml:space="preserve"> diluted with cell culture medium down to the highest concentration was used in the cytotoxicity (100</w:t>
      </w:r>
      <w:r w:rsidR="00674623" w:rsidRPr="00AF07B3">
        <w:rPr>
          <w:rFonts w:cs="Arial"/>
          <w:iCs/>
          <w:szCs w:val="22"/>
          <w:lang w:val="en-GB"/>
        </w:rPr>
        <w:t> </w:t>
      </w:r>
      <w:r w:rsidR="001764F9" w:rsidRPr="00AF07B3">
        <w:rPr>
          <w:rFonts w:cs="Arial"/>
          <w:iCs/>
          <w:szCs w:val="22"/>
          <w:lang w:val="en-GB"/>
        </w:rPr>
        <w:t>µg</w:t>
      </w:r>
      <w:r w:rsidR="00674623" w:rsidRPr="00AF07B3">
        <w:rPr>
          <w:rFonts w:cs="Arial"/>
          <w:iCs/>
          <w:szCs w:val="22"/>
          <w:lang w:val="en-GB"/>
        </w:rPr>
        <w:t> </w:t>
      </w:r>
      <w:r w:rsidR="001764F9" w:rsidRPr="00AF07B3">
        <w:rPr>
          <w:rFonts w:cs="Arial"/>
          <w:iCs/>
          <w:szCs w:val="22"/>
          <w:lang w:val="en-GB"/>
        </w:rPr>
        <w:t xml:space="preserve">silver/ml). Therefore the particle suspensions were gently mixed and </w:t>
      </w:r>
      <w:r w:rsidR="001764F9" w:rsidRPr="00AF07B3">
        <w:rPr>
          <w:rFonts w:cs="Arial"/>
          <w:iCs/>
          <w:szCs w:val="22"/>
          <w:lang w:val="en-GB"/>
        </w:rPr>
        <w:lastRenderedPageBreak/>
        <w:t xml:space="preserve">added in cell culture medium (DMEM) containing 10 % v/v fetal calf serum </w:t>
      </w:r>
      <w:r w:rsidR="002D5A1B" w:rsidRPr="00AF07B3">
        <w:rPr>
          <w:rFonts w:cs="Arial"/>
          <w:iCs/>
          <w:szCs w:val="22"/>
          <w:lang w:val="en-GB"/>
        </w:rPr>
        <w:t xml:space="preserve">(FCS) </w:t>
      </w:r>
      <w:r w:rsidR="001764F9" w:rsidRPr="00AF07B3">
        <w:rPr>
          <w:rFonts w:cs="Arial"/>
          <w:iCs/>
          <w:szCs w:val="22"/>
          <w:lang w:val="en-GB"/>
        </w:rPr>
        <w:t xml:space="preserve">and </w:t>
      </w:r>
      <w:r w:rsidR="001764F9" w:rsidRPr="00AF07B3">
        <w:rPr>
          <w:rFonts w:cs="Arial"/>
          <w:iCs/>
          <w:szCs w:val="22"/>
          <w:lang w:val="en-US"/>
        </w:rPr>
        <w:t>100</w:t>
      </w:r>
      <w:r w:rsidR="00674623" w:rsidRPr="00AF07B3">
        <w:rPr>
          <w:rFonts w:cs="Arial"/>
          <w:iCs/>
          <w:szCs w:val="22"/>
          <w:lang w:val="en-US"/>
        </w:rPr>
        <w:t> </w:t>
      </w:r>
      <w:r w:rsidR="001764F9" w:rsidRPr="00AF07B3">
        <w:rPr>
          <w:rFonts w:cs="Arial"/>
          <w:iCs/>
          <w:szCs w:val="22"/>
          <w:lang w:val="en-US"/>
        </w:rPr>
        <w:t>IU/ml penicillin and 100 µg/ml streptomycin. Sample</w:t>
      </w:r>
      <w:r w:rsidRPr="00AF07B3">
        <w:rPr>
          <w:rFonts w:cs="Arial"/>
          <w:iCs/>
          <w:szCs w:val="22"/>
          <w:lang w:val="en-US"/>
        </w:rPr>
        <w:t xml:space="preserve">s were </w:t>
      </w:r>
      <w:r w:rsidR="00674623" w:rsidRPr="00AF07B3">
        <w:rPr>
          <w:rFonts w:cs="Arial"/>
          <w:iCs/>
          <w:szCs w:val="22"/>
          <w:lang w:val="en-US"/>
        </w:rPr>
        <w:t>incubated</w:t>
      </w:r>
      <w:r w:rsidRPr="00AF07B3">
        <w:rPr>
          <w:rFonts w:cs="Arial"/>
          <w:iCs/>
          <w:szCs w:val="22"/>
          <w:lang w:val="en-US"/>
        </w:rPr>
        <w:t xml:space="preserve"> for 24</w:t>
      </w:r>
      <w:r w:rsidR="00674623" w:rsidRPr="00AF07B3">
        <w:rPr>
          <w:rFonts w:cs="Arial"/>
          <w:iCs/>
          <w:szCs w:val="22"/>
          <w:lang w:val="en-US"/>
        </w:rPr>
        <w:t> </w:t>
      </w:r>
      <w:r w:rsidRPr="00AF07B3">
        <w:rPr>
          <w:rFonts w:cs="Arial"/>
          <w:iCs/>
          <w:szCs w:val="22"/>
          <w:lang w:val="en-US"/>
        </w:rPr>
        <w:t>h, 37°C.</w:t>
      </w:r>
    </w:p>
    <w:p w:rsidR="00942EB6" w:rsidRPr="00AF07B3" w:rsidRDefault="00942EB6" w:rsidP="000C27BD">
      <w:pPr>
        <w:jc w:val="both"/>
        <w:rPr>
          <w:rFonts w:cs="Arial"/>
          <w:iCs/>
          <w:szCs w:val="22"/>
          <w:lang w:val="en-US"/>
        </w:rPr>
      </w:pPr>
    </w:p>
    <w:p w:rsidR="00B170A1" w:rsidRPr="00AF07B3" w:rsidRDefault="00505D69" w:rsidP="00B170A1">
      <w:pPr>
        <w:jc w:val="both"/>
        <w:rPr>
          <w:rFonts w:cs="Arial"/>
          <w:b/>
          <w:szCs w:val="22"/>
          <w:lang w:val="en-US"/>
        </w:rPr>
      </w:pPr>
      <w:r w:rsidRPr="00AF07B3">
        <w:rPr>
          <w:rFonts w:cs="Arial"/>
          <w:b/>
          <w:szCs w:val="22"/>
          <w:lang w:val="en-US"/>
        </w:rPr>
        <w:t>Determination of silver content in cell culture media, stock suspensions and cells</w:t>
      </w:r>
      <w:r w:rsidR="00B170A1" w:rsidRPr="00AF07B3">
        <w:rPr>
          <w:rFonts w:cs="Arial"/>
          <w:b/>
          <w:szCs w:val="22"/>
          <w:lang w:val="en-US"/>
        </w:rPr>
        <w:t xml:space="preserve"> and ion release </w:t>
      </w:r>
    </w:p>
    <w:p w:rsidR="00505D69" w:rsidRPr="00AF07B3" w:rsidRDefault="00674623" w:rsidP="00B170A1">
      <w:pPr>
        <w:jc w:val="both"/>
        <w:rPr>
          <w:rFonts w:cs="Arial"/>
          <w:szCs w:val="22"/>
          <w:lang w:val="en-US"/>
        </w:rPr>
      </w:pPr>
      <w:r w:rsidRPr="00AF07B3">
        <w:rPr>
          <w:rFonts w:cs="Arial"/>
          <w:szCs w:val="22"/>
          <w:lang w:val="en-US"/>
        </w:rPr>
        <w:t>It was performed</w:t>
      </w:r>
      <w:r w:rsidR="00B170A1" w:rsidRPr="00AF07B3">
        <w:rPr>
          <w:rFonts w:cs="Arial"/>
          <w:szCs w:val="22"/>
          <w:lang w:val="en-US"/>
        </w:rPr>
        <w:t xml:space="preserve"> as described in the manuscript.</w:t>
      </w:r>
      <w:r w:rsidR="009C780A" w:rsidRPr="00AF07B3">
        <w:rPr>
          <w:rFonts w:cs="Arial"/>
          <w:szCs w:val="22"/>
          <w:lang w:val="en-US"/>
        </w:rPr>
        <w:t xml:space="preserve"> Additional information; Samples received by uptake and transport experiments were additionally homogenized </w:t>
      </w:r>
      <w:r w:rsidR="00FE5D2C" w:rsidRPr="00AF07B3">
        <w:rPr>
          <w:rFonts w:cs="Arial"/>
          <w:szCs w:val="22"/>
          <w:lang w:val="en-US"/>
        </w:rPr>
        <w:t>3</w:t>
      </w:r>
      <w:r w:rsidR="009C780A" w:rsidRPr="00AF07B3">
        <w:rPr>
          <w:rFonts w:cs="Arial"/>
          <w:szCs w:val="22"/>
          <w:lang w:val="en-US"/>
        </w:rPr>
        <w:t xml:space="preserve"> minutes by ultrasonic treatment to avoid clusters of silver caused by storage. (Bandelin Snoorex RK 100, Germany, 350 W, 35 KHz)</w:t>
      </w:r>
    </w:p>
    <w:p w:rsidR="00FE5D2C" w:rsidRPr="00AF07B3" w:rsidRDefault="00FE5D2C" w:rsidP="00B170A1">
      <w:pPr>
        <w:jc w:val="both"/>
        <w:rPr>
          <w:rFonts w:cs="Arial"/>
          <w:bCs/>
          <w:szCs w:val="22"/>
          <w:lang w:val="en-US"/>
        </w:rPr>
      </w:pPr>
    </w:p>
    <w:p w:rsidR="00505D69" w:rsidRPr="00AF07B3" w:rsidRDefault="00505D69" w:rsidP="00505D69">
      <w:pPr>
        <w:autoSpaceDE w:val="0"/>
        <w:autoSpaceDN w:val="0"/>
        <w:adjustRightInd w:val="0"/>
        <w:jc w:val="both"/>
        <w:rPr>
          <w:rFonts w:cs="Arial"/>
          <w:b/>
          <w:szCs w:val="22"/>
          <w:lang w:val="en-US"/>
        </w:rPr>
      </w:pPr>
      <w:r w:rsidRPr="00AF07B3">
        <w:rPr>
          <w:rFonts w:cs="Arial"/>
          <w:b/>
          <w:szCs w:val="22"/>
          <w:lang w:val="en-US"/>
        </w:rPr>
        <w:t xml:space="preserve">Cytotoxicity </w:t>
      </w:r>
    </w:p>
    <w:p w:rsidR="00B170A1" w:rsidRPr="00AF07B3" w:rsidRDefault="00B170A1" w:rsidP="00505D69">
      <w:pPr>
        <w:autoSpaceDE w:val="0"/>
        <w:autoSpaceDN w:val="0"/>
        <w:adjustRightInd w:val="0"/>
        <w:jc w:val="both"/>
        <w:rPr>
          <w:rFonts w:cs="Arial"/>
          <w:szCs w:val="22"/>
          <w:lang w:val="en-US"/>
        </w:rPr>
      </w:pPr>
      <w:r w:rsidRPr="00AF07B3">
        <w:rPr>
          <w:rFonts w:cs="Arial"/>
          <w:szCs w:val="22"/>
          <w:lang w:val="en-US"/>
        </w:rPr>
        <w:t>Stock suspension (undigested) as w</w:t>
      </w:r>
      <w:r w:rsidR="002D5A1B" w:rsidRPr="00AF07B3">
        <w:rPr>
          <w:rFonts w:cs="Arial"/>
          <w:szCs w:val="22"/>
          <w:lang w:val="en-US"/>
        </w:rPr>
        <w:t>e</w:t>
      </w:r>
      <w:r w:rsidRPr="00AF07B3">
        <w:rPr>
          <w:rFonts w:cs="Arial"/>
          <w:szCs w:val="22"/>
          <w:lang w:val="en-US"/>
        </w:rPr>
        <w:t xml:space="preserve">ll </w:t>
      </w:r>
      <w:r w:rsidR="002D5A1B" w:rsidRPr="00AF07B3">
        <w:rPr>
          <w:rFonts w:cs="Arial"/>
          <w:szCs w:val="22"/>
          <w:lang w:val="en-US"/>
        </w:rPr>
        <w:t>a</w:t>
      </w:r>
      <w:r w:rsidRPr="00AF07B3">
        <w:rPr>
          <w:rFonts w:cs="Arial"/>
          <w:szCs w:val="22"/>
          <w:lang w:val="en-US"/>
        </w:rPr>
        <w:t xml:space="preserve">s digested samples were freshly diluted in cell </w:t>
      </w:r>
      <w:r w:rsidR="002D5A1B" w:rsidRPr="00AF07B3">
        <w:rPr>
          <w:rFonts w:cs="Arial"/>
          <w:szCs w:val="22"/>
          <w:lang w:val="en-US"/>
        </w:rPr>
        <w:t>FCS</w:t>
      </w:r>
      <w:r w:rsidRPr="00AF07B3">
        <w:rPr>
          <w:rFonts w:cs="Arial"/>
          <w:szCs w:val="22"/>
          <w:lang w:val="en-US"/>
        </w:rPr>
        <w:t xml:space="preserve"> </w:t>
      </w:r>
      <w:r w:rsidR="002D5A1B" w:rsidRPr="00AF07B3">
        <w:rPr>
          <w:rFonts w:cs="Arial"/>
          <w:szCs w:val="22"/>
          <w:lang w:val="en-US"/>
        </w:rPr>
        <w:t>containing</w:t>
      </w:r>
      <w:r w:rsidRPr="00AF07B3">
        <w:rPr>
          <w:rFonts w:cs="Arial"/>
          <w:szCs w:val="22"/>
          <w:lang w:val="en-US"/>
        </w:rPr>
        <w:t xml:space="preserve"> cell culture medium</w:t>
      </w:r>
      <w:r w:rsidR="002D5A1B" w:rsidRPr="00AF07B3">
        <w:rPr>
          <w:rFonts w:cs="Arial"/>
          <w:szCs w:val="22"/>
          <w:lang w:val="en-US"/>
        </w:rPr>
        <w:t xml:space="preserve"> (20, 30 ,40 ,50 and 100</w:t>
      </w:r>
      <w:r w:rsidR="00674623" w:rsidRPr="00AF07B3">
        <w:rPr>
          <w:rFonts w:cs="Arial"/>
          <w:szCs w:val="22"/>
          <w:lang w:val="en-US"/>
        </w:rPr>
        <w:t> </w:t>
      </w:r>
      <w:r w:rsidR="002D5A1B" w:rsidRPr="00AF07B3">
        <w:rPr>
          <w:rFonts w:cs="Arial"/>
          <w:szCs w:val="22"/>
          <w:lang w:val="en-US"/>
        </w:rPr>
        <w:t>µg silver/ml cell culture medium and 1,2,5 and 10</w:t>
      </w:r>
      <w:r w:rsidR="00674623" w:rsidRPr="00AF07B3">
        <w:rPr>
          <w:rFonts w:cs="Arial"/>
          <w:szCs w:val="22"/>
          <w:lang w:val="en-US"/>
        </w:rPr>
        <w:t> </w:t>
      </w:r>
      <w:r w:rsidR="002D5A1B" w:rsidRPr="00AF07B3">
        <w:rPr>
          <w:rFonts w:cs="Arial"/>
          <w:szCs w:val="22"/>
          <w:lang w:val="en-US"/>
        </w:rPr>
        <w:t>µg silver /ml AgNO</w:t>
      </w:r>
      <w:r w:rsidR="002D5A1B" w:rsidRPr="00AF07B3">
        <w:rPr>
          <w:rFonts w:cs="Arial"/>
          <w:szCs w:val="22"/>
          <w:vertAlign w:val="subscript"/>
          <w:lang w:val="en-US"/>
        </w:rPr>
        <w:t>3</w:t>
      </w:r>
      <w:r w:rsidR="002D5A1B" w:rsidRPr="00AF07B3">
        <w:rPr>
          <w:rFonts w:cs="Arial"/>
          <w:szCs w:val="22"/>
          <w:lang w:val="en-US"/>
        </w:rPr>
        <w:t xml:space="preserve">, </w:t>
      </w:r>
      <w:r w:rsidR="00674623" w:rsidRPr="00AF07B3">
        <w:rPr>
          <w:rFonts w:cs="Arial"/>
          <w:szCs w:val="22"/>
          <w:lang w:val="en-US"/>
        </w:rPr>
        <w:t>respectively</w:t>
      </w:r>
      <w:r w:rsidR="002D5A1B" w:rsidRPr="00AF07B3">
        <w:rPr>
          <w:rFonts w:cs="Arial"/>
          <w:szCs w:val="22"/>
          <w:lang w:val="en-US"/>
        </w:rPr>
        <w:t>) and mixed only by gently vortexing.100</w:t>
      </w:r>
      <w:r w:rsidR="00674623" w:rsidRPr="00AF07B3">
        <w:rPr>
          <w:rFonts w:cs="Arial"/>
          <w:szCs w:val="22"/>
          <w:lang w:val="en-US"/>
        </w:rPr>
        <w:t> </w:t>
      </w:r>
      <w:r w:rsidR="002D5A1B" w:rsidRPr="00AF07B3">
        <w:rPr>
          <w:rFonts w:cs="Arial"/>
          <w:szCs w:val="22"/>
          <w:lang w:val="en-US"/>
        </w:rPr>
        <w:t>µl diluted nanoparticle sample were added to</w:t>
      </w:r>
      <w:r w:rsidR="00674623" w:rsidRPr="00AF07B3">
        <w:rPr>
          <w:rFonts w:cs="Arial"/>
          <w:szCs w:val="22"/>
          <w:lang w:val="en-US"/>
        </w:rPr>
        <w:t xml:space="preserve"> the cells and incubated for 24 </w:t>
      </w:r>
      <w:r w:rsidR="002D5A1B" w:rsidRPr="00AF07B3">
        <w:rPr>
          <w:rFonts w:cs="Arial"/>
          <w:szCs w:val="22"/>
          <w:lang w:val="en-US"/>
        </w:rPr>
        <w:t>h.</w:t>
      </w:r>
    </w:p>
    <w:p w:rsidR="002D5A1B" w:rsidRPr="00AF07B3" w:rsidRDefault="002D5A1B" w:rsidP="00505D69">
      <w:pPr>
        <w:autoSpaceDE w:val="0"/>
        <w:autoSpaceDN w:val="0"/>
        <w:adjustRightInd w:val="0"/>
        <w:jc w:val="both"/>
        <w:rPr>
          <w:rFonts w:cs="Arial"/>
          <w:szCs w:val="22"/>
          <w:lang w:val="en-US"/>
        </w:rPr>
      </w:pPr>
    </w:p>
    <w:p w:rsidR="00505D69" w:rsidRPr="00AF07B3" w:rsidRDefault="00505D69" w:rsidP="00505D69">
      <w:pPr>
        <w:autoSpaceDE w:val="0"/>
        <w:autoSpaceDN w:val="0"/>
        <w:adjustRightInd w:val="0"/>
        <w:jc w:val="both"/>
        <w:rPr>
          <w:rFonts w:cs="Arial"/>
          <w:b/>
          <w:szCs w:val="22"/>
          <w:lang w:val="en-US"/>
        </w:rPr>
      </w:pPr>
      <w:r w:rsidRPr="00AF07B3">
        <w:rPr>
          <w:rFonts w:cs="Arial"/>
          <w:b/>
          <w:szCs w:val="22"/>
          <w:lang w:val="en-US"/>
        </w:rPr>
        <w:t xml:space="preserve">Particle uptake and transport </w:t>
      </w:r>
    </w:p>
    <w:p w:rsidR="002D5A1B" w:rsidRPr="00AF07B3" w:rsidRDefault="002D5A1B" w:rsidP="002D5A1B">
      <w:pPr>
        <w:autoSpaceDE w:val="0"/>
        <w:autoSpaceDN w:val="0"/>
        <w:adjustRightInd w:val="0"/>
        <w:jc w:val="both"/>
        <w:rPr>
          <w:rFonts w:cs="Arial"/>
          <w:szCs w:val="22"/>
          <w:lang w:val="en-US"/>
        </w:rPr>
      </w:pPr>
      <w:r w:rsidRPr="00AF07B3">
        <w:rPr>
          <w:rFonts w:cs="Arial"/>
          <w:szCs w:val="22"/>
          <w:lang w:val="en-US"/>
        </w:rPr>
        <w:t>The sample procedure takes place as for cytotoxicity testing</w:t>
      </w:r>
    </w:p>
    <w:p w:rsidR="00674623" w:rsidRPr="00AF07B3" w:rsidRDefault="002D5A1B" w:rsidP="00674623">
      <w:pPr>
        <w:jc w:val="both"/>
        <w:rPr>
          <w:rFonts w:cs="Arial"/>
          <w:szCs w:val="22"/>
          <w:lang w:val="en-US"/>
        </w:rPr>
      </w:pPr>
      <w:r w:rsidRPr="00AF07B3">
        <w:rPr>
          <w:rFonts w:cs="Arial"/>
          <w:szCs w:val="22"/>
          <w:lang w:val="en-US"/>
        </w:rPr>
        <w:t>In every case nanoparticle suspension in cell culture medium were freshly prepare by gently vortexing mixes and added to the cells. In uptake experiments 500 µl containing 10 or 20 µg silver /ml were used.</w:t>
      </w:r>
      <w:r w:rsidR="00674623" w:rsidRPr="00AF07B3">
        <w:rPr>
          <w:rFonts w:cs="Arial"/>
          <w:iCs/>
          <w:szCs w:val="22"/>
          <w:lang w:val="en-US"/>
        </w:rPr>
        <w:t xml:space="preserve"> Sample obtained by</w:t>
      </w:r>
      <w:r w:rsidR="00674623" w:rsidRPr="00AF07B3">
        <w:rPr>
          <w:rFonts w:cs="Arial"/>
          <w:szCs w:val="22"/>
          <w:lang w:val="en-US"/>
        </w:rPr>
        <w:t xml:space="preserve"> uptake and transport experiments were stored by </w:t>
      </w:r>
      <w:r w:rsidR="00674623" w:rsidRPr="00AF07B3">
        <w:rPr>
          <w:rFonts w:cs="Arial"/>
          <w:szCs w:val="22"/>
          <w:lang w:val="en-US"/>
        </w:rPr>
        <w:br/>
        <w:t>-80°C.</w:t>
      </w:r>
    </w:p>
    <w:p w:rsidR="002D5A1B" w:rsidRPr="00AF07B3" w:rsidRDefault="002D5A1B" w:rsidP="002D5A1B">
      <w:pPr>
        <w:autoSpaceDE w:val="0"/>
        <w:autoSpaceDN w:val="0"/>
        <w:adjustRightInd w:val="0"/>
        <w:jc w:val="both"/>
        <w:rPr>
          <w:rFonts w:cs="Arial"/>
          <w:szCs w:val="22"/>
          <w:lang w:val="en-US"/>
        </w:rPr>
      </w:pPr>
    </w:p>
    <w:p w:rsidR="00AF07B3" w:rsidRPr="00AF07B3" w:rsidRDefault="00AF07B3" w:rsidP="002D5A1B">
      <w:pPr>
        <w:autoSpaceDE w:val="0"/>
        <w:autoSpaceDN w:val="0"/>
        <w:adjustRightInd w:val="0"/>
        <w:jc w:val="both"/>
        <w:rPr>
          <w:rFonts w:cs="Arial"/>
          <w:szCs w:val="22"/>
          <w:lang w:val="en-US"/>
        </w:rPr>
      </w:pPr>
    </w:p>
    <w:p w:rsidR="002D5A1B" w:rsidRPr="00AF07B3" w:rsidRDefault="002D5A1B" w:rsidP="002D5A1B">
      <w:pPr>
        <w:autoSpaceDE w:val="0"/>
        <w:autoSpaceDN w:val="0"/>
        <w:adjustRightInd w:val="0"/>
        <w:jc w:val="both"/>
        <w:rPr>
          <w:rFonts w:cs="Arial"/>
          <w:szCs w:val="22"/>
          <w:lang w:val="en-US"/>
        </w:rPr>
      </w:pPr>
    </w:p>
    <w:p w:rsidR="007E12FD" w:rsidRPr="00AF07B3" w:rsidRDefault="007E12FD" w:rsidP="00674623">
      <w:pPr>
        <w:spacing w:line="240" w:lineRule="auto"/>
        <w:rPr>
          <w:b/>
          <w:sz w:val="32"/>
          <w:u w:val="single"/>
          <w:lang w:val="en-US"/>
        </w:rPr>
      </w:pPr>
      <w:r w:rsidRPr="00AF07B3">
        <w:rPr>
          <w:b/>
          <w:sz w:val="32"/>
          <w:u w:val="single"/>
          <w:lang w:val="en-US"/>
        </w:rPr>
        <w:lastRenderedPageBreak/>
        <w:t>Device</w:t>
      </w:r>
      <w:r w:rsidR="00BD71D5" w:rsidRPr="00AF07B3">
        <w:rPr>
          <w:b/>
          <w:sz w:val="32"/>
          <w:u w:val="single"/>
          <w:lang w:val="en-US"/>
        </w:rPr>
        <w:t xml:space="preserve"> parameters</w:t>
      </w:r>
    </w:p>
    <w:p w:rsidR="00674623" w:rsidRPr="00AF07B3" w:rsidRDefault="00674623" w:rsidP="00674623">
      <w:pPr>
        <w:spacing w:line="240" w:lineRule="auto"/>
        <w:rPr>
          <w:lang w:val="en-US"/>
        </w:rPr>
      </w:pPr>
    </w:p>
    <w:p w:rsidR="007E12FD" w:rsidRPr="00AF07B3" w:rsidRDefault="007E12FD" w:rsidP="007E12FD">
      <w:pPr>
        <w:autoSpaceDE w:val="0"/>
        <w:autoSpaceDN w:val="0"/>
        <w:adjustRightInd w:val="0"/>
        <w:spacing w:line="240" w:lineRule="auto"/>
        <w:rPr>
          <w:rFonts w:ascii="Calibri,BoldItalic" w:hAnsi="Calibri,BoldItalic" w:cs="Calibri,BoldItalic"/>
          <w:b/>
          <w:bCs/>
          <w:iCs/>
          <w:u w:val="single"/>
          <w:lang w:val="en-US"/>
        </w:rPr>
      </w:pPr>
      <w:r w:rsidRPr="00AF07B3">
        <w:rPr>
          <w:rFonts w:ascii="Calibri,BoldItalic" w:hAnsi="Calibri,BoldItalic" w:cs="Calibri,BoldItalic"/>
          <w:b/>
          <w:bCs/>
          <w:iCs/>
          <w:u w:val="single"/>
          <w:lang w:val="en-US"/>
        </w:rPr>
        <w:t>SAXS</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SAXSess, Anton Paar,Austria</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Detector: CCD-Detector, Princeton Instruments, Trenton, USA</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 xml:space="preserve">Detector for complex </w:t>
      </w:r>
      <w:r w:rsidR="00AF07B3">
        <w:rPr>
          <w:rFonts w:cs="Times"/>
          <w:lang w:val="en-US"/>
        </w:rPr>
        <w:t>m</w:t>
      </w:r>
      <w:r w:rsidRPr="00AF07B3">
        <w:rPr>
          <w:rFonts w:cs="Times"/>
          <w:lang w:val="en-US"/>
        </w:rPr>
        <w:t>atrices: 1D Diode Array Detektor Dectris Mythen 1K, Anton Paar,</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 xml:space="preserve">Austria </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 xml:space="preserve">Voltage: 40 kV, for complex </w:t>
      </w:r>
      <w:r w:rsidR="00AF07B3">
        <w:rPr>
          <w:rFonts w:cs="Times"/>
          <w:lang w:val="en-US"/>
        </w:rPr>
        <w:t>m</w:t>
      </w:r>
      <w:r w:rsidRPr="00AF07B3">
        <w:rPr>
          <w:rFonts w:cs="Times"/>
          <w:lang w:val="en-US"/>
        </w:rPr>
        <w:t>atrices: 50 kV</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Amperage: 40 mA</w:t>
      </w:r>
    </w:p>
    <w:p w:rsidR="007E12FD" w:rsidRPr="00AF07B3" w:rsidRDefault="007E12FD" w:rsidP="007E12FD">
      <w:pPr>
        <w:autoSpaceDE w:val="0"/>
        <w:autoSpaceDN w:val="0"/>
        <w:adjustRightInd w:val="0"/>
        <w:spacing w:line="240" w:lineRule="auto"/>
        <w:rPr>
          <w:rFonts w:cs="Times"/>
          <w:lang w:val="en-US"/>
        </w:rPr>
      </w:pPr>
      <w:r w:rsidRPr="00AF07B3">
        <w:rPr>
          <w:rFonts w:cs="Times"/>
          <w:lang w:val="en-US"/>
        </w:rPr>
        <w:t>Measurements: 120 Replicates à 10 seconds</w:t>
      </w:r>
    </w:p>
    <w:p w:rsidR="007E12FD" w:rsidRPr="00AF07B3" w:rsidRDefault="007E12FD" w:rsidP="007E12FD">
      <w:pPr>
        <w:autoSpaceDE w:val="0"/>
        <w:autoSpaceDN w:val="0"/>
        <w:adjustRightInd w:val="0"/>
        <w:spacing w:line="240" w:lineRule="auto"/>
        <w:rPr>
          <w:rFonts w:cs="Times"/>
        </w:rPr>
      </w:pPr>
      <w:r w:rsidRPr="00AF07B3">
        <w:rPr>
          <w:rFonts w:cs="Times"/>
        </w:rPr>
        <w:t xml:space="preserve">Software: </w:t>
      </w:r>
      <w:r w:rsidRPr="00AF07B3">
        <w:rPr>
          <w:rFonts w:cs="Times"/>
        </w:rPr>
        <w:tab/>
        <w:t xml:space="preserve">SAXSQuant, Vers. 3.90.2743.35, Anton Paar, Austria </w:t>
      </w:r>
    </w:p>
    <w:p w:rsidR="007E12FD" w:rsidRPr="00AF07B3" w:rsidRDefault="007E12FD" w:rsidP="007E12FD">
      <w:pPr>
        <w:autoSpaceDE w:val="0"/>
        <w:autoSpaceDN w:val="0"/>
        <w:adjustRightInd w:val="0"/>
        <w:spacing w:line="240" w:lineRule="auto"/>
        <w:ind w:left="708" w:firstLine="708"/>
        <w:rPr>
          <w:rFonts w:cs="Times"/>
        </w:rPr>
      </w:pPr>
      <w:r w:rsidRPr="00AF07B3">
        <w:rPr>
          <w:rFonts w:cs="Times"/>
        </w:rPr>
        <w:t>SASFit, Vers. 3, Paul Scherrer Institut, Schwitzerland</w:t>
      </w:r>
    </w:p>
    <w:p w:rsidR="007E12FD" w:rsidRPr="00AF07B3" w:rsidRDefault="007E12FD" w:rsidP="007E12FD">
      <w:pPr>
        <w:autoSpaceDE w:val="0"/>
        <w:autoSpaceDN w:val="0"/>
        <w:adjustRightInd w:val="0"/>
        <w:spacing w:line="240" w:lineRule="auto"/>
        <w:ind w:left="708" w:firstLine="708"/>
        <w:rPr>
          <w:rFonts w:cs="Times"/>
        </w:rPr>
      </w:pPr>
    </w:p>
    <w:p w:rsidR="007E12FD" w:rsidRPr="00AF07B3" w:rsidRDefault="007E12FD" w:rsidP="009C780A">
      <w:pPr>
        <w:autoSpaceDE w:val="0"/>
        <w:autoSpaceDN w:val="0"/>
        <w:adjustRightInd w:val="0"/>
        <w:spacing w:line="240" w:lineRule="auto"/>
        <w:rPr>
          <w:rFonts w:cs="Calibri,BoldItalic"/>
          <w:b/>
          <w:bCs/>
          <w:iCs/>
          <w:color w:val="000000"/>
          <w:u w:val="single"/>
          <w:lang w:val="en-US"/>
        </w:rPr>
      </w:pPr>
      <w:r w:rsidRPr="00AF07B3">
        <w:rPr>
          <w:rFonts w:cs="Calibri,BoldItalic"/>
          <w:b/>
          <w:bCs/>
          <w:iCs/>
          <w:color w:val="000000"/>
          <w:u w:val="single"/>
          <w:lang w:val="en-US"/>
        </w:rPr>
        <w:t>Atomic Absorption Spectroscopy</w:t>
      </w:r>
    </w:p>
    <w:p w:rsidR="009C780A" w:rsidRPr="00AF07B3" w:rsidRDefault="009C780A" w:rsidP="009C780A">
      <w:pPr>
        <w:autoSpaceDE w:val="0"/>
        <w:autoSpaceDN w:val="0"/>
        <w:adjustRightInd w:val="0"/>
        <w:spacing w:line="240" w:lineRule="auto"/>
        <w:rPr>
          <w:rFonts w:cs="Calibri"/>
          <w:color w:val="000000"/>
          <w:lang w:val="en-US"/>
        </w:rPr>
      </w:pPr>
      <w:r w:rsidRPr="00AF07B3">
        <w:rPr>
          <w:rFonts w:cs="Calibri"/>
          <w:color w:val="000000"/>
          <w:lang w:val="en-US"/>
        </w:rPr>
        <w:t>AAnalyst 800, Perkin Elmer, Shelton, USA</w:t>
      </w:r>
    </w:p>
    <w:p w:rsidR="009C780A" w:rsidRPr="00AF07B3" w:rsidRDefault="007E12FD" w:rsidP="009C780A">
      <w:pPr>
        <w:autoSpaceDE w:val="0"/>
        <w:autoSpaceDN w:val="0"/>
        <w:adjustRightInd w:val="0"/>
        <w:spacing w:line="240" w:lineRule="auto"/>
        <w:rPr>
          <w:rFonts w:cs="Calibri"/>
          <w:color w:val="000000"/>
          <w:lang w:val="en-US"/>
        </w:rPr>
      </w:pPr>
      <w:r w:rsidRPr="00AF07B3">
        <w:rPr>
          <w:rFonts w:cs="Calibri"/>
          <w:color w:val="000000"/>
          <w:lang w:val="en-US"/>
        </w:rPr>
        <w:t>Wavelength</w:t>
      </w:r>
      <w:r w:rsidR="009C780A" w:rsidRPr="00AF07B3">
        <w:rPr>
          <w:rFonts w:cs="Calibri"/>
          <w:color w:val="000000"/>
          <w:lang w:val="en-US"/>
        </w:rPr>
        <w:t>: 328</w:t>
      </w:r>
      <w:r w:rsidR="00AF07B3">
        <w:rPr>
          <w:rFonts w:cs="Calibri"/>
          <w:color w:val="000000"/>
          <w:lang w:val="en-US"/>
        </w:rPr>
        <w:t>.</w:t>
      </w:r>
      <w:r w:rsidR="009C780A" w:rsidRPr="00AF07B3">
        <w:rPr>
          <w:rFonts w:cs="Calibri"/>
          <w:color w:val="000000"/>
          <w:lang w:val="en-US"/>
        </w:rPr>
        <w:t>1 nm</w:t>
      </w:r>
    </w:p>
    <w:p w:rsidR="009C780A" w:rsidRPr="00AF07B3" w:rsidRDefault="007E12FD" w:rsidP="009C780A">
      <w:pPr>
        <w:autoSpaceDE w:val="0"/>
        <w:autoSpaceDN w:val="0"/>
        <w:adjustRightInd w:val="0"/>
        <w:spacing w:line="240" w:lineRule="auto"/>
        <w:rPr>
          <w:rFonts w:cs="Calibri"/>
          <w:color w:val="000000"/>
          <w:lang w:val="en-US"/>
        </w:rPr>
      </w:pPr>
      <w:r w:rsidRPr="00AF07B3">
        <w:rPr>
          <w:rFonts w:cs="Calibri"/>
          <w:color w:val="000000"/>
          <w:lang w:val="en-US"/>
        </w:rPr>
        <w:t>Injection</w:t>
      </w:r>
      <w:r w:rsidR="00BD71D5" w:rsidRPr="00AF07B3">
        <w:rPr>
          <w:rFonts w:cs="Calibri"/>
          <w:color w:val="000000"/>
          <w:lang w:val="en-US"/>
        </w:rPr>
        <w:t xml:space="preserve"> </w:t>
      </w:r>
      <w:r w:rsidR="009C780A" w:rsidRPr="00AF07B3">
        <w:rPr>
          <w:rFonts w:cs="Calibri"/>
          <w:color w:val="000000"/>
          <w:lang w:val="en-US"/>
        </w:rPr>
        <w:t xml:space="preserve">volume: 20 </w:t>
      </w:r>
      <w:r w:rsidR="009C780A" w:rsidRPr="00AF07B3">
        <w:rPr>
          <w:rFonts w:cs="Calibri"/>
          <w:color w:val="000000"/>
        </w:rPr>
        <w:t>μ</w:t>
      </w:r>
      <w:r w:rsidR="009C780A" w:rsidRPr="00AF07B3">
        <w:rPr>
          <w:rFonts w:cs="Calibri"/>
          <w:color w:val="000000"/>
          <w:lang w:val="en-US"/>
        </w:rPr>
        <w:t>L</w:t>
      </w:r>
    </w:p>
    <w:p w:rsidR="009C780A" w:rsidRPr="00AF07B3" w:rsidRDefault="007E12FD" w:rsidP="009C780A">
      <w:pPr>
        <w:autoSpaceDE w:val="0"/>
        <w:autoSpaceDN w:val="0"/>
        <w:adjustRightInd w:val="0"/>
        <w:spacing w:line="240" w:lineRule="auto"/>
        <w:rPr>
          <w:rFonts w:cs="Calibri"/>
          <w:color w:val="000000"/>
          <w:lang w:val="en-US"/>
        </w:rPr>
      </w:pPr>
      <w:r w:rsidRPr="00AF07B3">
        <w:rPr>
          <w:rFonts w:cs="Calibri"/>
          <w:color w:val="000000"/>
          <w:lang w:val="en-US"/>
        </w:rPr>
        <w:t>Calibration</w:t>
      </w:r>
      <w:r w:rsidR="00BD71D5" w:rsidRPr="00AF07B3">
        <w:rPr>
          <w:rFonts w:cs="Calibri"/>
          <w:color w:val="000000"/>
          <w:lang w:val="en-US"/>
        </w:rPr>
        <w:t xml:space="preserve"> range</w:t>
      </w:r>
      <w:r w:rsidR="009C780A" w:rsidRPr="00AF07B3">
        <w:rPr>
          <w:rFonts w:cs="Calibri"/>
          <w:color w:val="000000"/>
          <w:lang w:val="en-US"/>
        </w:rPr>
        <w:t>: 4-40 ng/m</w:t>
      </w:r>
      <w:r w:rsidR="00BD71D5" w:rsidRPr="00AF07B3">
        <w:rPr>
          <w:rFonts w:cs="Calibri"/>
          <w:color w:val="000000"/>
          <w:lang w:val="en-US"/>
        </w:rPr>
        <w:t>l</w:t>
      </w:r>
    </w:p>
    <w:p w:rsidR="009C780A" w:rsidRPr="00AF07B3" w:rsidRDefault="009C780A" w:rsidP="009C780A">
      <w:pPr>
        <w:autoSpaceDE w:val="0"/>
        <w:autoSpaceDN w:val="0"/>
        <w:adjustRightInd w:val="0"/>
        <w:spacing w:line="240" w:lineRule="auto"/>
        <w:rPr>
          <w:rFonts w:cs="Calibri"/>
          <w:color w:val="000000"/>
        </w:rPr>
      </w:pPr>
      <w:r w:rsidRPr="00AF07B3">
        <w:rPr>
          <w:rFonts w:cs="Calibri"/>
          <w:color w:val="000000"/>
        </w:rPr>
        <w:t>Software: AAWinLab, Vers. 4.1, Perkin Elmer, Shelton, USA</w:t>
      </w:r>
    </w:p>
    <w:p w:rsidR="00160774" w:rsidRPr="00AF07B3" w:rsidRDefault="00160774" w:rsidP="009C780A">
      <w:pPr>
        <w:autoSpaceDE w:val="0"/>
        <w:autoSpaceDN w:val="0"/>
        <w:adjustRightInd w:val="0"/>
        <w:spacing w:line="240" w:lineRule="auto"/>
        <w:rPr>
          <w:rFonts w:cs="Calibri"/>
          <w:color w:val="000000"/>
        </w:rPr>
      </w:pPr>
    </w:p>
    <w:p w:rsidR="00BD71D5" w:rsidRPr="00AF07B3" w:rsidRDefault="00BD71D5" w:rsidP="009C780A">
      <w:pPr>
        <w:autoSpaceDE w:val="0"/>
        <w:autoSpaceDN w:val="0"/>
        <w:adjustRightInd w:val="0"/>
        <w:spacing w:line="240" w:lineRule="auto"/>
        <w:rPr>
          <w:rFonts w:cs="Calibri"/>
          <w:color w:val="000000"/>
        </w:rPr>
      </w:pPr>
      <w:r w:rsidRPr="00AF07B3">
        <w:rPr>
          <w:rFonts w:cs="Calibri"/>
          <w:color w:val="000000"/>
        </w:rPr>
        <w:t>Programm:</w:t>
      </w:r>
    </w:p>
    <w:tbl>
      <w:tblPr>
        <w:tblStyle w:val="Tabellenraster"/>
        <w:tblW w:w="0" w:type="auto"/>
        <w:tblLook w:val="04A0" w:firstRow="1" w:lastRow="0" w:firstColumn="1" w:lastColumn="0" w:noHBand="0" w:noVBand="1"/>
      </w:tblPr>
      <w:tblGrid>
        <w:gridCol w:w="817"/>
        <w:gridCol w:w="1442"/>
        <w:gridCol w:w="1251"/>
        <w:gridCol w:w="1134"/>
        <w:gridCol w:w="2053"/>
        <w:gridCol w:w="1358"/>
        <w:gridCol w:w="1233"/>
      </w:tblGrid>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Step</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Temperature [°C]</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Ramp time</w:t>
            </w:r>
          </w:p>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[s]</w:t>
            </w:r>
          </w:p>
        </w:tc>
        <w:tc>
          <w:tcPr>
            <w:tcW w:w="1134" w:type="dxa"/>
          </w:tcPr>
          <w:p w:rsidR="000601ED" w:rsidRPr="00AF07B3" w:rsidRDefault="000601ED" w:rsidP="00F26960">
            <w:pPr>
              <w:autoSpaceDE w:val="0"/>
              <w:autoSpaceDN w:val="0"/>
              <w:adjustRightInd w:val="0"/>
              <w:spacing w:line="240" w:lineRule="auto"/>
              <w:rPr>
                <w:rFonts w:cs="Calibri"/>
                <w:color w:val="000000"/>
              </w:rPr>
            </w:pPr>
            <w:r w:rsidRPr="00AF07B3">
              <w:rPr>
                <w:rFonts w:cs="Calibri"/>
                <w:color w:val="000000"/>
              </w:rPr>
              <w:t>Hold time</w:t>
            </w:r>
          </w:p>
          <w:p w:rsidR="000601ED" w:rsidRPr="00AF07B3" w:rsidRDefault="000601ED" w:rsidP="00F26960">
            <w:pPr>
              <w:autoSpaceDE w:val="0"/>
              <w:autoSpaceDN w:val="0"/>
              <w:adjustRightInd w:val="0"/>
              <w:spacing w:line="240" w:lineRule="auto"/>
              <w:rPr>
                <w:rFonts w:cs="Calibri"/>
                <w:color w:val="000000"/>
              </w:rPr>
            </w:pPr>
            <w:r w:rsidRPr="00AF07B3">
              <w:rPr>
                <w:rFonts w:cs="Calibri"/>
                <w:color w:val="000000"/>
              </w:rPr>
              <w:t>[s]</w:t>
            </w:r>
          </w:p>
        </w:tc>
        <w:tc>
          <w:tcPr>
            <w:tcW w:w="2053" w:type="dxa"/>
          </w:tcPr>
          <w:p w:rsidR="000601ED" w:rsidRPr="00AF07B3" w:rsidRDefault="000601ED" w:rsidP="00D702BB">
            <w:pPr>
              <w:autoSpaceDE w:val="0"/>
              <w:autoSpaceDN w:val="0"/>
              <w:adjustRightInd w:val="0"/>
              <w:spacing w:line="240" w:lineRule="auto"/>
              <w:rPr>
                <w:rFonts w:cs="Calibri"/>
                <w:color w:val="000000"/>
              </w:rPr>
            </w:pPr>
            <w:r w:rsidRPr="00AF07B3">
              <w:rPr>
                <w:rFonts w:cs="Calibri"/>
                <w:color w:val="000000"/>
              </w:rPr>
              <w:t>Internal flow</w:t>
            </w:r>
            <w:r w:rsidRPr="00AF07B3">
              <w:t xml:space="preserve"> [</w:t>
            </w:r>
            <w:r w:rsidRPr="00AF07B3">
              <w:rPr>
                <w:rFonts w:cs="Calibri"/>
                <w:color w:val="000000"/>
              </w:rPr>
              <w:t>m</w:t>
            </w:r>
            <w:r w:rsidRPr="00AF07B3">
              <w:rPr>
                <w:rFonts w:cs="Calibri"/>
                <w:color w:val="000000"/>
                <w:vertAlign w:val="superscript"/>
              </w:rPr>
              <w:t>3</w:t>
            </w:r>
            <w:r w:rsidRPr="00AF07B3">
              <w:rPr>
                <w:rFonts w:cs="Calibri"/>
                <w:color w:val="000000"/>
              </w:rPr>
              <w:t>·</w:t>
            </w:r>
            <w:r w:rsidR="00D702BB">
              <w:rPr>
                <w:rFonts w:cs="Calibri"/>
                <w:color w:val="000000"/>
              </w:rPr>
              <w:t>min</w:t>
            </w:r>
            <w:r w:rsidRPr="00AF07B3">
              <w:rPr>
                <w:rFonts w:cs="Calibri"/>
                <w:color w:val="000000"/>
                <w:vertAlign w:val="superscript"/>
              </w:rPr>
              <w:t>−1</w:t>
            </w:r>
            <w:r w:rsidRPr="00AF07B3">
              <w:rPr>
                <w:rFonts w:cs="Calibri"/>
                <w:color w:val="000000"/>
              </w:rPr>
              <w:t>]</w:t>
            </w: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Gas type</w:t>
            </w:r>
          </w:p>
        </w:tc>
        <w:tc>
          <w:tcPr>
            <w:tcW w:w="123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Read step</w:t>
            </w:r>
          </w:p>
        </w:tc>
      </w:tr>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110</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w:t>
            </w:r>
          </w:p>
        </w:tc>
        <w:tc>
          <w:tcPr>
            <w:tcW w:w="1134"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10</w:t>
            </w:r>
          </w:p>
        </w:tc>
        <w:tc>
          <w:tcPr>
            <w:tcW w:w="205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250</w:t>
            </w: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Argon</w:t>
            </w:r>
          </w:p>
        </w:tc>
        <w:tc>
          <w:tcPr>
            <w:tcW w:w="1233" w:type="dxa"/>
          </w:tcPr>
          <w:p w:rsidR="000601ED" w:rsidRPr="00AF07B3" w:rsidRDefault="000601ED" w:rsidP="009C780A">
            <w:pPr>
              <w:autoSpaceDE w:val="0"/>
              <w:autoSpaceDN w:val="0"/>
              <w:adjustRightInd w:val="0"/>
              <w:spacing w:line="240" w:lineRule="auto"/>
              <w:rPr>
                <w:rFonts w:cs="Calibri"/>
                <w:color w:val="000000"/>
              </w:rPr>
            </w:pPr>
          </w:p>
        </w:tc>
      </w:tr>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130</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45</w:t>
            </w:r>
          </w:p>
        </w:tc>
        <w:tc>
          <w:tcPr>
            <w:tcW w:w="1134" w:type="dxa"/>
          </w:tcPr>
          <w:p w:rsidR="000601ED" w:rsidRPr="00AF07B3" w:rsidRDefault="000601ED" w:rsidP="00674623">
            <w:pPr>
              <w:autoSpaceDE w:val="0"/>
              <w:autoSpaceDN w:val="0"/>
              <w:adjustRightInd w:val="0"/>
              <w:spacing w:line="240" w:lineRule="auto"/>
              <w:rPr>
                <w:rFonts w:cs="Calibri"/>
                <w:color w:val="000000"/>
              </w:rPr>
            </w:pPr>
            <w:r w:rsidRPr="00AF07B3">
              <w:rPr>
                <w:rFonts w:cs="Calibri"/>
                <w:color w:val="000000"/>
              </w:rPr>
              <w:t>30</w:t>
            </w:r>
          </w:p>
        </w:tc>
        <w:tc>
          <w:tcPr>
            <w:tcW w:w="205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250</w:t>
            </w: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Argon</w:t>
            </w:r>
          </w:p>
        </w:tc>
        <w:tc>
          <w:tcPr>
            <w:tcW w:w="1233" w:type="dxa"/>
          </w:tcPr>
          <w:p w:rsidR="000601ED" w:rsidRPr="00AF07B3" w:rsidRDefault="000601ED" w:rsidP="009C780A">
            <w:pPr>
              <w:autoSpaceDE w:val="0"/>
              <w:autoSpaceDN w:val="0"/>
              <w:adjustRightInd w:val="0"/>
              <w:spacing w:line="240" w:lineRule="auto"/>
              <w:rPr>
                <w:rFonts w:cs="Calibri"/>
                <w:color w:val="000000"/>
              </w:rPr>
            </w:pPr>
          </w:p>
        </w:tc>
      </w:tr>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3</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800</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10</w:t>
            </w:r>
          </w:p>
        </w:tc>
        <w:tc>
          <w:tcPr>
            <w:tcW w:w="1134"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20</w:t>
            </w:r>
          </w:p>
        </w:tc>
        <w:tc>
          <w:tcPr>
            <w:tcW w:w="205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250</w:t>
            </w: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Argon</w:t>
            </w:r>
          </w:p>
        </w:tc>
        <w:tc>
          <w:tcPr>
            <w:tcW w:w="1233" w:type="dxa"/>
          </w:tcPr>
          <w:p w:rsidR="000601ED" w:rsidRPr="00AF07B3" w:rsidRDefault="000601ED" w:rsidP="009C780A">
            <w:pPr>
              <w:autoSpaceDE w:val="0"/>
              <w:autoSpaceDN w:val="0"/>
              <w:adjustRightInd w:val="0"/>
              <w:spacing w:line="240" w:lineRule="auto"/>
              <w:rPr>
                <w:rFonts w:cs="Calibri"/>
                <w:color w:val="000000"/>
              </w:rPr>
            </w:pPr>
          </w:p>
        </w:tc>
      </w:tr>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4</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1700</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0</w:t>
            </w:r>
          </w:p>
        </w:tc>
        <w:tc>
          <w:tcPr>
            <w:tcW w:w="1134"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w:t>
            </w:r>
          </w:p>
        </w:tc>
        <w:tc>
          <w:tcPr>
            <w:tcW w:w="2053" w:type="dxa"/>
          </w:tcPr>
          <w:p w:rsidR="000601ED" w:rsidRPr="00AF07B3" w:rsidRDefault="000601ED" w:rsidP="009C780A">
            <w:pPr>
              <w:autoSpaceDE w:val="0"/>
              <w:autoSpaceDN w:val="0"/>
              <w:adjustRightInd w:val="0"/>
              <w:spacing w:line="240" w:lineRule="auto"/>
              <w:rPr>
                <w:rFonts w:cs="Calibri"/>
                <w:color w:val="000000"/>
              </w:rPr>
            </w:pP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Argon</w:t>
            </w:r>
          </w:p>
        </w:tc>
        <w:tc>
          <w:tcPr>
            <w:tcW w:w="123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x</w:t>
            </w:r>
          </w:p>
        </w:tc>
      </w:tr>
      <w:tr w:rsidR="000601ED" w:rsidRPr="00AF07B3" w:rsidTr="000601ED">
        <w:tc>
          <w:tcPr>
            <w:tcW w:w="817"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5</w:t>
            </w:r>
          </w:p>
        </w:tc>
        <w:tc>
          <w:tcPr>
            <w:tcW w:w="1442"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2450</w:t>
            </w:r>
          </w:p>
        </w:tc>
        <w:tc>
          <w:tcPr>
            <w:tcW w:w="1251"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1</w:t>
            </w:r>
          </w:p>
        </w:tc>
        <w:tc>
          <w:tcPr>
            <w:tcW w:w="1134"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3</w:t>
            </w:r>
          </w:p>
        </w:tc>
        <w:tc>
          <w:tcPr>
            <w:tcW w:w="2053"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250</w:t>
            </w:r>
          </w:p>
        </w:tc>
        <w:tc>
          <w:tcPr>
            <w:tcW w:w="1358" w:type="dxa"/>
          </w:tcPr>
          <w:p w:rsidR="000601ED" w:rsidRPr="00AF07B3" w:rsidRDefault="000601ED" w:rsidP="009C780A">
            <w:pPr>
              <w:autoSpaceDE w:val="0"/>
              <w:autoSpaceDN w:val="0"/>
              <w:adjustRightInd w:val="0"/>
              <w:spacing w:line="240" w:lineRule="auto"/>
              <w:rPr>
                <w:rFonts w:cs="Calibri"/>
                <w:color w:val="000000"/>
              </w:rPr>
            </w:pPr>
            <w:r w:rsidRPr="00AF07B3">
              <w:rPr>
                <w:rFonts w:cs="Calibri"/>
                <w:color w:val="000000"/>
              </w:rPr>
              <w:t>Argon</w:t>
            </w:r>
          </w:p>
        </w:tc>
        <w:tc>
          <w:tcPr>
            <w:tcW w:w="1233" w:type="dxa"/>
          </w:tcPr>
          <w:p w:rsidR="000601ED" w:rsidRPr="00AF07B3" w:rsidRDefault="000601ED" w:rsidP="009C780A">
            <w:pPr>
              <w:autoSpaceDE w:val="0"/>
              <w:autoSpaceDN w:val="0"/>
              <w:adjustRightInd w:val="0"/>
              <w:spacing w:line="240" w:lineRule="auto"/>
              <w:rPr>
                <w:rFonts w:cs="Calibri"/>
                <w:color w:val="000000"/>
              </w:rPr>
            </w:pPr>
          </w:p>
        </w:tc>
      </w:tr>
    </w:tbl>
    <w:p w:rsidR="00BD71D5" w:rsidRPr="00AF07B3" w:rsidRDefault="00BD71D5" w:rsidP="000601ED">
      <w:pPr>
        <w:autoSpaceDE w:val="0"/>
        <w:autoSpaceDN w:val="0"/>
        <w:adjustRightInd w:val="0"/>
        <w:spacing w:line="240" w:lineRule="auto"/>
        <w:rPr>
          <w:rFonts w:cs="Calibri"/>
          <w:color w:val="000000"/>
        </w:rPr>
      </w:pPr>
    </w:p>
    <w:p w:rsidR="007E12FD" w:rsidRPr="00AF07B3" w:rsidRDefault="007E12FD" w:rsidP="007E12FD">
      <w:pPr>
        <w:spacing w:line="240" w:lineRule="auto"/>
        <w:rPr>
          <w:b/>
          <w:u w:val="single"/>
          <w:lang w:val="en-US"/>
        </w:rPr>
      </w:pPr>
      <w:r w:rsidRPr="00AF07B3">
        <w:rPr>
          <w:b/>
          <w:u w:val="single"/>
          <w:lang w:val="en-US"/>
        </w:rPr>
        <w:t xml:space="preserve">Ultrasonic </w:t>
      </w:r>
      <w:r w:rsidR="005E129C" w:rsidRPr="00AF07B3">
        <w:rPr>
          <w:b/>
          <w:u w:val="single"/>
          <w:lang w:val="en-US"/>
        </w:rPr>
        <w:t>procedure</w:t>
      </w:r>
    </w:p>
    <w:p w:rsidR="007E12FD" w:rsidRPr="00AF07B3" w:rsidRDefault="00BD71D5" w:rsidP="007E12FD">
      <w:pPr>
        <w:spacing w:line="240" w:lineRule="auto"/>
        <w:rPr>
          <w:lang w:val="en-US"/>
        </w:rPr>
      </w:pPr>
      <w:r w:rsidRPr="00AF07B3">
        <w:rPr>
          <w:lang w:val="en-US"/>
        </w:rPr>
        <w:t>Bandelin Sonorex RK 100</w:t>
      </w:r>
      <w:r w:rsidR="007E12FD" w:rsidRPr="00AF07B3">
        <w:rPr>
          <w:lang w:val="en-US"/>
        </w:rPr>
        <w:t>, Bandelin, Germany</w:t>
      </w:r>
    </w:p>
    <w:p w:rsidR="007E12FD" w:rsidRPr="00AF07B3" w:rsidRDefault="007E12FD" w:rsidP="007E12FD">
      <w:pPr>
        <w:spacing w:line="240" w:lineRule="auto"/>
        <w:rPr>
          <w:rStyle w:val="tablecell"/>
          <w:lang w:val="en-US"/>
        </w:rPr>
      </w:pPr>
      <w:r w:rsidRPr="00AF07B3">
        <w:rPr>
          <w:rStyle w:val="tablecell"/>
          <w:lang w:val="en-US"/>
        </w:rPr>
        <w:t>Operating frequency</w:t>
      </w:r>
      <w:r w:rsidR="00BD71D5" w:rsidRPr="00AF07B3">
        <w:rPr>
          <w:rStyle w:val="tablecell"/>
          <w:lang w:val="en-US"/>
        </w:rPr>
        <w:t xml:space="preserve">: 35 kHz </w:t>
      </w:r>
    </w:p>
    <w:p w:rsidR="00BD71D5" w:rsidRPr="00AF07B3" w:rsidRDefault="007E12FD" w:rsidP="007E12FD">
      <w:pPr>
        <w:spacing w:line="240" w:lineRule="auto"/>
        <w:rPr>
          <w:rStyle w:val="tablecell"/>
          <w:lang w:val="en-US"/>
        </w:rPr>
      </w:pPr>
      <w:r w:rsidRPr="00AF07B3">
        <w:rPr>
          <w:rStyle w:val="tablecell"/>
          <w:lang w:val="en-US"/>
        </w:rPr>
        <w:t>Performance</w:t>
      </w:r>
      <w:r w:rsidR="00BD71D5" w:rsidRPr="00AF07B3">
        <w:rPr>
          <w:rStyle w:val="tablecell"/>
          <w:lang w:val="en-US"/>
        </w:rPr>
        <w:t xml:space="preserve">: </w:t>
      </w:r>
      <w:r w:rsidR="00160774" w:rsidRPr="00AF07B3">
        <w:rPr>
          <w:rStyle w:val="tablecell"/>
          <w:lang w:val="en-US"/>
        </w:rPr>
        <w:t>360 W</w:t>
      </w:r>
      <w:bookmarkStart w:id="0" w:name="_GoBack"/>
      <w:bookmarkEnd w:id="0"/>
    </w:p>
    <w:p w:rsidR="00871F6E" w:rsidRPr="00AF07B3" w:rsidRDefault="00871F6E" w:rsidP="007E12FD">
      <w:pPr>
        <w:spacing w:line="240" w:lineRule="auto"/>
        <w:rPr>
          <w:rStyle w:val="tablecell"/>
          <w:lang w:val="en-US"/>
        </w:rPr>
      </w:pPr>
      <w:r w:rsidRPr="00AF07B3">
        <w:rPr>
          <w:rStyle w:val="tablecell"/>
          <w:lang w:val="en-US"/>
        </w:rPr>
        <w:t xml:space="preserve">Sample treatment: 3 minutes </w:t>
      </w:r>
      <w:r w:rsidR="005E129C" w:rsidRPr="00AF07B3">
        <w:rPr>
          <w:rStyle w:val="tablecell"/>
          <w:lang w:val="en-US"/>
        </w:rPr>
        <w:t>+ strong vortexing</w:t>
      </w:r>
    </w:p>
    <w:p w:rsidR="00160774" w:rsidRPr="00AF07B3" w:rsidRDefault="00160774" w:rsidP="007E12FD">
      <w:pPr>
        <w:spacing w:line="240" w:lineRule="auto"/>
        <w:rPr>
          <w:rStyle w:val="tablecell"/>
          <w:lang w:val="en-US"/>
        </w:rPr>
      </w:pPr>
    </w:p>
    <w:p w:rsidR="00160774" w:rsidRPr="00AF07B3" w:rsidRDefault="00160774" w:rsidP="00160774">
      <w:pPr>
        <w:autoSpaceDE w:val="0"/>
        <w:autoSpaceDN w:val="0"/>
        <w:adjustRightInd w:val="0"/>
        <w:spacing w:line="240" w:lineRule="auto"/>
        <w:rPr>
          <w:rStyle w:val="tablecell"/>
          <w:rFonts w:cs="Times"/>
          <w:b/>
          <w:szCs w:val="22"/>
          <w:u w:val="single"/>
          <w:lang w:val="en-US"/>
        </w:rPr>
      </w:pPr>
      <w:r w:rsidRPr="00AF07B3">
        <w:rPr>
          <w:rStyle w:val="tablecell"/>
          <w:rFonts w:cs="Times"/>
          <w:b/>
          <w:szCs w:val="22"/>
          <w:u w:val="single"/>
          <w:lang w:val="en-US"/>
        </w:rPr>
        <w:t>Microwave Digestion Systems</w:t>
      </w:r>
    </w:p>
    <w:p w:rsidR="00BD71D5" w:rsidRPr="00AF07B3" w:rsidRDefault="00BD71D5" w:rsidP="00160774">
      <w:pPr>
        <w:autoSpaceDE w:val="0"/>
        <w:autoSpaceDN w:val="0"/>
        <w:adjustRightInd w:val="0"/>
        <w:spacing w:line="240" w:lineRule="auto"/>
        <w:rPr>
          <w:rFonts w:cs="Times"/>
          <w:szCs w:val="22"/>
          <w:lang w:val="en-US"/>
        </w:rPr>
      </w:pPr>
      <w:r w:rsidRPr="00AF07B3">
        <w:rPr>
          <w:rFonts w:cs="Times"/>
          <w:szCs w:val="22"/>
          <w:lang w:val="en-US"/>
        </w:rPr>
        <w:t>MLS Ethos-1600</w:t>
      </w:r>
      <w:r w:rsidR="00160774" w:rsidRPr="00AF07B3">
        <w:rPr>
          <w:rFonts w:cs="Times"/>
          <w:szCs w:val="22"/>
          <w:lang w:val="en-US"/>
        </w:rPr>
        <w:t>; MLS Germany</w:t>
      </w:r>
    </w:p>
    <w:p w:rsidR="00BD71D5" w:rsidRPr="00AF07B3" w:rsidRDefault="00160774" w:rsidP="00160774">
      <w:pPr>
        <w:autoSpaceDE w:val="0"/>
        <w:autoSpaceDN w:val="0"/>
        <w:adjustRightInd w:val="0"/>
        <w:spacing w:line="240" w:lineRule="auto"/>
        <w:rPr>
          <w:rFonts w:cs="Times"/>
          <w:szCs w:val="22"/>
          <w:lang w:val="en-US"/>
        </w:rPr>
      </w:pPr>
      <w:r w:rsidRPr="00AF07B3">
        <w:rPr>
          <w:rFonts w:cs="Times"/>
          <w:szCs w:val="22"/>
          <w:lang w:val="en-US"/>
        </w:rPr>
        <w:t>Rotor:</w:t>
      </w:r>
      <w:r w:rsidR="00BD71D5" w:rsidRPr="00AF07B3">
        <w:rPr>
          <w:rFonts w:cs="Times"/>
          <w:szCs w:val="22"/>
          <w:lang w:val="en-US"/>
        </w:rPr>
        <w:t xml:space="preserve"> 1000/10 Rotor</w:t>
      </w:r>
    </w:p>
    <w:p w:rsidR="00160774" w:rsidRPr="00AF07B3" w:rsidRDefault="00160774" w:rsidP="00160774">
      <w:pPr>
        <w:autoSpaceDE w:val="0"/>
        <w:autoSpaceDN w:val="0"/>
        <w:adjustRightInd w:val="0"/>
        <w:spacing w:line="240" w:lineRule="auto"/>
        <w:rPr>
          <w:rFonts w:cs="Times"/>
          <w:szCs w:val="22"/>
          <w:lang w:val="en-US"/>
        </w:rPr>
      </w:pPr>
      <w:r w:rsidRPr="00AF07B3">
        <w:rPr>
          <w:rFonts w:cs="Times"/>
          <w:szCs w:val="22"/>
          <w:lang w:val="en-US"/>
        </w:rPr>
        <w:t xml:space="preserve">Temperature control: </w:t>
      </w:r>
      <w:r w:rsidR="00BD71D5" w:rsidRPr="00AF07B3">
        <w:rPr>
          <w:rFonts w:cs="Times"/>
          <w:szCs w:val="22"/>
          <w:lang w:val="en-US"/>
        </w:rPr>
        <w:t xml:space="preserve">ATC-CE 400 </w:t>
      </w:r>
    </w:p>
    <w:p w:rsidR="00160774" w:rsidRPr="00AF07B3" w:rsidRDefault="00BD71D5" w:rsidP="00160774">
      <w:pPr>
        <w:autoSpaceDE w:val="0"/>
        <w:autoSpaceDN w:val="0"/>
        <w:adjustRightInd w:val="0"/>
        <w:spacing w:line="240" w:lineRule="auto"/>
        <w:rPr>
          <w:rFonts w:cs="Times"/>
          <w:szCs w:val="22"/>
          <w:lang w:val="en-US"/>
        </w:rPr>
      </w:pPr>
      <w:r w:rsidRPr="00AF07B3">
        <w:rPr>
          <w:rFonts w:cs="Times"/>
          <w:szCs w:val="22"/>
          <w:lang w:val="en-US"/>
        </w:rPr>
        <w:t>Software</w:t>
      </w:r>
      <w:r w:rsidR="00160774" w:rsidRPr="00AF07B3">
        <w:rPr>
          <w:rFonts w:cs="Times"/>
          <w:szCs w:val="22"/>
          <w:lang w:val="en-US"/>
        </w:rPr>
        <w:t>:</w:t>
      </w:r>
      <w:r w:rsidRPr="00AF07B3">
        <w:rPr>
          <w:rFonts w:cs="Times"/>
          <w:szCs w:val="22"/>
          <w:lang w:val="en-US"/>
        </w:rPr>
        <w:t xml:space="preserve"> easyCONTROL 1640/T640</w:t>
      </w:r>
    </w:p>
    <w:p w:rsidR="00674623" w:rsidRPr="00AF07B3" w:rsidRDefault="00674623" w:rsidP="00160774">
      <w:pPr>
        <w:autoSpaceDE w:val="0"/>
        <w:autoSpaceDN w:val="0"/>
        <w:adjustRightInd w:val="0"/>
        <w:spacing w:line="240" w:lineRule="auto"/>
        <w:rPr>
          <w:rFonts w:cs="Times"/>
          <w:szCs w:val="22"/>
          <w:lang w:val="en-US"/>
        </w:rPr>
      </w:pPr>
    </w:p>
    <w:p w:rsidR="000601ED" w:rsidRPr="00AF07B3" w:rsidRDefault="00160774" w:rsidP="00160774">
      <w:pPr>
        <w:autoSpaceDE w:val="0"/>
        <w:autoSpaceDN w:val="0"/>
        <w:adjustRightInd w:val="0"/>
        <w:spacing w:line="240" w:lineRule="auto"/>
        <w:rPr>
          <w:rFonts w:cs="Times"/>
          <w:szCs w:val="22"/>
          <w:lang w:val="en-US"/>
        </w:rPr>
      </w:pPr>
      <w:r w:rsidRPr="00AF07B3">
        <w:rPr>
          <w:rFonts w:cs="Times"/>
          <w:szCs w:val="22"/>
          <w:lang w:val="en-US"/>
        </w:rPr>
        <w:t>Program:</w:t>
      </w:r>
    </w:p>
    <w:tbl>
      <w:tblPr>
        <w:tblStyle w:val="Tabellenraster"/>
        <w:tblW w:w="0" w:type="auto"/>
        <w:tblLook w:val="04A0" w:firstRow="1" w:lastRow="0" w:firstColumn="1" w:lastColumn="0" w:noHBand="0" w:noVBand="1"/>
      </w:tblPr>
      <w:tblGrid>
        <w:gridCol w:w="1878"/>
        <w:gridCol w:w="1878"/>
        <w:gridCol w:w="1878"/>
        <w:gridCol w:w="1878"/>
      </w:tblGrid>
      <w:tr w:rsidR="00160774" w:rsidRPr="00AF07B3" w:rsidTr="00160774">
        <w:trPr>
          <w:trHeight w:val="346"/>
        </w:trPr>
        <w:tc>
          <w:tcPr>
            <w:tcW w:w="1878" w:type="dxa"/>
          </w:tcPr>
          <w:p w:rsidR="00160774" w:rsidRPr="00AF07B3" w:rsidRDefault="00160774" w:rsidP="007E12FD">
            <w:pPr>
              <w:spacing w:line="240" w:lineRule="auto"/>
              <w:rPr>
                <w:rFonts w:cs="Times"/>
                <w:b/>
                <w:lang w:val="en-US"/>
              </w:rPr>
            </w:pPr>
            <w:r w:rsidRPr="00AF07B3">
              <w:rPr>
                <w:rFonts w:cs="Times"/>
                <w:b/>
                <w:lang w:val="en-US"/>
              </w:rPr>
              <w:t>Step</w:t>
            </w:r>
          </w:p>
        </w:tc>
        <w:tc>
          <w:tcPr>
            <w:tcW w:w="1878" w:type="dxa"/>
          </w:tcPr>
          <w:p w:rsidR="00160774" w:rsidRPr="00AF07B3" w:rsidRDefault="00160774" w:rsidP="007E12FD">
            <w:pPr>
              <w:spacing w:line="240" w:lineRule="auto"/>
              <w:rPr>
                <w:rFonts w:cs="Times"/>
                <w:b/>
                <w:lang w:val="en-US"/>
              </w:rPr>
            </w:pPr>
            <w:r w:rsidRPr="00AF07B3">
              <w:rPr>
                <w:rFonts w:cs="Times"/>
                <w:b/>
                <w:lang w:val="en-US"/>
              </w:rPr>
              <w:t>Energy [W]</w:t>
            </w:r>
          </w:p>
        </w:tc>
        <w:tc>
          <w:tcPr>
            <w:tcW w:w="1878" w:type="dxa"/>
          </w:tcPr>
          <w:p w:rsidR="00160774" w:rsidRPr="00AF07B3" w:rsidRDefault="00160774" w:rsidP="007E12FD">
            <w:pPr>
              <w:autoSpaceDE w:val="0"/>
              <w:autoSpaceDN w:val="0"/>
              <w:adjustRightInd w:val="0"/>
              <w:spacing w:line="240" w:lineRule="auto"/>
              <w:rPr>
                <w:rFonts w:cs="Times"/>
                <w:b/>
                <w:lang w:val="en-US"/>
              </w:rPr>
            </w:pPr>
            <w:r w:rsidRPr="00AF07B3">
              <w:rPr>
                <w:rFonts w:cs="Times"/>
                <w:b/>
                <w:lang w:val="en-US"/>
              </w:rPr>
              <w:t xml:space="preserve">Temperature </w:t>
            </w:r>
            <w:r w:rsidRPr="00AF07B3">
              <w:rPr>
                <w:rFonts w:cs="Times"/>
                <w:b/>
                <w:bCs/>
                <w:sz w:val="20"/>
                <w:szCs w:val="20"/>
              </w:rPr>
              <w:t>[°C]</w:t>
            </w:r>
          </w:p>
        </w:tc>
        <w:tc>
          <w:tcPr>
            <w:tcW w:w="1878" w:type="dxa"/>
          </w:tcPr>
          <w:p w:rsidR="00160774" w:rsidRPr="00AF07B3" w:rsidRDefault="00160774" w:rsidP="007E12FD">
            <w:pPr>
              <w:autoSpaceDE w:val="0"/>
              <w:autoSpaceDN w:val="0"/>
              <w:adjustRightInd w:val="0"/>
              <w:spacing w:line="240" w:lineRule="auto"/>
              <w:rPr>
                <w:rFonts w:cs="Times"/>
                <w:b/>
                <w:lang w:val="en-US"/>
              </w:rPr>
            </w:pPr>
            <w:r w:rsidRPr="00AF07B3">
              <w:rPr>
                <w:rFonts w:cs="Times"/>
                <w:b/>
                <w:lang w:val="en-US"/>
              </w:rPr>
              <w:t xml:space="preserve">Time </w:t>
            </w:r>
            <w:r w:rsidRPr="00AF07B3">
              <w:rPr>
                <w:rFonts w:cs="Times"/>
                <w:b/>
                <w:bCs/>
                <w:sz w:val="20"/>
                <w:szCs w:val="20"/>
              </w:rPr>
              <w:t>[min]</w:t>
            </w:r>
          </w:p>
        </w:tc>
      </w:tr>
      <w:tr w:rsidR="00160774" w:rsidRPr="00AF07B3" w:rsidTr="007E12FD">
        <w:trPr>
          <w:trHeight w:val="200"/>
        </w:trPr>
        <w:tc>
          <w:tcPr>
            <w:tcW w:w="1878" w:type="dxa"/>
          </w:tcPr>
          <w:p w:rsidR="00160774" w:rsidRPr="00AF07B3" w:rsidRDefault="00160774" w:rsidP="007E12FD">
            <w:pPr>
              <w:spacing w:line="240" w:lineRule="auto"/>
              <w:rPr>
                <w:rFonts w:cs="Times"/>
                <w:lang w:val="en-US"/>
              </w:rPr>
            </w:pPr>
            <w:r w:rsidRPr="00AF07B3">
              <w:rPr>
                <w:rFonts w:cs="Times"/>
                <w:lang w:val="en-US"/>
              </w:rPr>
              <w:t>1</w:t>
            </w:r>
          </w:p>
        </w:tc>
        <w:tc>
          <w:tcPr>
            <w:tcW w:w="1878" w:type="dxa"/>
          </w:tcPr>
          <w:p w:rsidR="00160774" w:rsidRPr="00AF07B3" w:rsidRDefault="00160774" w:rsidP="007E12FD">
            <w:pPr>
              <w:spacing w:line="240" w:lineRule="auto"/>
              <w:rPr>
                <w:rFonts w:cs="Times"/>
                <w:lang w:val="en-US"/>
              </w:rPr>
            </w:pPr>
            <w:r w:rsidRPr="00AF07B3">
              <w:rPr>
                <w:rFonts w:cs="Times"/>
                <w:lang w:val="en-US"/>
              </w:rPr>
              <w:t>700</w:t>
            </w:r>
          </w:p>
        </w:tc>
        <w:tc>
          <w:tcPr>
            <w:tcW w:w="1878" w:type="dxa"/>
          </w:tcPr>
          <w:p w:rsidR="00160774" w:rsidRPr="00AF07B3" w:rsidRDefault="00160774" w:rsidP="007E12FD">
            <w:pPr>
              <w:spacing w:line="240" w:lineRule="auto"/>
              <w:rPr>
                <w:rFonts w:cs="Times"/>
                <w:lang w:val="en-US"/>
              </w:rPr>
            </w:pPr>
            <w:r w:rsidRPr="00AF07B3">
              <w:rPr>
                <w:rFonts w:cs="Times"/>
                <w:lang w:val="en-US"/>
              </w:rPr>
              <w:t>85</w:t>
            </w:r>
          </w:p>
        </w:tc>
        <w:tc>
          <w:tcPr>
            <w:tcW w:w="1878" w:type="dxa"/>
          </w:tcPr>
          <w:p w:rsidR="00160774" w:rsidRPr="00AF07B3" w:rsidRDefault="00160774" w:rsidP="007E12FD">
            <w:pPr>
              <w:spacing w:line="240" w:lineRule="auto"/>
              <w:rPr>
                <w:rFonts w:cs="Times"/>
                <w:lang w:val="en-US"/>
              </w:rPr>
            </w:pPr>
            <w:r w:rsidRPr="00AF07B3">
              <w:rPr>
                <w:rFonts w:cs="Times"/>
                <w:lang w:val="en-US"/>
              </w:rPr>
              <w:t>2</w:t>
            </w:r>
          </w:p>
        </w:tc>
      </w:tr>
      <w:tr w:rsidR="00160774" w:rsidRPr="00AF07B3" w:rsidTr="007E12FD">
        <w:trPr>
          <w:trHeight w:val="278"/>
        </w:trPr>
        <w:tc>
          <w:tcPr>
            <w:tcW w:w="1878" w:type="dxa"/>
          </w:tcPr>
          <w:p w:rsidR="00160774" w:rsidRPr="00AF07B3" w:rsidRDefault="00160774" w:rsidP="007E12FD">
            <w:pPr>
              <w:spacing w:line="240" w:lineRule="auto"/>
              <w:rPr>
                <w:rFonts w:cs="Times"/>
                <w:lang w:val="en-US"/>
              </w:rPr>
            </w:pPr>
            <w:r w:rsidRPr="00AF07B3">
              <w:rPr>
                <w:rFonts w:cs="Times"/>
                <w:lang w:val="en-US"/>
              </w:rPr>
              <w:t>2</w:t>
            </w:r>
          </w:p>
        </w:tc>
        <w:tc>
          <w:tcPr>
            <w:tcW w:w="1878" w:type="dxa"/>
          </w:tcPr>
          <w:p w:rsidR="00160774" w:rsidRPr="00AF07B3" w:rsidRDefault="00160774" w:rsidP="007E12FD">
            <w:pPr>
              <w:spacing w:line="240" w:lineRule="auto"/>
              <w:rPr>
                <w:rFonts w:cs="Times"/>
                <w:lang w:val="en-US"/>
              </w:rPr>
            </w:pPr>
            <w:r w:rsidRPr="00AF07B3">
              <w:rPr>
                <w:rFonts w:cs="Times"/>
                <w:lang w:val="en-US"/>
              </w:rPr>
              <w:t>500</w:t>
            </w:r>
          </w:p>
        </w:tc>
        <w:tc>
          <w:tcPr>
            <w:tcW w:w="1878" w:type="dxa"/>
          </w:tcPr>
          <w:p w:rsidR="00160774" w:rsidRPr="00AF07B3" w:rsidRDefault="00160774" w:rsidP="007E12FD">
            <w:pPr>
              <w:spacing w:line="240" w:lineRule="auto"/>
              <w:rPr>
                <w:rFonts w:cs="Times"/>
                <w:lang w:val="en-US"/>
              </w:rPr>
            </w:pPr>
            <w:r w:rsidRPr="00AF07B3">
              <w:rPr>
                <w:rFonts w:cs="Times"/>
                <w:lang w:val="en-US"/>
              </w:rPr>
              <w:t>135</w:t>
            </w:r>
          </w:p>
        </w:tc>
        <w:tc>
          <w:tcPr>
            <w:tcW w:w="1878" w:type="dxa"/>
          </w:tcPr>
          <w:p w:rsidR="00160774" w:rsidRPr="00AF07B3" w:rsidRDefault="00160774" w:rsidP="00AF07B3">
            <w:pPr>
              <w:spacing w:line="240" w:lineRule="auto"/>
              <w:rPr>
                <w:rFonts w:cs="Times"/>
                <w:lang w:val="en-US"/>
              </w:rPr>
            </w:pPr>
            <w:r w:rsidRPr="00AF07B3">
              <w:rPr>
                <w:rFonts w:cs="Times"/>
                <w:lang w:val="en-US"/>
              </w:rPr>
              <w:t>3</w:t>
            </w:r>
            <w:r w:rsidR="00AF07B3">
              <w:rPr>
                <w:rFonts w:cs="Times"/>
                <w:lang w:val="en-US"/>
              </w:rPr>
              <w:t>.</w:t>
            </w:r>
            <w:r w:rsidRPr="00AF07B3">
              <w:rPr>
                <w:rFonts w:cs="Times"/>
                <w:lang w:val="en-US"/>
              </w:rPr>
              <w:t>5</w:t>
            </w:r>
          </w:p>
        </w:tc>
      </w:tr>
      <w:tr w:rsidR="00160774" w:rsidRPr="00AF07B3" w:rsidTr="007E12FD">
        <w:trPr>
          <w:trHeight w:val="256"/>
        </w:trPr>
        <w:tc>
          <w:tcPr>
            <w:tcW w:w="1878" w:type="dxa"/>
          </w:tcPr>
          <w:p w:rsidR="00160774" w:rsidRPr="00AF07B3" w:rsidRDefault="00160774" w:rsidP="007E12FD">
            <w:pPr>
              <w:spacing w:line="240" w:lineRule="auto"/>
              <w:rPr>
                <w:rFonts w:cs="Times"/>
                <w:lang w:val="en-US"/>
              </w:rPr>
            </w:pPr>
            <w:r w:rsidRPr="00AF07B3">
              <w:rPr>
                <w:rFonts w:cs="Times"/>
                <w:lang w:val="en-US"/>
              </w:rPr>
              <w:t>3</w:t>
            </w:r>
          </w:p>
        </w:tc>
        <w:tc>
          <w:tcPr>
            <w:tcW w:w="1878" w:type="dxa"/>
          </w:tcPr>
          <w:p w:rsidR="00160774" w:rsidRPr="00AF07B3" w:rsidRDefault="00160774" w:rsidP="007E12FD">
            <w:pPr>
              <w:spacing w:line="240" w:lineRule="auto"/>
              <w:rPr>
                <w:rFonts w:cs="Times"/>
                <w:lang w:val="en-US"/>
              </w:rPr>
            </w:pPr>
            <w:r w:rsidRPr="00AF07B3">
              <w:rPr>
                <w:rFonts w:cs="Times"/>
                <w:lang w:val="en-US"/>
              </w:rPr>
              <w:t>1000</w:t>
            </w:r>
          </w:p>
        </w:tc>
        <w:tc>
          <w:tcPr>
            <w:tcW w:w="1878" w:type="dxa"/>
          </w:tcPr>
          <w:p w:rsidR="00160774" w:rsidRPr="00AF07B3" w:rsidRDefault="00160774" w:rsidP="007E12FD">
            <w:pPr>
              <w:spacing w:line="240" w:lineRule="auto"/>
              <w:rPr>
                <w:rFonts w:cs="Times"/>
                <w:lang w:val="en-US"/>
              </w:rPr>
            </w:pPr>
            <w:r w:rsidRPr="00AF07B3">
              <w:rPr>
                <w:rFonts w:cs="Times"/>
                <w:lang w:val="en-US"/>
              </w:rPr>
              <w:t>180</w:t>
            </w:r>
          </w:p>
        </w:tc>
        <w:tc>
          <w:tcPr>
            <w:tcW w:w="1878" w:type="dxa"/>
          </w:tcPr>
          <w:p w:rsidR="00160774" w:rsidRPr="00AF07B3" w:rsidRDefault="00160774" w:rsidP="00AF07B3">
            <w:pPr>
              <w:spacing w:line="240" w:lineRule="auto"/>
              <w:rPr>
                <w:rFonts w:cs="Times"/>
                <w:lang w:val="en-US"/>
              </w:rPr>
            </w:pPr>
            <w:r w:rsidRPr="00AF07B3">
              <w:rPr>
                <w:rFonts w:cs="Times"/>
                <w:lang w:val="en-US"/>
              </w:rPr>
              <w:t>4</w:t>
            </w:r>
            <w:r w:rsidR="00AF07B3">
              <w:rPr>
                <w:rFonts w:cs="Times"/>
                <w:lang w:val="en-US"/>
              </w:rPr>
              <w:t>.</w:t>
            </w:r>
            <w:r w:rsidRPr="00AF07B3">
              <w:rPr>
                <w:rFonts w:cs="Times"/>
                <w:lang w:val="en-US"/>
              </w:rPr>
              <w:t>5</w:t>
            </w:r>
          </w:p>
        </w:tc>
      </w:tr>
      <w:tr w:rsidR="00160774" w:rsidRPr="00160774" w:rsidTr="00160774">
        <w:trPr>
          <w:trHeight w:val="240"/>
        </w:trPr>
        <w:tc>
          <w:tcPr>
            <w:tcW w:w="1878" w:type="dxa"/>
          </w:tcPr>
          <w:p w:rsidR="00160774" w:rsidRPr="00AF07B3" w:rsidRDefault="00160774" w:rsidP="007E12FD">
            <w:pPr>
              <w:spacing w:line="240" w:lineRule="auto"/>
              <w:rPr>
                <w:rFonts w:cs="Times"/>
                <w:lang w:val="en-US"/>
              </w:rPr>
            </w:pPr>
            <w:r w:rsidRPr="00AF07B3">
              <w:rPr>
                <w:rFonts w:cs="Times"/>
                <w:lang w:val="en-US"/>
              </w:rPr>
              <w:t>4</w:t>
            </w:r>
          </w:p>
        </w:tc>
        <w:tc>
          <w:tcPr>
            <w:tcW w:w="1878" w:type="dxa"/>
          </w:tcPr>
          <w:p w:rsidR="00160774" w:rsidRPr="00AF07B3" w:rsidRDefault="00160774" w:rsidP="007E12FD">
            <w:pPr>
              <w:spacing w:line="240" w:lineRule="auto"/>
              <w:rPr>
                <w:rFonts w:cs="Times"/>
                <w:lang w:val="en-US"/>
              </w:rPr>
            </w:pPr>
            <w:r w:rsidRPr="00AF07B3">
              <w:rPr>
                <w:rFonts w:cs="Times"/>
                <w:lang w:val="en-US"/>
              </w:rPr>
              <w:t>100</w:t>
            </w:r>
          </w:p>
        </w:tc>
        <w:tc>
          <w:tcPr>
            <w:tcW w:w="1878" w:type="dxa"/>
          </w:tcPr>
          <w:p w:rsidR="00160774" w:rsidRPr="00AF07B3" w:rsidRDefault="00160774" w:rsidP="007E12FD">
            <w:pPr>
              <w:spacing w:line="240" w:lineRule="auto"/>
              <w:rPr>
                <w:rFonts w:cs="Times"/>
                <w:lang w:val="en-US"/>
              </w:rPr>
            </w:pPr>
            <w:r w:rsidRPr="00AF07B3">
              <w:rPr>
                <w:rFonts w:cs="Times"/>
                <w:lang w:val="en-US"/>
              </w:rPr>
              <w:t>190</w:t>
            </w:r>
          </w:p>
        </w:tc>
        <w:tc>
          <w:tcPr>
            <w:tcW w:w="1878" w:type="dxa"/>
          </w:tcPr>
          <w:p w:rsidR="00160774" w:rsidRPr="00160774" w:rsidRDefault="00160774" w:rsidP="007E12FD">
            <w:pPr>
              <w:spacing w:line="240" w:lineRule="auto"/>
              <w:rPr>
                <w:rFonts w:cs="Times"/>
                <w:lang w:val="en-US"/>
              </w:rPr>
            </w:pPr>
            <w:r w:rsidRPr="00AF07B3">
              <w:rPr>
                <w:rFonts w:cs="Times"/>
                <w:lang w:val="en-US"/>
              </w:rPr>
              <w:t>40</w:t>
            </w:r>
          </w:p>
        </w:tc>
      </w:tr>
    </w:tbl>
    <w:p w:rsidR="00CC28EE" w:rsidRPr="00CC28EE" w:rsidRDefault="00CC28EE" w:rsidP="000601ED">
      <w:pPr>
        <w:rPr>
          <w:lang w:val="en-US"/>
        </w:rPr>
      </w:pPr>
    </w:p>
    <w:sectPr w:rsidR="00CC28EE" w:rsidRPr="00CC28E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23" w:rsidRDefault="00674623" w:rsidP="00674623">
      <w:pPr>
        <w:spacing w:line="240" w:lineRule="auto"/>
      </w:pPr>
      <w:r>
        <w:separator/>
      </w:r>
    </w:p>
  </w:endnote>
  <w:endnote w:type="continuationSeparator" w:id="0">
    <w:p w:rsidR="00674623" w:rsidRDefault="00674623" w:rsidP="00674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Bol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432263"/>
      <w:docPartObj>
        <w:docPartGallery w:val="Page Numbers (Bottom of Page)"/>
        <w:docPartUnique/>
      </w:docPartObj>
    </w:sdtPr>
    <w:sdtEndPr/>
    <w:sdtContent>
      <w:p w:rsidR="00674623" w:rsidRDefault="00674623">
        <w:pPr>
          <w:pStyle w:val="Fuzeile"/>
          <w:jc w:val="right"/>
        </w:pPr>
        <w:r>
          <w:fldChar w:fldCharType="begin"/>
        </w:r>
        <w:r>
          <w:instrText>PAGE   \* MERGEFORMAT</w:instrText>
        </w:r>
        <w:r>
          <w:fldChar w:fldCharType="separate"/>
        </w:r>
        <w:r w:rsidR="00C1361C">
          <w:rPr>
            <w:noProof/>
          </w:rPr>
          <w:t>4</w:t>
        </w:r>
        <w:r>
          <w:fldChar w:fldCharType="end"/>
        </w:r>
      </w:p>
    </w:sdtContent>
  </w:sdt>
  <w:p w:rsidR="00674623" w:rsidRDefault="0067462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23" w:rsidRDefault="00674623" w:rsidP="00674623">
      <w:pPr>
        <w:spacing w:line="240" w:lineRule="auto"/>
      </w:pPr>
      <w:r>
        <w:separator/>
      </w:r>
    </w:p>
  </w:footnote>
  <w:footnote w:type="continuationSeparator" w:id="0">
    <w:p w:rsidR="00674623" w:rsidRDefault="00674623" w:rsidP="006746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69"/>
    <w:rsid w:val="000601ED"/>
    <w:rsid w:val="000C27BD"/>
    <w:rsid w:val="00160774"/>
    <w:rsid w:val="001764F9"/>
    <w:rsid w:val="002D5A1B"/>
    <w:rsid w:val="003F7CD3"/>
    <w:rsid w:val="004571E6"/>
    <w:rsid w:val="0047553D"/>
    <w:rsid w:val="00505D69"/>
    <w:rsid w:val="005E129C"/>
    <w:rsid w:val="00674623"/>
    <w:rsid w:val="006D72DA"/>
    <w:rsid w:val="00747DF0"/>
    <w:rsid w:val="007E12FD"/>
    <w:rsid w:val="007F1FED"/>
    <w:rsid w:val="00871F6E"/>
    <w:rsid w:val="00942EB6"/>
    <w:rsid w:val="009A2A4F"/>
    <w:rsid w:val="009C780A"/>
    <w:rsid w:val="00AF07B3"/>
    <w:rsid w:val="00B170A1"/>
    <w:rsid w:val="00BD71D5"/>
    <w:rsid w:val="00C1361C"/>
    <w:rsid w:val="00CC28EE"/>
    <w:rsid w:val="00D702BB"/>
    <w:rsid w:val="00FE35BD"/>
    <w:rsid w:val="00FE5D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05D69"/>
    <w:pPr>
      <w:spacing w:line="480" w:lineRule="auto"/>
    </w:pPr>
    <w:rPr>
      <w:rFonts w:ascii="Times" w:hAnsi="Time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ablecell">
    <w:name w:val="table_cell"/>
    <w:basedOn w:val="Absatz-Standardschriftart"/>
    <w:rsid w:val="00BD71D5"/>
  </w:style>
  <w:style w:type="table" w:styleId="Tabellenraster">
    <w:name w:val="Table Grid"/>
    <w:basedOn w:val="NormaleTabelle"/>
    <w:rsid w:val="00BD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74623"/>
    <w:pPr>
      <w:tabs>
        <w:tab w:val="center" w:pos="4536"/>
        <w:tab w:val="right" w:pos="9072"/>
      </w:tabs>
      <w:spacing w:line="240" w:lineRule="auto"/>
    </w:pPr>
  </w:style>
  <w:style w:type="character" w:customStyle="1" w:styleId="KopfzeileZchn">
    <w:name w:val="Kopfzeile Zchn"/>
    <w:basedOn w:val="Absatz-Standardschriftart"/>
    <w:link w:val="Kopfzeile"/>
    <w:rsid w:val="00674623"/>
    <w:rPr>
      <w:rFonts w:ascii="Times" w:hAnsi="Times"/>
      <w:sz w:val="24"/>
      <w:szCs w:val="24"/>
    </w:rPr>
  </w:style>
  <w:style w:type="paragraph" w:styleId="Fuzeile">
    <w:name w:val="footer"/>
    <w:basedOn w:val="Standard"/>
    <w:link w:val="FuzeileZchn"/>
    <w:uiPriority w:val="99"/>
    <w:rsid w:val="0067462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74623"/>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05D69"/>
    <w:pPr>
      <w:spacing w:line="480" w:lineRule="auto"/>
    </w:pPr>
    <w:rPr>
      <w:rFonts w:ascii="Times" w:hAnsi="Time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ablecell">
    <w:name w:val="table_cell"/>
    <w:basedOn w:val="Absatz-Standardschriftart"/>
    <w:rsid w:val="00BD71D5"/>
  </w:style>
  <w:style w:type="table" w:styleId="Tabellenraster">
    <w:name w:val="Table Grid"/>
    <w:basedOn w:val="NormaleTabelle"/>
    <w:rsid w:val="00BD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74623"/>
    <w:pPr>
      <w:tabs>
        <w:tab w:val="center" w:pos="4536"/>
        <w:tab w:val="right" w:pos="9072"/>
      </w:tabs>
      <w:spacing w:line="240" w:lineRule="auto"/>
    </w:pPr>
  </w:style>
  <w:style w:type="character" w:customStyle="1" w:styleId="KopfzeileZchn">
    <w:name w:val="Kopfzeile Zchn"/>
    <w:basedOn w:val="Absatz-Standardschriftart"/>
    <w:link w:val="Kopfzeile"/>
    <w:rsid w:val="00674623"/>
    <w:rPr>
      <w:rFonts w:ascii="Times" w:hAnsi="Times"/>
      <w:sz w:val="24"/>
      <w:szCs w:val="24"/>
    </w:rPr>
  </w:style>
  <w:style w:type="paragraph" w:styleId="Fuzeile">
    <w:name w:val="footer"/>
    <w:basedOn w:val="Standard"/>
    <w:link w:val="FuzeileZchn"/>
    <w:uiPriority w:val="99"/>
    <w:rsid w:val="0067462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74623"/>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6757">
      <w:bodyDiv w:val="1"/>
      <w:marLeft w:val="0"/>
      <w:marRight w:val="0"/>
      <w:marTop w:val="0"/>
      <w:marBottom w:val="0"/>
      <w:divBdr>
        <w:top w:val="none" w:sz="0" w:space="0" w:color="auto"/>
        <w:left w:val="none" w:sz="0" w:space="0" w:color="auto"/>
        <w:bottom w:val="none" w:sz="0" w:space="0" w:color="auto"/>
        <w:right w:val="none" w:sz="0" w:space="0" w:color="auto"/>
      </w:divBdr>
    </w:div>
    <w:div w:id="348724609">
      <w:bodyDiv w:val="1"/>
      <w:marLeft w:val="0"/>
      <w:marRight w:val="0"/>
      <w:marTop w:val="0"/>
      <w:marBottom w:val="0"/>
      <w:divBdr>
        <w:top w:val="none" w:sz="0" w:space="0" w:color="auto"/>
        <w:left w:val="none" w:sz="0" w:space="0" w:color="auto"/>
        <w:bottom w:val="none" w:sz="0" w:space="0" w:color="auto"/>
        <w:right w:val="none" w:sz="0" w:space="0" w:color="auto"/>
      </w:divBdr>
    </w:div>
    <w:div w:id="483280495">
      <w:bodyDiv w:val="1"/>
      <w:marLeft w:val="0"/>
      <w:marRight w:val="0"/>
      <w:marTop w:val="0"/>
      <w:marBottom w:val="0"/>
      <w:divBdr>
        <w:top w:val="none" w:sz="0" w:space="0" w:color="auto"/>
        <w:left w:val="none" w:sz="0" w:space="0" w:color="auto"/>
        <w:bottom w:val="none" w:sz="0" w:space="0" w:color="auto"/>
        <w:right w:val="none" w:sz="0" w:space="0" w:color="auto"/>
      </w:divBdr>
    </w:div>
    <w:div w:id="839587311">
      <w:bodyDiv w:val="1"/>
      <w:marLeft w:val="0"/>
      <w:marRight w:val="0"/>
      <w:marTop w:val="0"/>
      <w:marBottom w:val="0"/>
      <w:divBdr>
        <w:top w:val="none" w:sz="0" w:space="0" w:color="auto"/>
        <w:left w:val="none" w:sz="0" w:space="0" w:color="auto"/>
        <w:bottom w:val="none" w:sz="0" w:space="0" w:color="auto"/>
        <w:right w:val="none" w:sz="0" w:space="0" w:color="auto"/>
      </w:divBdr>
    </w:div>
    <w:div w:id="1173489685">
      <w:bodyDiv w:val="1"/>
      <w:marLeft w:val="0"/>
      <w:marRight w:val="0"/>
      <w:marTop w:val="0"/>
      <w:marBottom w:val="0"/>
      <w:divBdr>
        <w:top w:val="none" w:sz="0" w:space="0" w:color="auto"/>
        <w:left w:val="none" w:sz="0" w:space="0" w:color="auto"/>
        <w:bottom w:val="none" w:sz="0" w:space="0" w:color="auto"/>
        <w:right w:val="none" w:sz="0" w:space="0" w:color="auto"/>
      </w:divBdr>
    </w:div>
    <w:div w:id="1292133912">
      <w:bodyDiv w:val="1"/>
      <w:marLeft w:val="0"/>
      <w:marRight w:val="0"/>
      <w:marTop w:val="0"/>
      <w:marBottom w:val="0"/>
      <w:divBdr>
        <w:top w:val="none" w:sz="0" w:space="0" w:color="auto"/>
        <w:left w:val="none" w:sz="0" w:space="0" w:color="auto"/>
        <w:bottom w:val="none" w:sz="0" w:space="0" w:color="auto"/>
        <w:right w:val="none" w:sz="0" w:space="0" w:color="auto"/>
      </w:divBdr>
    </w:div>
    <w:div w:id="1845438137">
      <w:bodyDiv w:val="1"/>
      <w:marLeft w:val="0"/>
      <w:marRight w:val="0"/>
      <w:marTop w:val="0"/>
      <w:marBottom w:val="0"/>
      <w:divBdr>
        <w:top w:val="none" w:sz="0" w:space="0" w:color="auto"/>
        <w:left w:val="none" w:sz="0" w:space="0" w:color="auto"/>
        <w:bottom w:val="none" w:sz="0" w:space="0" w:color="auto"/>
        <w:right w:val="none" w:sz="0" w:space="0" w:color="auto"/>
      </w:divBdr>
    </w:div>
    <w:div w:id="20033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DE17E79.dotm</Template>
  <TotalTime>0</TotalTime>
  <Pages>4</Pages>
  <Words>927</Words>
  <Characters>6121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Bundesinstitut fuer Risikobewertung</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lichtens</dc:creator>
  <cp:lastModifiedBy>lichtens</cp:lastModifiedBy>
  <cp:revision>12</cp:revision>
  <dcterms:created xsi:type="dcterms:W3CDTF">2015-03-19T16:02:00Z</dcterms:created>
  <dcterms:modified xsi:type="dcterms:W3CDTF">2015-05-05T15:05:00Z</dcterms:modified>
</cp:coreProperties>
</file>