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F3" w:rsidRDefault="004D26F3" w:rsidP="004D26F3">
      <w:pPr>
        <w:spacing w:after="0" w:line="360" w:lineRule="auto"/>
        <w:rPr>
          <w:rFonts w:cs="Arial"/>
          <w:b/>
          <w:bCs/>
          <w:lang w:val="en-US"/>
        </w:rPr>
      </w:pPr>
      <w:r>
        <w:rPr>
          <w:rFonts w:cs="Arial"/>
          <w:b/>
          <w:bCs/>
          <w:noProof/>
          <w:lang w:eastAsia="de-DE"/>
        </w:rPr>
        <w:drawing>
          <wp:anchor distT="0" distB="0" distL="114300" distR="114300" simplePos="0" relativeHeight="251659264" behindDoc="0" locked="0" layoutInCell="1" allowOverlap="1">
            <wp:simplePos x="0" y="0"/>
            <wp:positionH relativeFrom="column">
              <wp:posOffset>0</wp:posOffset>
            </wp:positionH>
            <wp:positionV relativeFrom="paragraph">
              <wp:posOffset>342900</wp:posOffset>
            </wp:positionV>
            <wp:extent cx="2827655" cy="1490980"/>
            <wp:effectExtent l="0" t="0" r="0" b="7620"/>
            <wp:wrapNone/>
            <wp:docPr id="4" name="Bild 4" descr="Macintosh HD:Users:ShirleyK:Documents:Daten:Caro_Paper_stuff:Figures_Droso_Plos1: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irleyK:Documents:Daten:Caro_Paper_stuff:Figures_Droso_Plos1:S1.tif"/>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7736"/>
                    <a:stretch/>
                  </pic:blipFill>
                  <pic:spPr bwMode="auto">
                    <a:xfrm>
                      <a:off x="0" y="0"/>
                      <a:ext cx="2827655" cy="14909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cs="Arial"/>
          <w:b/>
          <w:bCs/>
          <w:noProof/>
          <w:lang w:eastAsia="de-DE"/>
        </w:rPr>
        <w:drawing>
          <wp:anchor distT="0" distB="0" distL="114300" distR="114300" simplePos="0" relativeHeight="251660288" behindDoc="0" locked="0" layoutInCell="1" allowOverlap="1">
            <wp:simplePos x="0" y="0"/>
            <wp:positionH relativeFrom="column">
              <wp:posOffset>2857500</wp:posOffset>
            </wp:positionH>
            <wp:positionV relativeFrom="paragraph">
              <wp:posOffset>342900</wp:posOffset>
            </wp:positionV>
            <wp:extent cx="2827655" cy="2026285"/>
            <wp:effectExtent l="0" t="0" r="0" b="5715"/>
            <wp:wrapNone/>
            <wp:docPr id="5" name="Bild 5" descr="Macintosh HD:Users:ShirleyK:Documents:Daten:Caro_Paper_stuff:Figures_Droso_Plos1: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irleyK:Documents:Daten:Caro_Paper_stuff:Figures_Droso_Plos1:S1.tif"/>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2572"/>
                    <a:stretch/>
                  </pic:blipFill>
                  <pic:spPr bwMode="auto">
                    <a:xfrm>
                      <a:off x="0" y="0"/>
                      <a:ext cx="2827655" cy="20262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8783F">
        <w:rPr>
          <w:rFonts w:cs="Arial"/>
          <w:b/>
          <w:bCs/>
          <w:lang w:val="en-US"/>
        </w:rPr>
        <w:t>Supporting Information</w:t>
      </w:r>
    </w:p>
    <w:p w:rsidR="004D26F3" w:rsidRDefault="004D26F3" w:rsidP="004D26F3">
      <w:pPr>
        <w:spacing w:after="0" w:line="360" w:lineRule="auto"/>
        <w:rPr>
          <w:rFonts w:cs="Arial"/>
          <w:b/>
          <w:bCs/>
          <w:lang w:val="en-US"/>
        </w:rPr>
      </w:pPr>
    </w:p>
    <w:p w:rsidR="004D26F3" w:rsidRPr="0098783F" w:rsidRDefault="004D26F3" w:rsidP="004D26F3">
      <w:pPr>
        <w:spacing w:after="0" w:line="360" w:lineRule="auto"/>
        <w:rPr>
          <w:rFonts w:cs="Arial"/>
          <w:b/>
          <w:bCs/>
          <w:lang w:val="en-US"/>
        </w:rPr>
      </w:pPr>
    </w:p>
    <w:p w:rsidR="004D26F3" w:rsidRPr="0098783F" w:rsidRDefault="004D26F3" w:rsidP="004D26F3">
      <w:pPr>
        <w:spacing w:after="0" w:line="360" w:lineRule="auto"/>
        <w:rPr>
          <w:rFonts w:cs="Arial"/>
          <w:b/>
          <w:bCs/>
          <w:lang w:val="en-US"/>
        </w:rPr>
      </w:pPr>
    </w:p>
    <w:p w:rsidR="004D26F3" w:rsidRPr="0098783F" w:rsidRDefault="004D26F3" w:rsidP="004D26F3">
      <w:pPr>
        <w:spacing w:after="0" w:line="360" w:lineRule="auto"/>
        <w:rPr>
          <w:rFonts w:cs="Arial"/>
          <w:b/>
          <w:bCs/>
          <w:lang w:val="en-US"/>
        </w:rPr>
      </w:pPr>
    </w:p>
    <w:p w:rsidR="004D26F3" w:rsidRPr="0098783F" w:rsidRDefault="004D26F3" w:rsidP="004D26F3">
      <w:pPr>
        <w:spacing w:after="0" w:line="360" w:lineRule="auto"/>
        <w:rPr>
          <w:rFonts w:cs="Arial"/>
          <w:b/>
          <w:bCs/>
          <w:lang w:val="en-US"/>
        </w:rPr>
      </w:pPr>
    </w:p>
    <w:p w:rsidR="004D26F3" w:rsidRPr="0098783F" w:rsidRDefault="004D26F3" w:rsidP="004D26F3">
      <w:pPr>
        <w:spacing w:line="360" w:lineRule="auto"/>
        <w:rPr>
          <w:rFonts w:cs="Arial"/>
          <w:b/>
          <w:bCs/>
          <w:lang w:val="en-US"/>
        </w:rPr>
      </w:pPr>
    </w:p>
    <w:p w:rsidR="004D26F3" w:rsidRPr="0098783F" w:rsidRDefault="004D26F3" w:rsidP="004D26F3">
      <w:pPr>
        <w:spacing w:after="0" w:line="360" w:lineRule="auto"/>
        <w:rPr>
          <w:rFonts w:cs="Arial"/>
          <w:b/>
          <w:bCs/>
          <w:lang w:val="en-US"/>
        </w:rPr>
      </w:pPr>
    </w:p>
    <w:p w:rsidR="004D26F3" w:rsidRDefault="004D26F3" w:rsidP="004D26F3">
      <w:pPr>
        <w:spacing w:after="0" w:line="360" w:lineRule="auto"/>
        <w:rPr>
          <w:rFonts w:cs="Arial"/>
          <w:b/>
          <w:bCs/>
          <w:lang w:val="en-US"/>
        </w:rPr>
      </w:pPr>
    </w:p>
    <w:p w:rsidR="004D26F3" w:rsidRDefault="004D26F3" w:rsidP="004D26F3">
      <w:pPr>
        <w:spacing w:after="0" w:line="360" w:lineRule="auto"/>
        <w:rPr>
          <w:rFonts w:cs="Arial"/>
          <w:bCs/>
          <w:lang w:val="en-US"/>
        </w:rPr>
      </w:pPr>
      <w:r w:rsidRPr="0098783F">
        <w:rPr>
          <w:rFonts w:cs="Arial"/>
          <w:b/>
          <w:bCs/>
          <w:lang w:val="en-US"/>
        </w:rPr>
        <w:t>Figure S1</w:t>
      </w:r>
      <w:r>
        <w:rPr>
          <w:rFonts w:cs="Arial"/>
          <w:b/>
          <w:bCs/>
          <w:lang w:val="en-US"/>
        </w:rPr>
        <w:t xml:space="preserve">  </w:t>
      </w:r>
      <w:r w:rsidRPr="0098783F">
        <w:rPr>
          <w:rFonts w:cs="Arial"/>
          <w:bCs/>
          <w:lang w:val="en-US"/>
        </w:rPr>
        <w:t>Principle of the cell-based biosensor assay (BioTasp).</w:t>
      </w:r>
    </w:p>
    <w:p w:rsidR="004D26F3" w:rsidRDefault="004D26F3" w:rsidP="004D26F3">
      <w:pPr>
        <w:spacing w:after="0" w:line="360" w:lineRule="auto"/>
        <w:rPr>
          <w:rFonts w:cs="Arial"/>
          <w:lang w:val="en-US"/>
        </w:rPr>
      </w:pPr>
      <w:r>
        <w:rPr>
          <w:rFonts w:cs="Arial"/>
          <w:b/>
          <w:bCs/>
          <w:lang w:val="en-US"/>
        </w:rPr>
        <w:t>A</w:t>
      </w:r>
      <w:r w:rsidRPr="0098783F">
        <w:rPr>
          <w:rFonts w:cs="Arial"/>
          <w:b/>
          <w:bCs/>
          <w:lang w:val="en-US"/>
        </w:rPr>
        <w:t>.</w:t>
      </w:r>
      <w:r w:rsidRPr="0098783F">
        <w:rPr>
          <w:rFonts w:cs="Arial"/>
          <w:bCs/>
          <w:lang w:val="en-US"/>
        </w:rPr>
        <w:t xml:space="preserve"> The fluorescent biosensor BioTasp is composed of</w:t>
      </w:r>
      <w:r w:rsidRPr="0098783F">
        <w:rPr>
          <w:rFonts w:cs="Arial"/>
          <w:lang w:val="en-US"/>
        </w:rPr>
        <w:t xml:space="preserve"> the SV40 nuclear localization signal (NLS), GFP (BioTasp</w:t>
      </w:r>
      <w:r w:rsidRPr="0098783F">
        <w:rPr>
          <w:rFonts w:cs="Arial"/>
          <w:vertAlign w:val="subscript"/>
          <w:lang w:val="en-US"/>
        </w:rPr>
        <w:t>R</w:t>
      </w:r>
      <w:r w:rsidRPr="0098783F">
        <w:rPr>
          <w:rFonts w:cs="Arial"/>
          <w:lang w:val="en-US"/>
        </w:rPr>
        <w:t>: mCherry), GST, the MLL cleavage site CS2 (aa KISQLD</w:t>
      </w:r>
      <w:r w:rsidRPr="0098783F">
        <w:rPr>
          <w:rFonts w:cs="Arial"/>
          <w:color w:val="262626"/>
          <w:lang w:val="en-US"/>
        </w:rPr>
        <w:t>↓</w:t>
      </w:r>
      <w:r w:rsidRPr="0098783F">
        <w:rPr>
          <w:rFonts w:cs="Arial"/>
          <w:lang w:val="en-US"/>
        </w:rPr>
        <w:t xml:space="preserve">GVDD), a myc-tag and a nuclear export signal (NES). Co-transfection with active Threonine Aspartase1 expression constructs results in proteolytic cleavage of the BioTasp at the CS2 site. </w:t>
      </w:r>
      <w:r>
        <w:rPr>
          <w:rFonts w:cs="Arial"/>
          <w:b/>
          <w:lang w:val="en-US"/>
        </w:rPr>
        <w:t>B</w:t>
      </w:r>
      <w:r w:rsidRPr="0098783F">
        <w:rPr>
          <w:rFonts w:cs="Arial"/>
          <w:b/>
          <w:lang w:val="en-US"/>
        </w:rPr>
        <w:t xml:space="preserve">. </w:t>
      </w:r>
      <w:r w:rsidRPr="0098783F">
        <w:rPr>
          <w:rFonts w:cs="Arial"/>
          <w:lang w:val="en-US"/>
        </w:rPr>
        <w:t xml:space="preserve">Expression of the BioTasp in living cells to a predominantly cytoplasmic fluorescent signal, but due to counteracting and sophistically balanced transport signals (NLS and NES) the biosensor shuttles between nucleus and cytoplasm. Cleavage of the biosensor by Threonine Aspartase1 results in loss of the NES and thus, nuclear accumulation. </w:t>
      </w:r>
      <w:r>
        <w:rPr>
          <w:rFonts w:cs="Arial"/>
          <w:b/>
          <w:lang w:val="en-US"/>
        </w:rPr>
        <w:t>C</w:t>
      </w:r>
      <w:r w:rsidRPr="0098783F">
        <w:rPr>
          <w:rFonts w:cs="Arial"/>
          <w:b/>
          <w:lang w:val="en-US"/>
        </w:rPr>
        <w:t>.</w:t>
      </w:r>
      <w:r w:rsidRPr="0098783F">
        <w:rPr>
          <w:rFonts w:cs="Arial"/>
          <w:lang w:val="en-US"/>
        </w:rPr>
        <w:t xml:space="preserve"> Specific cellular localization of BioTasp expressed in HeLa cells. Whereas expression of wild type Tasp-mCherry (middle panel) resulted in nuclear translocation, the inactive mutant Tasp</w:t>
      </w:r>
      <w:r w:rsidRPr="0098783F">
        <w:rPr>
          <w:rFonts w:cs="Arial"/>
          <w:vertAlign w:val="superscript"/>
          <w:lang w:val="en-US"/>
        </w:rPr>
        <w:t>T234V</w:t>
      </w:r>
      <w:r w:rsidRPr="0098783F">
        <w:rPr>
          <w:rFonts w:cs="Arial"/>
          <w:lang w:val="en-US"/>
        </w:rPr>
        <w:t>-mCherry (right) prevented cleavage and nuclear redistribution of the fluorescent biosensor. Scale bars, 10 µm. Dashed lines mark cytoplasmic cell boundaries obtained from the corresponding phase contrast images.</w:t>
      </w:r>
    </w:p>
    <w:p w:rsidR="004D26F3" w:rsidRDefault="004D26F3">
      <w:pPr>
        <w:spacing w:line="276" w:lineRule="auto"/>
        <w:rPr>
          <w:rFonts w:cs="Arial"/>
          <w:lang w:val="en-US"/>
        </w:rPr>
      </w:pPr>
      <w:r>
        <w:rPr>
          <w:rFonts w:cs="Arial"/>
          <w:lang w:val="en-US"/>
        </w:rPr>
        <w:br w:type="page"/>
      </w:r>
    </w:p>
    <w:p w:rsidR="004D26F3" w:rsidRDefault="004D26F3" w:rsidP="004D26F3">
      <w:pPr>
        <w:spacing w:after="0" w:line="360" w:lineRule="auto"/>
        <w:rPr>
          <w:rFonts w:cs="Arial"/>
          <w:lang w:val="en-US"/>
        </w:rPr>
      </w:pPr>
    </w:p>
    <w:p w:rsidR="004D26F3" w:rsidRDefault="004D26F3" w:rsidP="004D26F3">
      <w:pPr>
        <w:spacing w:after="0" w:line="360" w:lineRule="auto"/>
        <w:rPr>
          <w:rFonts w:cs="Arial"/>
          <w:lang w:val="en-US"/>
        </w:rPr>
      </w:pPr>
    </w:p>
    <w:p w:rsidR="004D26F3" w:rsidRPr="0098783F" w:rsidRDefault="004D26F3" w:rsidP="004D26F3">
      <w:pPr>
        <w:spacing w:after="0" w:line="360" w:lineRule="auto"/>
        <w:rPr>
          <w:rFonts w:cs="Arial"/>
          <w:i/>
          <w:lang w:val="en-US"/>
        </w:rPr>
      </w:pPr>
      <w:r w:rsidRPr="0098783F">
        <w:rPr>
          <w:rFonts w:cs="Arial"/>
          <w:noProof/>
          <w:lang w:eastAsia="de-DE"/>
        </w:rPr>
        <w:drawing>
          <wp:inline distT="0" distB="0" distL="0" distR="0">
            <wp:extent cx="5759255" cy="2066446"/>
            <wp:effectExtent l="0" t="0" r="6985" b="0"/>
            <wp:docPr id="1" name="Bild 1" descr="Macintosh HD:Users:ShirleyK:Documents:Daten:Caro_Paper_stuff:Figures_Droso_Plos1:S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irleyK:Documents:Daten:Caro_Paper_stuff:Figures_Droso_Plos1:S2.tif"/>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108" r="3596"/>
                    <a:stretch/>
                  </pic:blipFill>
                  <pic:spPr bwMode="auto">
                    <a:xfrm>
                      <a:off x="0" y="0"/>
                      <a:ext cx="5759255" cy="206644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D26F3" w:rsidRPr="0098783F" w:rsidRDefault="004D26F3" w:rsidP="004D26F3">
      <w:pPr>
        <w:spacing w:after="0" w:line="360" w:lineRule="auto"/>
        <w:rPr>
          <w:rFonts w:cs="Arial"/>
          <w:i/>
          <w:lang w:val="en-US"/>
        </w:rPr>
      </w:pPr>
    </w:p>
    <w:p w:rsidR="004D26F3" w:rsidRDefault="004D26F3" w:rsidP="004D26F3">
      <w:pPr>
        <w:spacing w:after="0" w:line="360" w:lineRule="auto"/>
        <w:rPr>
          <w:rFonts w:cs="Arial"/>
          <w:lang w:val="en-US"/>
        </w:rPr>
      </w:pPr>
      <w:r w:rsidRPr="0098783F">
        <w:rPr>
          <w:rFonts w:cs="Arial"/>
          <w:b/>
          <w:lang w:val="en-US"/>
        </w:rPr>
        <w:t>Figure S2</w:t>
      </w:r>
      <w:r w:rsidRPr="0098783F">
        <w:rPr>
          <w:rFonts w:cs="Arial"/>
          <w:lang w:val="en-US"/>
        </w:rPr>
        <w:t xml:space="preserve"> Protein sequence alignment of human and </w:t>
      </w:r>
      <w:r w:rsidRPr="0098783F">
        <w:rPr>
          <w:rFonts w:cs="Arial"/>
          <w:i/>
          <w:lang w:val="en-US"/>
        </w:rPr>
        <w:t>Drosophila</w:t>
      </w:r>
      <w:r>
        <w:rPr>
          <w:rFonts w:cs="Arial"/>
          <w:lang w:val="en-US"/>
        </w:rPr>
        <w:t xml:space="preserve"> TFIIA.</w:t>
      </w:r>
    </w:p>
    <w:p w:rsidR="004D26F3" w:rsidRPr="0098783F" w:rsidRDefault="004D26F3" w:rsidP="004D26F3">
      <w:pPr>
        <w:spacing w:after="0" w:line="360" w:lineRule="auto"/>
        <w:rPr>
          <w:rFonts w:cs="Arial"/>
          <w:lang w:val="en-US"/>
        </w:rPr>
      </w:pPr>
      <w:r w:rsidRPr="0098783F">
        <w:rPr>
          <w:rFonts w:cs="Arial"/>
          <w:lang w:val="en-US"/>
        </w:rPr>
        <w:t xml:space="preserve">Alignment of amino acid sequences of human (hTFIIA) and </w:t>
      </w:r>
      <w:r w:rsidRPr="0098783F">
        <w:rPr>
          <w:rFonts w:cs="Arial"/>
          <w:i/>
          <w:lang w:val="en-US"/>
        </w:rPr>
        <w:t>Drosophila</w:t>
      </w:r>
      <w:r w:rsidRPr="0098783F">
        <w:rPr>
          <w:rFonts w:cs="Arial"/>
          <w:lang w:val="en-US"/>
        </w:rPr>
        <w:t xml:space="preserve"> TFIIA (dTFIIA) revealed an overall protein homology of 37% and 53% of analogous aa. The proteins contain highly conserved domains, but the </w:t>
      </w:r>
      <w:r w:rsidRPr="0098783F">
        <w:rPr>
          <w:rFonts w:cs="Arial"/>
          <w:i/>
          <w:lang w:val="en-US"/>
        </w:rPr>
        <w:t>cis</w:t>
      </w:r>
      <w:r w:rsidRPr="0098783F">
        <w:rPr>
          <w:rFonts w:cs="Arial"/>
          <w:lang w:val="en-US"/>
        </w:rPr>
        <w:t>-cleavage site slightly differs in positions P</w:t>
      </w:r>
      <w:r w:rsidRPr="0098783F">
        <w:rPr>
          <w:rFonts w:cs="Arial"/>
          <w:vertAlign w:val="superscript"/>
          <w:lang w:val="en-US"/>
        </w:rPr>
        <w:t>2</w:t>
      </w:r>
      <w:r w:rsidRPr="0098783F">
        <w:rPr>
          <w:rFonts w:cs="Arial"/>
          <w:lang w:val="en-US"/>
        </w:rPr>
        <w:t xml:space="preserve"> and P</w:t>
      </w:r>
      <w:r w:rsidRPr="0098783F">
        <w:rPr>
          <w:rFonts w:cs="Arial"/>
          <w:vertAlign w:val="superscript"/>
          <w:lang w:val="en-US"/>
        </w:rPr>
        <w:t>2'</w:t>
      </w:r>
      <w:r w:rsidRPr="0098783F">
        <w:rPr>
          <w:rFonts w:cs="Arial"/>
          <w:lang w:val="en-US"/>
        </w:rPr>
        <w:t>-P</w:t>
      </w:r>
      <w:r w:rsidRPr="0098783F">
        <w:rPr>
          <w:rFonts w:cs="Arial"/>
          <w:vertAlign w:val="superscript"/>
          <w:lang w:val="en-US"/>
        </w:rPr>
        <w:t>3'</w:t>
      </w:r>
      <w:r w:rsidRPr="0098783F">
        <w:rPr>
          <w:rFonts w:cs="Arial"/>
          <w:lang w:val="en-US"/>
        </w:rPr>
        <w:t xml:space="preserve">. Dark grey/bold: consensus sequence of conserved aa residues. Similarity groups of aa according to their chemical properties in light grey: 1=DE; 2=NQ; 3=ST; 4=KR; 5= FYW; 6= LIVM. Asterisk and box indicates </w:t>
      </w:r>
      <w:r w:rsidRPr="0098783F">
        <w:rPr>
          <w:rFonts w:cs="Arial"/>
          <w:i/>
          <w:lang w:val="en-US"/>
        </w:rPr>
        <w:t>cis</w:t>
      </w:r>
      <w:r w:rsidRPr="0098783F">
        <w:rPr>
          <w:rFonts w:cs="Arial"/>
          <w:lang w:val="en-US"/>
        </w:rPr>
        <w:t xml:space="preserve">-cleavage site in hTasp processing. </w:t>
      </w:r>
    </w:p>
    <w:p w:rsidR="004D26F3" w:rsidRPr="0098783F" w:rsidRDefault="004D26F3" w:rsidP="004D26F3">
      <w:pPr>
        <w:spacing w:after="0" w:line="360" w:lineRule="auto"/>
        <w:rPr>
          <w:rFonts w:cs="Arial"/>
          <w:lang w:val="en-US"/>
        </w:rPr>
      </w:pPr>
    </w:p>
    <w:p w:rsidR="004D26F3" w:rsidRPr="0098783F" w:rsidRDefault="004D26F3" w:rsidP="004D26F3">
      <w:pPr>
        <w:spacing w:line="360" w:lineRule="auto"/>
        <w:rPr>
          <w:rFonts w:cs="Arial"/>
          <w:bCs/>
          <w:lang w:val="en-US"/>
        </w:rPr>
      </w:pPr>
      <w:r w:rsidRPr="0098783F">
        <w:rPr>
          <w:rFonts w:cs="Arial"/>
          <w:bCs/>
          <w:lang w:val="en-US"/>
        </w:rPr>
        <w:br w:type="page"/>
      </w:r>
    </w:p>
    <w:p w:rsidR="004D26F3" w:rsidRPr="0098783F" w:rsidRDefault="004D26F3" w:rsidP="004D26F3">
      <w:pPr>
        <w:spacing w:after="0" w:line="360" w:lineRule="auto"/>
        <w:rPr>
          <w:rFonts w:cs="Arial"/>
          <w:bCs/>
          <w:lang w:val="en-US"/>
        </w:rPr>
      </w:pPr>
      <w:r>
        <w:rPr>
          <w:rFonts w:cs="Arial"/>
          <w:bCs/>
          <w:noProof/>
          <w:lang w:eastAsia="de-DE"/>
        </w:rPr>
        <w:lastRenderedPageBreak/>
        <w:drawing>
          <wp:anchor distT="0" distB="0" distL="114300" distR="114300" simplePos="0" relativeHeight="251662336" behindDoc="0" locked="0" layoutInCell="1" allowOverlap="1">
            <wp:simplePos x="0" y="0"/>
            <wp:positionH relativeFrom="column">
              <wp:posOffset>3086100</wp:posOffset>
            </wp:positionH>
            <wp:positionV relativeFrom="paragraph">
              <wp:posOffset>114300</wp:posOffset>
            </wp:positionV>
            <wp:extent cx="2382248" cy="2409825"/>
            <wp:effectExtent l="0" t="0" r="5715" b="3175"/>
            <wp:wrapNone/>
            <wp:docPr id="8" name="Bild 8" descr="Macintosh HD:Users:ShirleyK:Documents:Daten:Caro_Paper_stuff:Figures_Droso_Plos1:S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hirleyK:Documents:Daten:Caro_Paper_stuff:Figures_Droso_Plos1:S3.tif"/>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6815" r="17275"/>
                    <a:stretch/>
                  </pic:blipFill>
                  <pic:spPr bwMode="auto">
                    <a:xfrm>
                      <a:off x="0" y="0"/>
                      <a:ext cx="2382248" cy="24098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cs="Arial"/>
          <w:bCs/>
          <w:noProof/>
          <w:lang w:eastAsia="de-DE"/>
        </w:rPr>
        <w:drawing>
          <wp:anchor distT="0" distB="0" distL="114300" distR="114300" simplePos="0" relativeHeight="251661312" behindDoc="0" locked="0" layoutInCell="1" allowOverlap="1">
            <wp:simplePos x="0" y="0"/>
            <wp:positionH relativeFrom="column">
              <wp:posOffset>0</wp:posOffset>
            </wp:positionH>
            <wp:positionV relativeFrom="paragraph">
              <wp:posOffset>114300</wp:posOffset>
            </wp:positionV>
            <wp:extent cx="2879725" cy="1403985"/>
            <wp:effectExtent l="0" t="0" r="0" b="0"/>
            <wp:wrapNone/>
            <wp:docPr id="7" name="Bild 7" descr="Macintosh HD:Users:ShirleyK:Documents:Daten:Caro_Paper_stuff:Figures_Droso_Plos1:S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hirleyK:Documents:Daten:Caro_Paper_stuff:Figures_Droso_Plos1:S3.tif"/>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3185"/>
                    <a:stretch/>
                  </pic:blipFill>
                  <pic:spPr bwMode="auto">
                    <a:xfrm>
                      <a:off x="0" y="0"/>
                      <a:ext cx="2879725" cy="14039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4D26F3" w:rsidRDefault="004D26F3" w:rsidP="004D26F3">
      <w:pPr>
        <w:spacing w:line="360" w:lineRule="auto"/>
        <w:rPr>
          <w:rFonts w:cs="Arial"/>
          <w:b/>
          <w:bCs/>
          <w:lang w:val="en-US"/>
        </w:rPr>
      </w:pPr>
    </w:p>
    <w:p w:rsidR="004D26F3" w:rsidRDefault="004D26F3" w:rsidP="004D26F3">
      <w:pPr>
        <w:spacing w:line="360" w:lineRule="auto"/>
        <w:rPr>
          <w:rFonts w:cs="Arial"/>
          <w:b/>
          <w:bCs/>
          <w:lang w:val="en-US"/>
        </w:rPr>
      </w:pPr>
    </w:p>
    <w:p w:rsidR="004D26F3" w:rsidRDefault="004D26F3" w:rsidP="004D26F3">
      <w:pPr>
        <w:spacing w:line="360" w:lineRule="auto"/>
        <w:rPr>
          <w:rFonts w:cs="Arial"/>
          <w:b/>
          <w:bCs/>
          <w:lang w:val="en-US"/>
        </w:rPr>
      </w:pPr>
    </w:p>
    <w:p w:rsidR="004D26F3" w:rsidRDefault="004D26F3" w:rsidP="004D26F3">
      <w:pPr>
        <w:spacing w:line="360" w:lineRule="auto"/>
        <w:rPr>
          <w:rFonts w:cs="Arial"/>
          <w:b/>
          <w:bCs/>
          <w:lang w:val="en-US"/>
        </w:rPr>
      </w:pPr>
    </w:p>
    <w:p w:rsidR="004D26F3" w:rsidRDefault="004D26F3" w:rsidP="004D26F3">
      <w:pPr>
        <w:spacing w:line="360" w:lineRule="auto"/>
        <w:rPr>
          <w:rFonts w:cs="Arial"/>
          <w:b/>
          <w:bCs/>
          <w:lang w:val="en-US"/>
        </w:rPr>
      </w:pPr>
    </w:p>
    <w:p w:rsidR="004D26F3" w:rsidRDefault="004D26F3" w:rsidP="004D26F3">
      <w:pPr>
        <w:spacing w:line="360" w:lineRule="auto"/>
        <w:rPr>
          <w:rFonts w:cs="Arial"/>
          <w:b/>
          <w:bCs/>
          <w:lang w:val="en-US"/>
        </w:rPr>
      </w:pPr>
    </w:p>
    <w:p w:rsidR="004D26F3" w:rsidRDefault="004D26F3" w:rsidP="004D26F3">
      <w:pPr>
        <w:spacing w:line="360" w:lineRule="auto"/>
        <w:rPr>
          <w:rFonts w:cs="Arial"/>
          <w:lang w:val="en-US"/>
        </w:rPr>
      </w:pPr>
      <w:r w:rsidRPr="0098783F">
        <w:rPr>
          <w:rFonts w:cs="Arial"/>
          <w:b/>
          <w:bCs/>
          <w:lang w:val="en-US"/>
        </w:rPr>
        <w:t>Figure S3</w:t>
      </w:r>
      <w:r w:rsidRPr="0098783F">
        <w:rPr>
          <w:rFonts w:cs="Arial"/>
          <w:bCs/>
          <w:lang w:val="en-US"/>
        </w:rPr>
        <w:t xml:space="preserve"> </w:t>
      </w:r>
      <w:r w:rsidRPr="0098783F">
        <w:rPr>
          <w:rFonts w:cs="Arial"/>
          <w:i/>
          <w:lang w:val="en-US"/>
        </w:rPr>
        <w:t>Drosophila</w:t>
      </w:r>
      <w:r w:rsidRPr="0098783F">
        <w:rPr>
          <w:rFonts w:cs="Arial"/>
          <w:lang w:val="en-US"/>
        </w:rPr>
        <w:t xml:space="preserve"> Threonine Aspartase1 exists predominantly as a monomer in living cells. </w:t>
      </w:r>
    </w:p>
    <w:p w:rsidR="004D26F3" w:rsidRPr="00540635" w:rsidRDefault="004D26F3" w:rsidP="004D26F3">
      <w:pPr>
        <w:spacing w:line="360" w:lineRule="auto"/>
        <w:rPr>
          <w:rFonts w:cs="Arial"/>
          <w:lang w:val="en-US"/>
        </w:rPr>
      </w:pPr>
      <w:r>
        <w:rPr>
          <w:rFonts w:cs="Arial"/>
          <w:b/>
          <w:lang w:val="en-US"/>
        </w:rPr>
        <w:t>A</w:t>
      </w:r>
      <w:r w:rsidRPr="0098783F">
        <w:rPr>
          <w:rFonts w:cs="Arial"/>
          <w:b/>
          <w:lang w:val="en-US"/>
        </w:rPr>
        <w:t>.</w:t>
      </w:r>
      <w:r w:rsidRPr="0098783F">
        <w:rPr>
          <w:rFonts w:cs="Arial"/>
          <w:lang w:val="en-US"/>
        </w:rPr>
        <w:t xml:space="preserve"> Introduction of the human NLS restores nucleolar targeting of dTasp. Stepwise mutation of the dTasp aa sequence into a functional bipartite NLS is indicated, critical aa underlined. Localization in living </w:t>
      </w:r>
      <w:r w:rsidRPr="0098783F">
        <w:rPr>
          <w:rFonts w:cs="Arial"/>
          <w:i/>
          <w:lang w:val="en-US"/>
        </w:rPr>
        <w:t xml:space="preserve">Drosophila </w:t>
      </w:r>
      <w:r w:rsidRPr="0098783F">
        <w:rPr>
          <w:rFonts w:cs="Arial"/>
          <w:lang w:val="en-US"/>
        </w:rPr>
        <w:t xml:space="preserve">S2 transfectants was analyzed by fluorescence microscopy. </w:t>
      </w:r>
      <w:r>
        <w:rPr>
          <w:rFonts w:cs="Arial"/>
          <w:b/>
          <w:lang w:val="en-US"/>
        </w:rPr>
        <w:t>B</w:t>
      </w:r>
      <w:r w:rsidRPr="0098783F">
        <w:rPr>
          <w:rFonts w:cs="Arial"/>
          <w:b/>
          <w:lang w:val="en-US"/>
        </w:rPr>
        <w:t>.</w:t>
      </w:r>
      <w:r w:rsidRPr="0098783F">
        <w:rPr>
          <w:rFonts w:cs="Arial"/>
          <w:lang w:val="en-US"/>
        </w:rPr>
        <w:t xml:space="preserve"> </w:t>
      </w:r>
      <w:r w:rsidRPr="0098783F">
        <w:rPr>
          <w:rFonts w:cs="Arial"/>
          <w:bCs/>
          <w:lang w:val="en-US"/>
        </w:rPr>
        <w:t>Co-transfection of the humanized NLS chimera did not affect the cleavage activity of dTasp, CS2 cleavage was favored compared to CS1. HeLa cells were transfected with 1 µg of BioTasp</w:t>
      </w:r>
      <w:r w:rsidRPr="0098783F">
        <w:rPr>
          <w:rFonts w:cs="Arial"/>
          <w:bCs/>
          <w:vertAlign w:val="subscript"/>
          <w:lang w:val="en-US"/>
        </w:rPr>
        <w:t xml:space="preserve">CS1 </w:t>
      </w:r>
      <w:r w:rsidRPr="0098783F">
        <w:rPr>
          <w:rFonts w:cs="Arial"/>
          <w:bCs/>
          <w:lang w:val="en-US"/>
        </w:rPr>
        <w:t>or BioTasp</w:t>
      </w:r>
      <w:r w:rsidRPr="0098783F">
        <w:rPr>
          <w:rFonts w:cs="Arial"/>
          <w:bCs/>
          <w:vertAlign w:val="subscript"/>
          <w:lang w:val="en-US"/>
        </w:rPr>
        <w:t>CS2</w:t>
      </w:r>
      <w:r w:rsidRPr="0098783F">
        <w:rPr>
          <w:rFonts w:cs="Arial"/>
          <w:bCs/>
          <w:lang w:val="en-US"/>
        </w:rPr>
        <w:t>, 0.1 µg dTasp-GFP together with 0.9 µg of dTasp-NLS</w:t>
      </w:r>
      <w:r w:rsidRPr="0098783F">
        <w:rPr>
          <w:rFonts w:cs="Arial"/>
          <w:bCs/>
          <w:vertAlign w:val="subscript"/>
          <w:lang w:val="en-US"/>
        </w:rPr>
        <w:t>hum</w:t>
      </w:r>
      <w:r w:rsidRPr="0098783F">
        <w:rPr>
          <w:rFonts w:cs="Arial"/>
          <w:bCs/>
          <w:lang w:val="en-US"/>
        </w:rPr>
        <w:t>-GFP chimera and analyzed 24 h later</w:t>
      </w:r>
      <w:r w:rsidRPr="0098783F">
        <w:rPr>
          <w:rFonts w:cs="Arial"/>
          <w:lang w:val="en-US"/>
        </w:rPr>
        <w:t>. Localization in living HeLa transfectants was analyzed by fluorescence microscopy. Scale bars, 10 µm.</w:t>
      </w:r>
    </w:p>
    <w:p w:rsidR="004D26F3" w:rsidRDefault="004D26F3" w:rsidP="004D26F3">
      <w:pPr>
        <w:spacing w:line="360" w:lineRule="auto"/>
      </w:pPr>
    </w:p>
    <w:sectPr w:rsidR="004D26F3" w:rsidSect="004D26F3">
      <w:footerReference w:type="default" r:id="rId7"/>
      <w:pgSz w:w="11906" w:h="16838"/>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82" w:rsidRPr="004D083A" w:rsidRDefault="004D26F3" w:rsidP="00564191">
    <w:pPr>
      <w:pStyle w:val="Fuzeile"/>
      <w:framePr w:wrap="around" w:vAnchor="text" w:hAnchor="margin" w:xAlign="right" w:y="1"/>
      <w:rPr>
        <w:rStyle w:val="Seitenzahl"/>
        <w:i/>
        <w:color w:val="808080" w:themeColor="background1" w:themeShade="80"/>
        <w:sz w:val="22"/>
      </w:rPr>
    </w:pPr>
    <w:r>
      <w:rPr>
        <w:rStyle w:val="Seitenzahl"/>
        <w:i/>
        <w:color w:val="808080" w:themeColor="background1" w:themeShade="80"/>
        <w:sz w:val="22"/>
      </w:rPr>
      <w:t>S</w:t>
    </w:r>
    <w:r w:rsidRPr="004D083A">
      <w:rPr>
        <w:rStyle w:val="Seitenzahl"/>
        <w:i/>
        <w:color w:val="808080" w:themeColor="background1" w:themeShade="80"/>
        <w:sz w:val="22"/>
      </w:rPr>
      <w:fldChar w:fldCharType="begin"/>
    </w:r>
    <w:r w:rsidRPr="004D083A">
      <w:rPr>
        <w:rStyle w:val="Seitenzahl"/>
        <w:i/>
        <w:color w:val="808080" w:themeColor="background1" w:themeShade="80"/>
        <w:sz w:val="22"/>
      </w:rPr>
      <w:instrText xml:space="preserve">PAGE  </w:instrText>
    </w:r>
    <w:r w:rsidRPr="004D083A">
      <w:rPr>
        <w:rStyle w:val="Seitenzahl"/>
        <w:i/>
        <w:color w:val="808080" w:themeColor="background1" w:themeShade="80"/>
        <w:sz w:val="22"/>
      </w:rPr>
      <w:fldChar w:fldCharType="separate"/>
    </w:r>
    <w:r>
      <w:rPr>
        <w:rStyle w:val="Seitenzahl"/>
        <w:i/>
        <w:noProof/>
        <w:color w:val="808080" w:themeColor="background1" w:themeShade="80"/>
        <w:sz w:val="22"/>
      </w:rPr>
      <w:t>2</w:t>
    </w:r>
    <w:r w:rsidRPr="004D083A">
      <w:rPr>
        <w:rStyle w:val="Seitenzahl"/>
        <w:i/>
        <w:color w:val="808080" w:themeColor="background1" w:themeShade="80"/>
        <w:sz w:val="22"/>
      </w:rPr>
      <w:fldChar w:fldCharType="end"/>
    </w:r>
  </w:p>
  <w:p w:rsidR="00F20A82" w:rsidRDefault="004D26F3" w:rsidP="004D083A">
    <w:pPr>
      <w:pStyle w:val="Fuzeil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D26F3"/>
    <w:rsid w:val="004D26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26F3"/>
    <w:pPr>
      <w:spacing w:line="240" w:lineRule="auto"/>
    </w:pPr>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4D26F3"/>
    <w:pPr>
      <w:tabs>
        <w:tab w:val="center" w:pos="4536"/>
        <w:tab w:val="right" w:pos="9072"/>
      </w:tabs>
      <w:spacing w:after="0"/>
    </w:pPr>
  </w:style>
  <w:style w:type="character" w:customStyle="1" w:styleId="FuzeileZchn">
    <w:name w:val="Fußzeile Zchn"/>
    <w:basedOn w:val="Absatz-Standardschriftart"/>
    <w:link w:val="Fuzeile"/>
    <w:uiPriority w:val="99"/>
    <w:rsid w:val="004D26F3"/>
    <w:rPr>
      <w:rFonts w:ascii="Arial" w:hAnsi="Arial"/>
      <w:sz w:val="24"/>
      <w:szCs w:val="24"/>
    </w:rPr>
  </w:style>
  <w:style w:type="character" w:styleId="Seitenzahl">
    <w:name w:val="page number"/>
    <w:basedOn w:val="Absatz-Standardschriftart"/>
    <w:uiPriority w:val="99"/>
    <w:semiHidden/>
    <w:unhideWhenUsed/>
    <w:rsid w:val="004D26F3"/>
  </w:style>
  <w:style w:type="character" w:styleId="Zeilennummer">
    <w:name w:val="line number"/>
    <w:basedOn w:val="Absatz-Standardschriftart"/>
    <w:uiPriority w:val="99"/>
    <w:semiHidden/>
    <w:unhideWhenUsed/>
    <w:rsid w:val="004D26F3"/>
  </w:style>
  <w:style w:type="paragraph" w:styleId="Sprechblasentext">
    <w:name w:val="Balloon Text"/>
    <w:basedOn w:val="Standard"/>
    <w:link w:val="SprechblasentextZchn"/>
    <w:uiPriority w:val="99"/>
    <w:semiHidden/>
    <w:unhideWhenUsed/>
    <w:rsid w:val="004D26F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26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2220</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krueger</dc:creator>
  <cp:lastModifiedBy>krueger</cp:lastModifiedBy>
  <cp:revision>1</cp:revision>
  <dcterms:created xsi:type="dcterms:W3CDTF">2015-02-02T16:57:00Z</dcterms:created>
  <dcterms:modified xsi:type="dcterms:W3CDTF">2015-02-02T16:59:00Z</dcterms:modified>
</cp:coreProperties>
</file>