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B8" w:rsidRPr="00557CB8" w:rsidRDefault="00557CB8" w:rsidP="00CB394C">
      <w:pPr>
        <w:spacing w:beforeLines="50" w:line="480" w:lineRule="auto"/>
        <w:rPr>
          <w:b/>
          <w:sz w:val="28"/>
          <w:szCs w:val="28"/>
        </w:rPr>
      </w:pPr>
      <w:bookmarkStart w:id="0" w:name="OLE_LINK48"/>
      <w:bookmarkStart w:id="1" w:name="OLE_LINK49"/>
      <w:bookmarkStart w:id="2" w:name="OLE_LINK57"/>
      <w:bookmarkStart w:id="3" w:name="OLE_LINK60"/>
      <w:r w:rsidRPr="00557CB8">
        <w:rPr>
          <w:b/>
          <w:sz w:val="28"/>
          <w:szCs w:val="28"/>
        </w:rPr>
        <w:t>SIRT2</w:t>
      </w:r>
      <w:bookmarkEnd w:id="0"/>
      <w:bookmarkEnd w:id="1"/>
      <w:r w:rsidRPr="00557CB8">
        <w:rPr>
          <w:b/>
          <w:sz w:val="28"/>
          <w:szCs w:val="28"/>
        </w:rPr>
        <w:t xml:space="preserve"> suppresses non-small cell lung cancer growth by targeting </w:t>
      </w:r>
      <w:bookmarkStart w:id="4" w:name="OLE_LINK50"/>
      <w:bookmarkStart w:id="5" w:name="OLE_LINK51"/>
      <w:r w:rsidRPr="00557CB8">
        <w:rPr>
          <w:b/>
          <w:sz w:val="28"/>
          <w:szCs w:val="28"/>
        </w:rPr>
        <w:t>JMJD2A</w:t>
      </w:r>
      <w:bookmarkEnd w:id="4"/>
      <w:bookmarkEnd w:id="5"/>
      <w:r w:rsidRPr="00557CB8">
        <w:rPr>
          <w:b/>
          <w:sz w:val="28"/>
          <w:szCs w:val="28"/>
        </w:rPr>
        <w:t xml:space="preserve"> </w:t>
      </w:r>
    </w:p>
    <w:p w:rsidR="00557CB8" w:rsidRPr="001B483F" w:rsidRDefault="00557CB8" w:rsidP="00557CB8">
      <w:pPr>
        <w:spacing w:line="480" w:lineRule="auto"/>
        <w:rPr>
          <w:sz w:val="24"/>
          <w:szCs w:val="24"/>
        </w:rPr>
      </w:pPr>
      <w:r w:rsidRPr="001B483F">
        <w:rPr>
          <w:sz w:val="24"/>
          <w:szCs w:val="24"/>
        </w:rPr>
        <w:t xml:space="preserve">Weihua Xu, Kanqiu Jiang, Mingjing Shen, Yongyue Qian, Yong Peng </w:t>
      </w:r>
    </w:p>
    <w:bookmarkEnd w:id="2"/>
    <w:bookmarkEnd w:id="3"/>
    <w:p w:rsidR="00CC7838" w:rsidRDefault="00CC7838" w:rsidP="00CB394C">
      <w:pPr>
        <w:spacing w:beforeLines="50" w:line="360" w:lineRule="auto"/>
        <w:rPr>
          <w:b/>
          <w:sz w:val="24"/>
          <w:szCs w:val="24"/>
        </w:rPr>
      </w:pPr>
    </w:p>
    <w:p w:rsidR="00CC7838" w:rsidRPr="00CC7838" w:rsidRDefault="00CC7838" w:rsidP="00CB394C">
      <w:pPr>
        <w:spacing w:beforeLines="50" w:line="360" w:lineRule="auto"/>
        <w:rPr>
          <w:b/>
          <w:sz w:val="28"/>
          <w:szCs w:val="28"/>
        </w:rPr>
      </w:pPr>
      <w:r w:rsidRPr="00CC7838">
        <w:rPr>
          <w:b/>
          <w:sz w:val="28"/>
          <w:szCs w:val="28"/>
        </w:rPr>
        <w:t xml:space="preserve">Supplementary </w:t>
      </w:r>
      <w:r w:rsidR="001B483F">
        <w:rPr>
          <w:b/>
          <w:sz w:val="28"/>
          <w:szCs w:val="28"/>
        </w:rPr>
        <w:t>m</w:t>
      </w:r>
      <w:r w:rsidRPr="00CC7838">
        <w:rPr>
          <w:b/>
          <w:sz w:val="28"/>
          <w:szCs w:val="28"/>
        </w:rPr>
        <w:t>aterials and methods</w:t>
      </w:r>
    </w:p>
    <w:p w:rsidR="001B483F" w:rsidRDefault="001B483F" w:rsidP="00CB394C">
      <w:pPr>
        <w:spacing w:beforeLines="50" w:line="360" w:lineRule="auto"/>
        <w:rPr>
          <w:b/>
          <w:bCs/>
          <w:sz w:val="24"/>
          <w:szCs w:val="24"/>
        </w:rPr>
      </w:pPr>
    </w:p>
    <w:p w:rsidR="00CC7838" w:rsidRPr="00CC7838" w:rsidRDefault="00CC7838" w:rsidP="00CB394C">
      <w:pPr>
        <w:spacing w:beforeLines="50" w:line="360" w:lineRule="auto"/>
        <w:rPr>
          <w:b/>
          <w:bCs/>
          <w:sz w:val="24"/>
          <w:szCs w:val="24"/>
        </w:rPr>
      </w:pPr>
      <w:r w:rsidRPr="00CC7838">
        <w:rPr>
          <w:b/>
          <w:bCs/>
          <w:sz w:val="24"/>
          <w:szCs w:val="24"/>
        </w:rPr>
        <w:t>Quantitative RT-PCR (qRT-PC</w:t>
      </w:r>
      <w:r w:rsidRPr="00CC7838">
        <w:rPr>
          <w:rFonts w:hint="eastAsia"/>
          <w:b/>
          <w:bCs/>
          <w:sz w:val="24"/>
          <w:szCs w:val="24"/>
        </w:rPr>
        <w:t>R</w:t>
      </w:r>
      <w:r w:rsidRPr="00CC7838">
        <w:rPr>
          <w:b/>
          <w:bCs/>
          <w:sz w:val="24"/>
          <w:szCs w:val="24"/>
        </w:rPr>
        <w:t>)</w:t>
      </w:r>
    </w:p>
    <w:p w:rsidR="00CC7838" w:rsidRDefault="00CC7838" w:rsidP="001B483F">
      <w:pPr>
        <w:widowControl/>
        <w:spacing w:line="360" w:lineRule="auto"/>
        <w:rPr>
          <w:bCs/>
          <w:kern w:val="0"/>
          <w:sz w:val="24"/>
          <w:szCs w:val="24"/>
        </w:rPr>
      </w:pPr>
      <w:r w:rsidRPr="008C4940">
        <w:rPr>
          <w:bCs/>
          <w:kern w:val="0"/>
          <w:sz w:val="24"/>
          <w:szCs w:val="24"/>
        </w:rPr>
        <w:t>Total RNA from tissues and cells was extracted using TRIzol reagent (Invitrogen) and reverse transcribed into cDNA using</w:t>
      </w:r>
      <w:bookmarkStart w:id="6" w:name="OLE_LINK5"/>
      <w:bookmarkStart w:id="7" w:name="OLE_LINK6"/>
      <w:r w:rsidRPr="008C4940">
        <w:rPr>
          <w:bCs/>
          <w:kern w:val="0"/>
          <w:sz w:val="24"/>
          <w:szCs w:val="24"/>
        </w:rPr>
        <w:t xml:space="preserve"> SuperScriptIII Reverse Transcriptase Kit</w:t>
      </w:r>
      <w:bookmarkEnd w:id="6"/>
      <w:bookmarkEnd w:id="7"/>
      <w:r w:rsidRPr="008C4940">
        <w:rPr>
          <w:bCs/>
          <w:kern w:val="0"/>
          <w:sz w:val="24"/>
          <w:szCs w:val="24"/>
        </w:rPr>
        <w:t xml:space="preserve"> (Invitrogen), following the manufacturer’s instructions. Quantitative RT-PCR (qRT-PCR) for mRNA level was performed using the SYBR® Premix Dimmer Eraser Kit (TaKaRa) on the ABI7500 system (Applied Biosystems, CA). GAPDH served as an internal standard. The relative fold change of mRNAs was calculated using 2</w:t>
      </w:r>
      <w:r w:rsidRPr="008C4940">
        <w:rPr>
          <w:bCs/>
          <w:kern w:val="0"/>
          <w:sz w:val="24"/>
          <w:szCs w:val="24"/>
          <w:vertAlign w:val="superscript"/>
        </w:rPr>
        <w:t xml:space="preserve">−ΔΔCt </w:t>
      </w:r>
      <w:r w:rsidRPr="008C4940">
        <w:rPr>
          <w:bCs/>
          <w:kern w:val="0"/>
          <w:sz w:val="24"/>
          <w:szCs w:val="24"/>
        </w:rPr>
        <w:t>method. Primer sequences were referenced from the previous research</w:t>
      </w:r>
      <w:r>
        <w:rPr>
          <w:rFonts w:hint="eastAsia"/>
          <w:bCs/>
          <w:kern w:val="0"/>
          <w:sz w:val="24"/>
          <w:szCs w:val="24"/>
        </w:rPr>
        <w:t xml:space="preserve"> </w:t>
      </w:r>
      <w:r w:rsidR="002C2405">
        <w:rPr>
          <w:rFonts w:hint="eastAsia"/>
          <w:bCs/>
          <w:kern w:val="0"/>
          <w:sz w:val="24"/>
          <w:szCs w:val="24"/>
        </w:rPr>
        <w:t>(</w:t>
      </w:r>
      <w:r w:rsidR="00557CB8">
        <w:rPr>
          <w:rFonts w:hint="eastAsia"/>
          <w:bCs/>
          <w:kern w:val="0"/>
          <w:sz w:val="24"/>
          <w:szCs w:val="24"/>
        </w:rPr>
        <w:t>Li et al.</w:t>
      </w:r>
      <w:r>
        <w:rPr>
          <w:bCs/>
          <w:kern w:val="0"/>
          <w:sz w:val="24"/>
          <w:szCs w:val="24"/>
        </w:rPr>
        <w:t>,</w:t>
      </w:r>
      <w:r w:rsidR="00557CB8">
        <w:rPr>
          <w:rFonts w:hint="eastAsia"/>
          <w:bCs/>
          <w:kern w:val="0"/>
          <w:sz w:val="24"/>
          <w:szCs w:val="24"/>
        </w:rPr>
        <w:t xml:space="preserve"> 2013;</w:t>
      </w:r>
      <w:r>
        <w:rPr>
          <w:bCs/>
          <w:kern w:val="0"/>
          <w:sz w:val="24"/>
          <w:szCs w:val="24"/>
        </w:rPr>
        <w:t xml:space="preserve"> </w:t>
      </w:r>
      <w:r w:rsidR="00557CB8" w:rsidRPr="00391283">
        <w:rPr>
          <w:noProof/>
          <w:sz w:val="24"/>
          <w:szCs w:val="24"/>
        </w:rPr>
        <w:t>Mallette and Richard</w:t>
      </w:r>
      <w:r w:rsidR="00557CB8">
        <w:rPr>
          <w:rFonts w:hint="eastAsia"/>
          <w:noProof/>
          <w:sz w:val="24"/>
          <w:szCs w:val="24"/>
        </w:rPr>
        <w:t>,</w:t>
      </w:r>
      <w:r w:rsidR="00557CB8">
        <w:rPr>
          <w:bCs/>
          <w:kern w:val="0"/>
          <w:sz w:val="24"/>
          <w:szCs w:val="24"/>
        </w:rPr>
        <w:t xml:space="preserve"> </w:t>
      </w:r>
      <w:r>
        <w:rPr>
          <w:bCs/>
          <w:kern w:val="0"/>
          <w:sz w:val="24"/>
          <w:szCs w:val="24"/>
        </w:rPr>
        <w:t>2</w:t>
      </w:r>
      <w:r w:rsidR="00557CB8">
        <w:rPr>
          <w:rFonts w:hint="eastAsia"/>
          <w:bCs/>
          <w:kern w:val="0"/>
          <w:sz w:val="24"/>
          <w:szCs w:val="24"/>
        </w:rPr>
        <w:t>012</w:t>
      </w:r>
      <w:r w:rsidR="002C2405">
        <w:rPr>
          <w:rFonts w:hint="eastAsia"/>
          <w:bCs/>
          <w:kern w:val="0"/>
          <w:sz w:val="24"/>
          <w:szCs w:val="24"/>
        </w:rPr>
        <w:t>)</w:t>
      </w:r>
      <w:r w:rsidRPr="008C4940">
        <w:rPr>
          <w:bCs/>
          <w:kern w:val="0"/>
          <w:sz w:val="24"/>
          <w:szCs w:val="24"/>
        </w:rPr>
        <w:t>.</w:t>
      </w:r>
    </w:p>
    <w:p w:rsidR="001B483F" w:rsidRPr="008C4940" w:rsidRDefault="001B483F" w:rsidP="00DB3D7B">
      <w:pPr>
        <w:widowControl/>
        <w:spacing w:line="360" w:lineRule="auto"/>
        <w:ind w:firstLineChars="200" w:firstLine="480"/>
        <w:rPr>
          <w:bCs/>
          <w:kern w:val="0"/>
          <w:sz w:val="24"/>
          <w:szCs w:val="24"/>
        </w:rPr>
      </w:pPr>
    </w:p>
    <w:p w:rsidR="00CC7838" w:rsidRPr="00CC7838" w:rsidRDefault="00CC7838" w:rsidP="00DB3D7B">
      <w:pPr>
        <w:widowControl/>
        <w:spacing w:line="360" w:lineRule="auto"/>
        <w:rPr>
          <w:b/>
          <w:bCs/>
          <w:sz w:val="24"/>
          <w:szCs w:val="24"/>
        </w:rPr>
      </w:pPr>
      <w:r w:rsidRPr="00CC7838">
        <w:rPr>
          <w:b/>
          <w:bCs/>
          <w:sz w:val="24"/>
          <w:szCs w:val="24"/>
        </w:rPr>
        <w:t>Western blotting</w:t>
      </w:r>
      <w:r w:rsidR="00CB394C">
        <w:rPr>
          <w:b/>
          <w:bCs/>
          <w:sz w:val="24"/>
          <w:szCs w:val="24"/>
        </w:rPr>
        <w:t xml:space="preserve"> </w:t>
      </w:r>
    </w:p>
    <w:p w:rsidR="00CC7838" w:rsidRDefault="00CC7838" w:rsidP="001B483F">
      <w:pPr>
        <w:widowControl/>
        <w:spacing w:line="360" w:lineRule="auto"/>
        <w:rPr>
          <w:bCs/>
          <w:kern w:val="0"/>
          <w:sz w:val="24"/>
          <w:szCs w:val="24"/>
        </w:rPr>
      </w:pPr>
      <w:r w:rsidRPr="008C4940">
        <w:rPr>
          <w:bCs/>
          <w:kern w:val="0"/>
          <w:sz w:val="24"/>
          <w:szCs w:val="24"/>
        </w:rPr>
        <w:t xml:space="preserve">Total protein from NSCLC tissues and cells was extracted and the protein concentration was measured by the </w:t>
      </w:r>
      <w:r w:rsidRPr="008C4940">
        <w:rPr>
          <w:kern w:val="0"/>
          <w:sz w:val="24"/>
          <w:szCs w:val="24"/>
        </w:rPr>
        <w:t xml:space="preserve">Bio-Rad protein assay. </w:t>
      </w:r>
      <w:r w:rsidRPr="008C4940">
        <w:rPr>
          <w:bCs/>
          <w:kern w:val="0"/>
          <w:sz w:val="24"/>
          <w:szCs w:val="24"/>
        </w:rPr>
        <w:t>Western blot was performed as previously described</w:t>
      </w:r>
      <w:r w:rsidR="002C2405">
        <w:rPr>
          <w:rFonts w:hint="eastAsia"/>
          <w:bCs/>
          <w:kern w:val="0"/>
          <w:sz w:val="24"/>
          <w:szCs w:val="24"/>
        </w:rPr>
        <w:t xml:space="preserve"> (</w:t>
      </w:r>
      <w:r w:rsidR="002C2405" w:rsidRPr="00391283">
        <w:rPr>
          <w:sz w:val="24"/>
          <w:szCs w:val="24"/>
          <w:shd w:val="clear" w:color="auto" w:fill="FFFFFF"/>
        </w:rPr>
        <w:t>Das</w:t>
      </w:r>
      <w:r w:rsidR="002C2405">
        <w:rPr>
          <w:rFonts w:hint="eastAsia"/>
          <w:sz w:val="24"/>
          <w:szCs w:val="24"/>
          <w:shd w:val="clear" w:color="auto" w:fill="FFFFFF"/>
        </w:rPr>
        <w:t xml:space="preserve"> et al., 2014</w:t>
      </w:r>
      <w:r w:rsidR="002C2405">
        <w:rPr>
          <w:rFonts w:hint="eastAsia"/>
          <w:bCs/>
          <w:kern w:val="0"/>
          <w:sz w:val="24"/>
          <w:szCs w:val="24"/>
        </w:rPr>
        <w:t>)</w:t>
      </w:r>
      <w:r w:rsidRPr="008C4940">
        <w:rPr>
          <w:bCs/>
          <w:kern w:val="0"/>
          <w:sz w:val="24"/>
          <w:szCs w:val="24"/>
        </w:rPr>
        <w:t xml:space="preserve">. The following antibodies were used: </w:t>
      </w:r>
      <w:bookmarkStart w:id="8" w:name="OLE_LINK33"/>
      <w:bookmarkStart w:id="9" w:name="OLE_LINK34"/>
      <w:r w:rsidRPr="008C4940">
        <w:rPr>
          <w:bCs/>
          <w:kern w:val="0"/>
          <w:sz w:val="24"/>
          <w:szCs w:val="24"/>
        </w:rPr>
        <w:t>JMJD2A</w:t>
      </w:r>
      <w:bookmarkEnd w:id="8"/>
      <w:bookmarkEnd w:id="9"/>
      <w:r w:rsidRPr="008C4940">
        <w:rPr>
          <w:bCs/>
          <w:kern w:val="0"/>
          <w:sz w:val="24"/>
          <w:szCs w:val="24"/>
        </w:rPr>
        <w:t xml:space="preserve"> (Santa Cruz), SIRT2 (Santa Cruz), β-actin (Santa Cruz) and GAPDH (Santa Cruz). All of the western blot data have been repeated three times independently and only representa</w:t>
      </w:r>
      <w:r w:rsidR="001B483F">
        <w:rPr>
          <w:bCs/>
          <w:kern w:val="0"/>
          <w:sz w:val="24"/>
          <w:szCs w:val="24"/>
        </w:rPr>
        <w:t>tive images are shown in the F</w:t>
      </w:r>
      <w:r w:rsidRPr="008C4940">
        <w:rPr>
          <w:bCs/>
          <w:kern w:val="0"/>
          <w:sz w:val="24"/>
          <w:szCs w:val="24"/>
        </w:rPr>
        <w:t>igures.</w:t>
      </w:r>
    </w:p>
    <w:p w:rsidR="001B483F" w:rsidRPr="008C4940" w:rsidRDefault="001B483F" w:rsidP="00DB3D7B">
      <w:pPr>
        <w:widowControl/>
        <w:spacing w:line="360" w:lineRule="auto"/>
        <w:ind w:firstLineChars="200" w:firstLine="480"/>
        <w:rPr>
          <w:kern w:val="0"/>
          <w:sz w:val="24"/>
          <w:szCs w:val="24"/>
        </w:rPr>
      </w:pPr>
    </w:p>
    <w:p w:rsidR="00CC7838" w:rsidRPr="00CC7838" w:rsidRDefault="00CC7838" w:rsidP="00CB394C">
      <w:pPr>
        <w:spacing w:beforeLines="50" w:line="360" w:lineRule="auto"/>
        <w:rPr>
          <w:b/>
          <w:bCs/>
          <w:kern w:val="0"/>
          <w:sz w:val="24"/>
          <w:szCs w:val="24"/>
        </w:rPr>
      </w:pPr>
      <w:r w:rsidRPr="00CC7838">
        <w:rPr>
          <w:b/>
          <w:bCs/>
          <w:kern w:val="0"/>
          <w:sz w:val="24"/>
          <w:szCs w:val="24"/>
        </w:rPr>
        <w:t xml:space="preserve">Cell </w:t>
      </w:r>
      <w:bookmarkStart w:id="10" w:name="OLE_LINK42"/>
      <w:bookmarkStart w:id="11" w:name="OLE_LINK43"/>
      <w:r w:rsidRPr="00CC7838">
        <w:rPr>
          <w:b/>
          <w:bCs/>
          <w:kern w:val="0"/>
          <w:sz w:val="24"/>
          <w:szCs w:val="24"/>
        </w:rPr>
        <w:t>infection</w:t>
      </w:r>
      <w:bookmarkEnd w:id="10"/>
      <w:bookmarkEnd w:id="11"/>
      <w:r w:rsidRPr="00CC7838">
        <w:rPr>
          <w:b/>
          <w:bCs/>
          <w:kern w:val="0"/>
          <w:sz w:val="24"/>
          <w:szCs w:val="24"/>
        </w:rPr>
        <w:t xml:space="preserve"> and transient transfection</w:t>
      </w:r>
    </w:p>
    <w:p w:rsidR="00CC7838" w:rsidRPr="008C4940" w:rsidRDefault="00CC7838" w:rsidP="001B483F">
      <w:pPr>
        <w:spacing w:line="360" w:lineRule="auto"/>
        <w:rPr>
          <w:bCs/>
          <w:kern w:val="0"/>
          <w:sz w:val="24"/>
          <w:szCs w:val="24"/>
        </w:rPr>
      </w:pPr>
      <w:r w:rsidRPr="008C4940">
        <w:rPr>
          <w:bCs/>
          <w:kern w:val="0"/>
          <w:sz w:val="24"/>
          <w:szCs w:val="24"/>
        </w:rPr>
        <w:t xml:space="preserve">For over-expression, A549 cell lines were infected with adenovirus expressing GFP (Ad-NC) or </w:t>
      </w:r>
      <w:bookmarkStart w:id="12" w:name="OLE_LINK31"/>
      <w:bookmarkStart w:id="13" w:name="OLE_LINK32"/>
      <w:r w:rsidRPr="008C4940">
        <w:rPr>
          <w:bCs/>
          <w:kern w:val="0"/>
          <w:sz w:val="24"/>
          <w:szCs w:val="24"/>
        </w:rPr>
        <w:t>SIRT2</w:t>
      </w:r>
      <w:bookmarkEnd w:id="12"/>
      <w:bookmarkEnd w:id="13"/>
      <w:r w:rsidRPr="008C4940">
        <w:rPr>
          <w:bCs/>
          <w:kern w:val="0"/>
          <w:sz w:val="24"/>
          <w:szCs w:val="24"/>
        </w:rPr>
        <w:t xml:space="preserve"> (Ad-SIRT2) as previously described</w:t>
      </w:r>
      <w:r>
        <w:rPr>
          <w:rFonts w:hint="eastAsia"/>
          <w:bCs/>
          <w:kern w:val="0"/>
          <w:sz w:val="24"/>
          <w:szCs w:val="24"/>
        </w:rPr>
        <w:t xml:space="preserve"> </w:t>
      </w:r>
      <w:r w:rsidR="002C2405">
        <w:rPr>
          <w:rFonts w:hint="eastAsia"/>
          <w:bCs/>
          <w:kern w:val="0"/>
          <w:sz w:val="24"/>
          <w:szCs w:val="24"/>
        </w:rPr>
        <w:t>(Li et al.</w:t>
      </w:r>
      <w:r w:rsidR="002C2405">
        <w:rPr>
          <w:bCs/>
          <w:kern w:val="0"/>
          <w:sz w:val="24"/>
          <w:szCs w:val="24"/>
        </w:rPr>
        <w:t>,</w:t>
      </w:r>
      <w:r w:rsidR="002C2405">
        <w:rPr>
          <w:rFonts w:hint="eastAsia"/>
          <w:bCs/>
          <w:kern w:val="0"/>
          <w:sz w:val="24"/>
          <w:szCs w:val="24"/>
        </w:rPr>
        <w:t xml:space="preserve"> 2013)</w:t>
      </w:r>
      <w:r w:rsidRPr="008C4940">
        <w:rPr>
          <w:bCs/>
          <w:kern w:val="0"/>
          <w:sz w:val="24"/>
          <w:szCs w:val="24"/>
        </w:rPr>
        <w:t>. The human SIRT2 cDNA was inserted into D-TOPO vector (Invitrogen). The D-TOPO- SIRT2 plasmid was cloned into the pAd/CMV/V5-DEST vector (Invitrogen) using LR Clonase (Invitrogen). The plasmid was linearized with PacI and was transfected into A549 cel</w:t>
      </w:r>
      <w:r w:rsidR="002C2405">
        <w:rPr>
          <w:bCs/>
          <w:kern w:val="0"/>
          <w:sz w:val="24"/>
          <w:szCs w:val="24"/>
        </w:rPr>
        <w:t>ls for production of adenovirus</w:t>
      </w:r>
      <w:r w:rsidRPr="008C4940">
        <w:rPr>
          <w:bCs/>
          <w:kern w:val="0"/>
          <w:sz w:val="24"/>
          <w:szCs w:val="24"/>
        </w:rPr>
        <w:t xml:space="preserve">. </w:t>
      </w:r>
    </w:p>
    <w:p w:rsidR="00CC7838" w:rsidRDefault="00CC7838" w:rsidP="00DB3D7B">
      <w:pPr>
        <w:spacing w:line="360" w:lineRule="auto"/>
        <w:ind w:firstLineChars="200" w:firstLine="480"/>
        <w:rPr>
          <w:bCs/>
          <w:kern w:val="0"/>
          <w:sz w:val="24"/>
          <w:szCs w:val="24"/>
        </w:rPr>
      </w:pPr>
      <w:r w:rsidRPr="008C4940">
        <w:rPr>
          <w:bCs/>
          <w:kern w:val="0"/>
          <w:sz w:val="24"/>
          <w:szCs w:val="24"/>
        </w:rPr>
        <w:lastRenderedPageBreak/>
        <w:t>F</w:t>
      </w:r>
      <w:r w:rsidR="001B483F">
        <w:rPr>
          <w:bCs/>
          <w:kern w:val="0"/>
          <w:sz w:val="24"/>
          <w:szCs w:val="24"/>
        </w:rPr>
        <w:t>or SIRT2 knockdown, retrovirus</w:t>
      </w:r>
      <w:r w:rsidRPr="008C4940">
        <w:rPr>
          <w:bCs/>
          <w:kern w:val="0"/>
          <w:sz w:val="24"/>
          <w:szCs w:val="24"/>
        </w:rPr>
        <w:t xml:space="preserve"> infection Sh-RNA was produced </w:t>
      </w:r>
      <w:bookmarkStart w:id="14" w:name="OLE_LINK44"/>
      <w:bookmarkStart w:id="15" w:name="OLE_LINK45"/>
      <w:r w:rsidRPr="008C4940">
        <w:rPr>
          <w:bCs/>
          <w:kern w:val="0"/>
          <w:sz w:val="24"/>
          <w:szCs w:val="24"/>
        </w:rPr>
        <w:t>as Jing et al. described</w:t>
      </w:r>
      <w:bookmarkEnd w:id="14"/>
      <w:bookmarkEnd w:id="15"/>
      <w:r>
        <w:rPr>
          <w:rFonts w:hint="eastAsia"/>
          <w:bCs/>
          <w:kern w:val="0"/>
          <w:sz w:val="24"/>
          <w:szCs w:val="24"/>
        </w:rPr>
        <w:t xml:space="preserve"> </w:t>
      </w:r>
      <w:r w:rsidR="002C2405">
        <w:rPr>
          <w:rFonts w:hint="eastAsia"/>
          <w:bCs/>
          <w:kern w:val="0"/>
          <w:sz w:val="24"/>
          <w:szCs w:val="24"/>
        </w:rPr>
        <w:t>(Han et al.</w:t>
      </w:r>
      <w:r w:rsidR="002C2405">
        <w:rPr>
          <w:bCs/>
          <w:kern w:val="0"/>
          <w:sz w:val="24"/>
          <w:szCs w:val="24"/>
        </w:rPr>
        <w:t>,</w:t>
      </w:r>
      <w:r w:rsidR="002C2405">
        <w:rPr>
          <w:rFonts w:hint="eastAsia"/>
          <w:bCs/>
          <w:kern w:val="0"/>
          <w:sz w:val="24"/>
          <w:szCs w:val="24"/>
        </w:rPr>
        <w:t xml:space="preserve"> 2013)</w:t>
      </w:r>
      <w:r w:rsidRPr="008C4940">
        <w:rPr>
          <w:bCs/>
          <w:kern w:val="0"/>
          <w:sz w:val="24"/>
          <w:szCs w:val="24"/>
        </w:rPr>
        <w:t>. Briefly, STRT2 shRNAs were designed using the Dhamarcon website. Stable retroviral transduction of A549 cells was ac</w:t>
      </w:r>
      <w:r w:rsidR="001B483F">
        <w:rPr>
          <w:bCs/>
          <w:kern w:val="0"/>
          <w:sz w:val="24"/>
          <w:szCs w:val="24"/>
        </w:rPr>
        <w:t>hieved by infection for 12-16 h</w:t>
      </w:r>
      <w:r w:rsidRPr="008C4940">
        <w:rPr>
          <w:bCs/>
          <w:kern w:val="0"/>
          <w:sz w:val="24"/>
          <w:szCs w:val="24"/>
        </w:rPr>
        <w:t xml:space="preserve">. Selection was initiated with either Puromycin or Zeocin and stopped as soon as the noninfected control cell died off, and the media were replaced with normal-growing media. </w:t>
      </w:r>
    </w:p>
    <w:p w:rsidR="00CC7838" w:rsidRDefault="00CC7838" w:rsidP="00DB3D7B">
      <w:pPr>
        <w:spacing w:line="360" w:lineRule="auto"/>
        <w:rPr>
          <w:bCs/>
          <w:kern w:val="0"/>
          <w:sz w:val="24"/>
          <w:szCs w:val="24"/>
        </w:rPr>
      </w:pPr>
    </w:p>
    <w:p w:rsidR="00CC7838" w:rsidRDefault="00CC7838" w:rsidP="00DB3D7B">
      <w:pPr>
        <w:spacing w:line="360" w:lineRule="auto"/>
        <w:rPr>
          <w:noProof/>
          <w:sz w:val="20"/>
          <w:szCs w:val="24"/>
        </w:rPr>
      </w:pPr>
      <w:bookmarkStart w:id="16" w:name="_ENREF_29"/>
    </w:p>
    <w:p w:rsidR="00CC7838" w:rsidRDefault="00CC7838" w:rsidP="00DB3D7B">
      <w:pPr>
        <w:spacing w:line="360" w:lineRule="auto"/>
        <w:ind w:left="720" w:hanging="720"/>
        <w:rPr>
          <w:b/>
          <w:noProof/>
          <w:sz w:val="28"/>
          <w:szCs w:val="28"/>
        </w:rPr>
      </w:pPr>
      <w:r w:rsidRPr="00CC7838">
        <w:rPr>
          <w:rFonts w:hint="eastAsia"/>
          <w:b/>
          <w:noProof/>
          <w:sz w:val="28"/>
          <w:szCs w:val="28"/>
        </w:rPr>
        <w:t>References</w:t>
      </w:r>
    </w:p>
    <w:p w:rsidR="001B483F" w:rsidRPr="00CC7838" w:rsidRDefault="001B483F" w:rsidP="00DB3D7B">
      <w:pPr>
        <w:spacing w:line="360" w:lineRule="auto"/>
        <w:ind w:left="720" w:hanging="720"/>
        <w:rPr>
          <w:b/>
          <w:noProof/>
          <w:sz w:val="28"/>
          <w:szCs w:val="28"/>
        </w:rPr>
      </w:pPr>
    </w:p>
    <w:bookmarkEnd w:id="16"/>
    <w:p w:rsidR="001B483F" w:rsidRDefault="001B483F" w:rsidP="001B483F">
      <w:pPr>
        <w:pStyle w:val="Listenabsatz"/>
        <w:spacing w:line="360" w:lineRule="auto"/>
        <w:ind w:left="426" w:firstLineChars="0" w:hanging="426"/>
        <w:rPr>
          <w:noProof/>
          <w:color w:val="000000" w:themeColor="text1"/>
          <w:sz w:val="24"/>
          <w:szCs w:val="24"/>
        </w:rPr>
      </w:pPr>
      <w:r w:rsidRPr="00391283">
        <w:rPr>
          <w:sz w:val="24"/>
          <w:szCs w:val="24"/>
          <w:shd w:val="clear" w:color="auto" w:fill="FFFFFF"/>
        </w:rPr>
        <w:t>Das, A</w:t>
      </w:r>
      <w:r w:rsidRPr="00391283">
        <w:rPr>
          <w:sz w:val="24"/>
          <w:szCs w:val="24"/>
        </w:rPr>
        <w:t>.</w:t>
      </w:r>
      <w:r w:rsidRPr="00391283">
        <w:rPr>
          <w:color w:val="000000" w:themeColor="text1"/>
          <w:sz w:val="24"/>
          <w:szCs w:val="24"/>
          <w:shd w:val="clear" w:color="auto" w:fill="FFFFFF"/>
        </w:rPr>
        <w:t>,</w:t>
      </w:r>
      <w:r w:rsidRPr="00391283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391283">
        <w:rPr>
          <w:sz w:val="24"/>
          <w:szCs w:val="24"/>
          <w:shd w:val="clear" w:color="auto" w:fill="FFFFFF"/>
        </w:rPr>
        <w:t>Chai, J.C</w:t>
      </w:r>
      <w:r w:rsidRPr="00391283">
        <w:rPr>
          <w:color w:val="000000" w:themeColor="text1"/>
          <w:sz w:val="24"/>
          <w:szCs w:val="24"/>
        </w:rPr>
        <w:t>.</w:t>
      </w:r>
      <w:r w:rsidRPr="00391283">
        <w:rPr>
          <w:color w:val="000000" w:themeColor="text1"/>
          <w:sz w:val="24"/>
          <w:szCs w:val="24"/>
          <w:shd w:val="clear" w:color="auto" w:fill="FFFFFF"/>
        </w:rPr>
        <w:t>,</w:t>
      </w:r>
      <w:r w:rsidRPr="00391283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391283">
        <w:rPr>
          <w:sz w:val="24"/>
          <w:szCs w:val="24"/>
          <w:shd w:val="clear" w:color="auto" w:fill="FFFFFF"/>
        </w:rPr>
        <w:t>Jung, K.H</w:t>
      </w:r>
      <w:r w:rsidRPr="00391283">
        <w:rPr>
          <w:sz w:val="24"/>
          <w:szCs w:val="24"/>
        </w:rPr>
        <w:t>.</w:t>
      </w:r>
      <w:r w:rsidRPr="00391283">
        <w:rPr>
          <w:color w:val="000000" w:themeColor="text1"/>
          <w:sz w:val="24"/>
          <w:szCs w:val="24"/>
          <w:shd w:val="clear" w:color="auto" w:fill="FFFFFF"/>
        </w:rPr>
        <w:t>,</w:t>
      </w:r>
      <w:r w:rsidRPr="00391283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391283">
        <w:rPr>
          <w:sz w:val="24"/>
          <w:szCs w:val="24"/>
          <w:shd w:val="clear" w:color="auto" w:fill="FFFFFF"/>
        </w:rPr>
        <w:t>Das, N.D</w:t>
      </w:r>
      <w:r w:rsidRPr="00391283">
        <w:rPr>
          <w:sz w:val="24"/>
          <w:szCs w:val="24"/>
        </w:rPr>
        <w:t>.</w:t>
      </w:r>
      <w:r w:rsidRPr="00391283">
        <w:rPr>
          <w:color w:val="000000" w:themeColor="text1"/>
          <w:sz w:val="24"/>
          <w:szCs w:val="24"/>
          <w:shd w:val="clear" w:color="auto" w:fill="FFFFFF"/>
        </w:rPr>
        <w:t>,</w:t>
      </w:r>
      <w:r w:rsidRPr="00391283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391283">
        <w:rPr>
          <w:sz w:val="24"/>
          <w:szCs w:val="24"/>
          <w:shd w:val="clear" w:color="auto" w:fill="FFFFFF"/>
        </w:rPr>
        <w:t>Kang, S.C</w:t>
      </w:r>
      <w:r w:rsidRPr="00391283">
        <w:rPr>
          <w:sz w:val="24"/>
          <w:szCs w:val="24"/>
        </w:rPr>
        <w:t>.</w:t>
      </w:r>
      <w:r w:rsidRPr="00391283">
        <w:rPr>
          <w:color w:val="000000" w:themeColor="text1"/>
          <w:sz w:val="24"/>
          <w:szCs w:val="24"/>
          <w:shd w:val="clear" w:color="auto" w:fill="FFFFFF"/>
        </w:rPr>
        <w:t>,</w:t>
      </w:r>
      <w:r w:rsidRPr="00391283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391283">
        <w:rPr>
          <w:sz w:val="24"/>
          <w:szCs w:val="24"/>
          <w:shd w:val="clear" w:color="auto" w:fill="FFFFFF"/>
        </w:rPr>
        <w:t>Lee, Y.S</w:t>
      </w:r>
      <w:r w:rsidRPr="00391283">
        <w:rPr>
          <w:sz w:val="24"/>
          <w:szCs w:val="24"/>
        </w:rPr>
        <w:t>.</w:t>
      </w:r>
      <w:r w:rsidRPr="00391283">
        <w:rPr>
          <w:noProof/>
          <w:sz w:val="24"/>
          <w:szCs w:val="24"/>
        </w:rPr>
        <w:t xml:space="preserve">, Seo, H. and Chai,  Y.G. </w:t>
      </w:r>
      <w:r w:rsidRPr="00391283">
        <w:rPr>
          <w:noProof/>
          <w:color w:val="000000" w:themeColor="text1"/>
          <w:sz w:val="24"/>
          <w:szCs w:val="24"/>
        </w:rPr>
        <w:t xml:space="preserve">(2014). </w:t>
      </w:r>
      <w:r w:rsidRPr="00391283">
        <w:rPr>
          <w:noProof/>
          <w:sz w:val="24"/>
          <w:szCs w:val="24"/>
        </w:rPr>
        <w:t xml:space="preserve">JMJD2A attenuation affects cell cycle and tumourigenic inflammatory gene regulation in lipopolysaccharide stimulated neuroectodermal stem cells. </w:t>
      </w:r>
      <w:r w:rsidRPr="00391283">
        <w:rPr>
          <w:sz w:val="24"/>
          <w:szCs w:val="24"/>
          <w:shd w:val="clear" w:color="auto" w:fill="FFFFFF"/>
        </w:rPr>
        <w:t>Exp.</w:t>
      </w:r>
      <w:r w:rsidRPr="00391283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391283">
        <w:rPr>
          <w:rStyle w:val="highlight"/>
          <w:color w:val="000000" w:themeColor="text1"/>
          <w:sz w:val="24"/>
          <w:szCs w:val="24"/>
          <w:shd w:val="clear" w:color="auto" w:fill="FFFFFF"/>
        </w:rPr>
        <w:t>Cell</w:t>
      </w:r>
      <w:r w:rsidRPr="00391283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391283">
        <w:rPr>
          <w:sz w:val="24"/>
          <w:szCs w:val="24"/>
          <w:shd w:val="clear" w:color="auto" w:fill="FFFFFF"/>
        </w:rPr>
        <w:t>Res</w:t>
      </w:r>
      <w:r w:rsidRPr="00391283">
        <w:rPr>
          <w:sz w:val="24"/>
          <w:szCs w:val="24"/>
        </w:rPr>
        <w:t>.</w:t>
      </w:r>
      <w:r w:rsidRPr="00391283">
        <w:rPr>
          <w:noProof/>
          <w:color w:val="000000" w:themeColor="text1"/>
          <w:sz w:val="24"/>
          <w:szCs w:val="24"/>
        </w:rPr>
        <w:t xml:space="preserve"> </w:t>
      </w:r>
      <w:r w:rsidRPr="00391283">
        <w:rPr>
          <w:i/>
          <w:noProof/>
          <w:color w:val="000000" w:themeColor="text1"/>
          <w:sz w:val="24"/>
          <w:szCs w:val="24"/>
        </w:rPr>
        <w:t>328</w:t>
      </w:r>
      <w:r w:rsidRPr="00391283">
        <w:rPr>
          <w:noProof/>
          <w:color w:val="000000" w:themeColor="text1"/>
          <w:sz w:val="24"/>
          <w:szCs w:val="24"/>
        </w:rPr>
        <w:t>, 361-378.</w:t>
      </w:r>
    </w:p>
    <w:p w:rsidR="001B483F" w:rsidRPr="00391283" w:rsidRDefault="001B483F" w:rsidP="001B483F">
      <w:pPr>
        <w:pStyle w:val="Listenabsatz"/>
        <w:spacing w:line="360" w:lineRule="auto"/>
        <w:ind w:left="426" w:firstLineChars="0" w:hanging="426"/>
        <w:rPr>
          <w:noProof/>
          <w:sz w:val="24"/>
          <w:szCs w:val="24"/>
        </w:rPr>
      </w:pPr>
      <w:r w:rsidRPr="00391283">
        <w:rPr>
          <w:noProof/>
          <w:sz w:val="24"/>
          <w:szCs w:val="24"/>
        </w:rPr>
        <w:t>Han, W., Xin, Z., Zhao, Z., Bao, W., Lin, X., Yin, B., Zhao, J., Yuan, J., Qiang, B. and Peng, X. (2013). RNA-binding protein PCBP2 modulates glioma g</w:t>
      </w:r>
      <w:r>
        <w:rPr>
          <w:noProof/>
          <w:sz w:val="24"/>
          <w:szCs w:val="24"/>
        </w:rPr>
        <w:t xml:space="preserve">rowth by regulating </w:t>
      </w:r>
      <w:r w:rsidRPr="001B483F">
        <w:rPr>
          <w:i/>
          <w:noProof/>
          <w:sz w:val="24"/>
          <w:szCs w:val="24"/>
        </w:rPr>
        <w:t>FHL3</w:t>
      </w:r>
      <w:r w:rsidRPr="00391283">
        <w:rPr>
          <w:noProof/>
          <w:sz w:val="24"/>
          <w:szCs w:val="24"/>
        </w:rPr>
        <w:t xml:space="preserve">. J. Clin. Invest. </w:t>
      </w:r>
      <w:r w:rsidRPr="00391283">
        <w:rPr>
          <w:i/>
          <w:noProof/>
          <w:sz w:val="24"/>
          <w:szCs w:val="24"/>
        </w:rPr>
        <w:t>123</w:t>
      </w:r>
      <w:r w:rsidRPr="00391283">
        <w:rPr>
          <w:noProof/>
          <w:sz w:val="24"/>
          <w:szCs w:val="24"/>
        </w:rPr>
        <w:t>, 2103-2118.</w:t>
      </w:r>
    </w:p>
    <w:p w:rsidR="00557CB8" w:rsidRPr="00557CB8" w:rsidRDefault="00557CB8" w:rsidP="001B483F">
      <w:pPr>
        <w:pStyle w:val="Listenabsatz"/>
        <w:spacing w:line="360" w:lineRule="auto"/>
        <w:ind w:left="426" w:firstLineChars="0" w:hanging="426"/>
        <w:rPr>
          <w:noProof/>
          <w:sz w:val="24"/>
          <w:szCs w:val="24"/>
        </w:rPr>
      </w:pPr>
      <w:r w:rsidRPr="001B483F">
        <w:rPr>
          <w:sz w:val="24"/>
          <w:szCs w:val="24"/>
          <w:shd w:val="clear" w:color="auto" w:fill="FFFFFF"/>
        </w:rPr>
        <w:t>Li, Y</w:t>
      </w:r>
      <w:r w:rsidRPr="001B483F">
        <w:rPr>
          <w:sz w:val="24"/>
          <w:szCs w:val="24"/>
        </w:rPr>
        <w:t>.</w:t>
      </w:r>
      <w:r w:rsidRPr="001B483F">
        <w:rPr>
          <w:color w:val="000000" w:themeColor="text1"/>
          <w:sz w:val="24"/>
          <w:szCs w:val="24"/>
          <w:shd w:val="clear" w:color="auto" w:fill="FFFFFF"/>
        </w:rPr>
        <w:t>,</w:t>
      </w:r>
      <w:r w:rsidRPr="001B483F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1B483F">
        <w:rPr>
          <w:sz w:val="24"/>
          <w:szCs w:val="24"/>
          <w:shd w:val="clear" w:color="auto" w:fill="FFFFFF"/>
        </w:rPr>
        <w:t>Dai, D</w:t>
      </w:r>
      <w:r w:rsidRPr="001B483F">
        <w:rPr>
          <w:sz w:val="24"/>
          <w:szCs w:val="24"/>
        </w:rPr>
        <w:t>.</w:t>
      </w:r>
      <w:r w:rsidRPr="001B483F">
        <w:rPr>
          <w:color w:val="000000" w:themeColor="text1"/>
          <w:sz w:val="24"/>
          <w:szCs w:val="24"/>
          <w:shd w:val="clear" w:color="auto" w:fill="FFFFFF"/>
        </w:rPr>
        <w:t>,</w:t>
      </w:r>
      <w:r w:rsidRPr="001B483F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1B483F">
        <w:rPr>
          <w:sz w:val="24"/>
          <w:szCs w:val="24"/>
          <w:shd w:val="clear" w:color="auto" w:fill="FFFFFF"/>
        </w:rPr>
        <w:t>Lu, Q</w:t>
      </w:r>
      <w:r w:rsidRPr="001B483F">
        <w:rPr>
          <w:sz w:val="24"/>
          <w:szCs w:val="24"/>
        </w:rPr>
        <w:t>.</w:t>
      </w:r>
      <w:r w:rsidRPr="001B483F">
        <w:rPr>
          <w:color w:val="000000" w:themeColor="text1"/>
          <w:sz w:val="24"/>
          <w:szCs w:val="24"/>
          <w:shd w:val="clear" w:color="auto" w:fill="FFFFFF"/>
        </w:rPr>
        <w:t>,</w:t>
      </w:r>
      <w:r w:rsidRPr="001B483F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1B483F">
        <w:rPr>
          <w:sz w:val="24"/>
          <w:szCs w:val="24"/>
          <w:shd w:val="clear" w:color="auto" w:fill="FFFFFF"/>
        </w:rPr>
        <w:t>Fei, M</w:t>
      </w:r>
      <w:r w:rsidRPr="001B483F">
        <w:rPr>
          <w:color w:val="000000" w:themeColor="text1"/>
          <w:sz w:val="24"/>
          <w:szCs w:val="24"/>
        </w:rPr>
        <w:t>.</w:t>
      </w:r>
      <w:r w:rsidRPr="001B483F">
        <w:rPr>
          <w:color w:val="000000" w:themeColor="text1"/>
          <w:sz w:val="24"/>
          <w:szCs w:val="24"/>
          <w:shd w:val="clear" w:color="auto" w:fill="FFFFFF"/>
        </w:rPr>
        <w:t>,</w:t>
      </w:r>
      <w:r w:rsidRPr="001B483F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1B483F">
        <w:rPr>
          <w:sz w:val="24"/>
          <w:szCs w:val="24"/>
          <w:shd w:val="clear" w:color="auto" w:fill="FFFFFF"/>
        </w:rPr>
        <w:t>Li, M</w:t>
      </w:r>
      <w:r w:rsidRPr="001B483F">
        <w:rPr>
          <w:sz w:val="24"/>
          <w:szCs w:val="24"/>
        </w:rPr>
        <w:t>.</w:t>
      </w:r>
      <w:r w:rsidRPr="001B483F">
        <w:rPr>
          <w:color w:val="000000" w:themeColor="text1"/>
          <w:sz w:val="24"/>
          <w:szCs w:val="24"/>
          <w:shd w:val="clear" w:color="auto" w:fill="FFFFFF"/>
        </w:rPr>
        <w:t xml:space="preserve"> and </w:t>
      </w:r>
      <w:r w:rsidRPr="001B483F">
        <w:rPr>
          <w:sz w:val="24"/>
          <w:szCs w:val="24"/>
          <w:shd w:val="clear" w:color="auto" w:fill="FFFFFF"/>
        </w:rPr>
        <w:t>Wu, X</w:t>
      </w:r>
      <w:r w:rsidRPr="001B483F">
        <w:rPr>
          <w:sz w:val="24"/>
          <w:szCs w:val="24"/>
        </w:rPr>
        <w:t xml:space="preserve">. </w:t>
      </w:r>
      <w:r w:rsidRPr="001B483F">
        <w:rPr>
          <w:noProof/>
          <w:sz w:val="24"/>
          <w:szCs w:val="24"/>
        </w:rPr>
        <w:t xml:space="preserve">(2013). </w:t>
      </w:r>
      <w:r w:rsidRPr="00391283">
        <w:rPr>
          <w:noProof/>
          <w:sz w:val="24"/>
          <w:szCs w:val="24"/>
        </w:rPr>
        <w:t xml:space="preserve">Sirt2 suppresses glioma cell growth through targeting NF-κB–miR-21 axis. Biochem. Biophys. Res. Commun. </w:t>
      </w:r>
      <w:r w:rsidRPr="00391283">
        <w:rPr>
          <w:i/>
          <w:noProof/>
          <w:sz w:val="24"/>
          <w:szCs w:val="24"/>
        </w:rPr>
        <w:t>441</w:t>
      </w:r>
      <w:r w:rsidRPr="00391283">
        <w:rPr>
          <w:noProof/>
          <w:sz w:val="24"/>
          <w:szCs w:val="24"/>
        </w:rPr>
        <w:t>, 661-667.</w:t>
      </w:r>
    </w:p>
    <w:p w:rsidR="00557CB8" w:rsidRPr="00391283" w:rsidRDefault="00557CB8" w:rsidP="001B483F">
      <w:pPr>
        <w:pStyle w:val="Listenabsatz"/>
        <w:spacing w:line="360" w:lineRule="auto"/>
        <w:ind w:left="426" w:firstLineChars="0" w:hanging="426"/>
        <w:rPr>
          <w:noProof/>
          <w:sz w:val="24"/>
          <w:szCs w:val="24"/>
        </w:rPr>
      </w:pPr>
      <w:r w:rsidRPr="00391283">
        <w:rPr>
          <w:noProof/>
          <w:sz w:val="24"/>
          <w:szCs w:val="24"/>
        </w:rPr>
        <w:t xml:space="preserve">Mallette, F.A. and Richard, S. (2012). JMJD2A promotes cellular transformation by blocking cellular senescence through transcriptional repression of the tumor suppressor CHD5. Cell Rep. </w:t>
      </w:r>
      <w:r w:rsidRPr="00391283">
        <w:rPr>
          <w:i/>
          <w:noProof/>
          <w:sz w:val="24"/>
          <w:szCs w:val="24"/>
        </w:rPr>
        <w:t>2</w:t>
      </w:r>
      <w:r w:rsidRPr="00391283">
        <w:rPr>
          <w:noProof/>
          <w:sz w:val="24"/>
          <w:szCs w:val="24"/>
        </w:rPr>
        <w:t>, 1233-1243.</w:t>
      </w:r>
    </w:p>
    <w:p w:rsidR="001B483F" w:rsidRDefault="001B483F">
      <w:pPr>
        <w:widowControl/>
      </w:pPr>
      <w:r>
        <w:br w:type="page"/>
      </w:r>
    </w:p>
    <w:p w:rsidR="001B483F" w:rsidRPr="001B483F" w:rsidRDefault="001B483F" w:rsidP="00CB394C">
      <w:pPr>
        <w:spacing w:beforeLines="50" w:line="480" w:lineRule="auto"/>
        <w:rPr>
          <w:b/>
          <w:sz w:val="28"/>
          <w:szCs w:val="24"/>
        </w:rPr>
      </w:pPr>
      <w:r w:rsidRPr="001B483F">
        <w:rPr>
          <w:b/>
          <w:sz w:val="28"/>
          <w:szCs w:val="24"/>
        </w:rPr>
        <w:lastRenderedPageBreak/>
        <w:t>Supplementary Tables</w:t>
      </w:r>
    </w:p>
    <w:p w:rsidR="001B483F" w:rsidRPr="005956EB" w:rsidRDefault="001B483F" w:rsidP="00CB394C">
      <w:pPr>
        <w:spacing w:beforeLines="50" w:line="480" w:lineRule="auto"/>
        <w:rPr>
          <w:bCs/>
          <w:kern w:val="0"/>
          <w:sz w:val="24"/>
          <w:szCs w:val="24"/>
        </w:rPr>
      </w:pPr>
      <w:r w:rsidRPr="005956EB">
        <w:rPr>
          <w:b/>
          <w:sz w:val="24"/>
          <w:szCs w:val="24"/>
        </w:rPr>
        <w:t>Supplementary Table 1</w:t>
      </w:r>
      <w:r w:rsidRPr="005956EB">
        <w:rPr>
          <w:sz w:val="24"/>
          <w:szCs w:val="24"/>
        </w:rPr>
        <w:t xml:space="preserve"> The culture condition of the cell lines.</w:t>
      </w:r>
    </w:p>
    <w:tbl>
      <w:tblPr>
        <w:tblW w:w="5077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08"/>
        <w:gridCol w:w="3569"/>
      </w:tblGrid>
      <w:tr w:rsidR="001B483F" w:rsidRPr="005956EB" w:rsidTr="00CF12EA">
        <w:trPr>
          <w:trHeight w:val="27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94" w:type="dxa"/>
              <w:bottom w:w="75" w:type="dxa"/>
              <w:right w:w="94" w:type="dxa"/>
            </w:tcMar>
            <w:vAlign w:val="center"/>
            <w:hideMark/>
          </w:tcPr>
          <w:p w:rsidR="001B483F" w:rsidRPr="005956EB" w:rsidRDefault="001B483F" w:rsidP="00CF12EA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5956EB">
              <w:rPr>
                <w:b/>
                <w:color w:val="000000"/>
                <w:sz w:val="24"/>
                <w:szCs w:val="24"/>
              </w:rPr>
              <w:t>Cell lines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94" w:type="dxa"/>
              <w:bottom w:w="75" w:type="dxa"/>
              <w:right w:w="94" w:type="dxa"/>
            </w:tcMar>
            <w:vAlign w:val="center"/>
            <w:hideMark/>
          </w:tcPr>
          <w:p w:rsidR="001B483F" w:rsidRPr="005956EB" w:rsidRDefault="001B483F" w:rsidP="00CF12EA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5956EB">
              <w:rPr>
                <w:b/>
                <w:color w:val="000000"/>
                <w:sz w:val="24"/>
                <w:szCs w:val="24"/>
              </w:rPr>
              <w:t>Culture condition</w:t>
            </w:r>
          </w:p>
        </w:tc>
      </w:tr>
      <w:tr w:rsidR="001B483F" w:rsidRPr="005956EB" w:rsidTr="00CF12EA">
        <w:trPr>
          <w:trHeight w:val="279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94" w:type="dxa"/>
              <w:bottom w:w="75" w:type="dxa"/>
              <w:right w:w="94" w:type="dxa"/>
            </w:tcMar>
            <w:vAlign w:val="center"/>
            <w:hideMark/>
          </w:tcPr>
          <w:p w:rsidR="001B483F" w:rsidRPr="005956EB" w:rsidRDefault="001B483F" w:rsidP="00CF12EA">
            <w:pPr>
              <w:jc w:val="left"/>
              <w:rPr>
                <w:color w:val="000000"/>
                <w:sz w:val="24"/>
                <w:szCs w:val="24"/>
              </w:rPr>
            </w:pPr>
            <w:r w:rsidRPr="005956EB">
              <w:rPr>
                <w:color w:val="000000"/>
                <w:sz w:val="24"/>
                <w:szCs w:val="24"/>
              </w:rPr>
              <w:t>HBE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94" w:type="dxa"/>
              <w:bottom w:w="75" w:type="dxa"/>
              <w:right w:w="94" w:type="dxa"/>
            </w:tcMar>
            <w:vAlign w:val="center"/>
            <w:hideMark/>
          </w:tcPr>
          <w:p w:rsidR="001B483F" w:rsidRPr="005956EB" w:rsidRDefault="001B483F" w:rsidP="00CF12EA">
            <w:pPr>
              <w:jc w:val="left"/>
              <w:rPr>
                <w:color w:val="000000"/>
                <w:sz w:val="24"/>
                <w:szCs w:val="24"/>
              </w:rPr>
            </w:pPr>
            <w:r w:rsidRPr="005956EB">
              <w:rPr>
                <w:color w:val="000000"/>
                <w:sz w:val="24"/>
                <w:szCs w:val="24"/>
              </w:rPr>
              <w:t>RPMI 1640+10% FBS+1% PS</w:t>
            </w:r>
          </w:p>
        </w:tc>
      </w:tr>
      <w:tr w:rsidR="001B483F" w:rsidRPr="005956EB" w:rsidTr="00CF12EA">
        <w:trPr>
          <w:trHeight w:val="279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94" w:type="dxa"/>
              <w:bottom w:w="75" w:type="dxa"/>
              <w:right w:w="94" w:type="dxa"/>
            </w:tcMar>
            <w:vAlign w:val="center"/>
            <w:hideMark/>
          </w:tcPr>
          <w:p w:rsidR="001B483F" w:rsidRPr="005956EB" w:rsidRDefault="001B483F" w:rsidP="00CF12EA">
            <w:pPr>
              <w:jc w:val="left"/>
              <w:rPr>
                <w:color w:val="000000"/>
                <w:sz w:val="24"/>
                <w:szCs w:val="24"/>
              </w:rPr>
            </w:pPr>
            <w:r w:rsidRPr="005956EB">
              <w:rPr>
                <w:color w:val="000000"/>
                <w:sz w:val="24"/>
                <w:szCs w:val="24"/>
              </w:rPr>
              <w:t>MRC-5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94" w:type="dxa"/>
              <w:bottom w:w="75" w:type="dxa"/>
              <w:right w:w="94" w:type="dxa"/>
            </w:tcMar>
            <w:vAlign w:val="center"/>
            <w:hideMark/>
          </w:tcPr>
          <w:p w:rsidR="001B483F" w:rsidRPr="005956EB" w:rsidRDefault="001B483F" w:rsidP="00CF12EA">
            <w:pPr>
              <w:jc w:val="left"/>
              <w:rPr>
                <w:color w:val="000000"/>
                <w:sz w:val="24"/>
                <w:szCs w:val="24"/>
              </w:rPr>
            </w:pPr>
            <w:r w:rsidRPr="005956EB">
              <w:rPr>
                <w:color w:val="000000"/>
                <w:sz w:val="24"/>
                <w:szCs w:val="24"/>
              </w:rPr>
              <w:t>MEM+10% FBS+1% PS</w:t>
            </w:r>
          </w:p>
        </w:tc>
      </w:tr>
      <w:tr w:rsidR="001B483F" w:rsidRPr="005956EB" w:rsidTr="00CF12EA">
        <w:trPr>
          <w:trHeight w:val="279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94" w:type="dxa"/>
              <w:bottom w:w="75" w:type="dxa"/>
              <w:right w:w="94" w:type="dxa"/>
            </w:tcMar>
            <w:vAlign w:val="center"/>
            <w:hideMark/>
          </w:tcPr>
          <w:p w:rsidR="001B483F" w:rsidRPr="005956EB" w:rsidRDefault="001B483F" w:rsidP="00CF12EA">
            <w:pPr>
              <w:jc w:val="left"/>
              <w:rPr>
                <w:color w:val="000000"/>
                <w:sz w:val="24"/>
                <w:szCs w:val="24"/>
              </w:rPr>
            </w:pPr>
            <w:r w:rsidRPr="005956EB">
              <w:rPr>
                <w:color w:val="000000"/>
                <w:sz w:val="24"/>
                <w:szCs w:val="24"/>
              </w:rPr>
              <w:t>A549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94" w:type="dxa"/>
              <w:bottom w:w="75" w:type="dxa"/>
              <w:right w:w="94" w:type="dxa"/>
            </w:tcMar>
            <w:vAlign w:val="center"/>
            <w:hideMark/>
          </w:tcPr>
          <w:p w:rsidR="001B483F" w:rsidRPr="005956EB" w:rsidRDefault="001B483F" w:rsidP="00CF12EA">
            <w:pPr>
              <w:jc w:val="left"/>
              <w:rPr>
                <w:color w:val="000000"/>
                <w:sz w:val="24"/>
                <w:szCs w:val="24"/>
              </w:rPr>
            </w:pPr>
            <w:r w:rsidRPr="005956EB">
              <w:rPr>
                <w:color w:val="000000"/>
                <w:sz w:val="24"/>
                <w:szCs w:val="24"/>
              </w:rPr>
              <w:t>F12K+10% FBS+1% PS</w:t>
            </w:r>
          </w:p>
        </w:tc>
      </w:tr>
      <w:tr w:rsidR="001B483F" w:rsidRPr="005956EB" w:rsidTr="00CF12EA">
        <w:trPr>
          <w:trHeight w:val="295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94" w:type="dxa"/>
              <w:bottom w:w="75" w:type="dxa"/>
              <w:right w:w="94" w:type="dxa"/>
            </w:tcMar>
            <w:vAlign w:val="center"/>
            <w:hideMark/>
          </w:tcPr>
          <w:p w:rsidR="001B483F" w:rsidRPr="005956EB" w:rsidRDefault="001B483F" w:rsidP="00CF12EA">
            <w:pPr>
              <w:jc w:val="left"/>
              <w:rPr>
                <w:color w:val="000000"/>
                <w:sz w:val="24"/>
                <w:szCs w:val="24"/>
              </w:rPr>
            </w:pPr>
            <w:r w:rsidRPr="005956EB">
              <w:rPr>
                <w:color w:val="000000"/>
                <w:sz w:val="24"/>
                <w:szCs w:val="24"/>
              </w:rPr>
              <w:t>H460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94" w:type="dxa"/>
              <w:bottom w:w="75" w:type="dxa"/>
              <w:right w:w="94" w:type="dxa"/>
            </w:tcMar>
            <w:vAlign w:val="center"/>
            <w:hideMark/>
          </w:tcPr>
          <w:p w:rsidR="001B483F" w:rsidRPr="005956EB" w:rsidRDefault="001B483F" w:rsidP="00CF12EA">
            <w:pPr>
              <w:jc w:val="left"/>
              <w:rPr>
                <w:color w:val="000000"/>
                <w:sz w:val="24"/>
                <w:szCs w:val="24"/>
              </w:rPr>
            </w:pPr>
            <w:r w:rsidRPr="005956EB">
              <w:rPr>
                <w:color w:val="000000"/>
                <w:sz w:val="24"/>
                <w:szCs w:val="24"/>
              </w:rPr>
              <w:t>RPMI 1640+10% FBS+1% PS</w:t>
            </w:r>
          </w:p>
        </w:tc>
      </w:tr>
      <w:tr w:rsidR="001B483F" w:rsidRPr="005956EB" w:rsidTr="00CF12EA">
        <w:trPr>
          <w:trHeight w:val="279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94" w:type="dxa"/>
              <w:bottom w:w="75" w:type="dxa"/>
              <w:right w:w="94" w:type="dxa"/>
            </w:tcMar>
            <w:vAlign w:val="center"/>
            <w:hideMark/>
          </w:tcPr>
          <w:p w:rsidR="001B483F" w:rsidRPr="005956EB" w:rsidRDefault="001B483F" w:rsidP="00CF12EA">
            <w:pPr>
              <w:jc w:val="left"/>
              <w:rPr>
                <w:color w:val="000000"/>
                <w:sz w:val="24"/>
                <w:szCs w:val="24"/>
              </w:rPr>
            </w:pPr>
            <w:r w:rsidRPr="005956EB">
              <w:rPr>
                <w:color w:val="000000"/>
                <w:sz w:val="24"/>
                <w:szCs w:val="24"/>
              </w:rPr>
              <w:t>NCI-H1299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94" w:type="dxa"/>
              <w:bottom w:w="75" w:type="dxa"/>
              <w:right w:w="94" w:type="dxa"/>
            </w:tcMar>
            <w:vAlign w:val="center"/>
            <w:hideMark/>
          </w:tcPr>
          <w:p w:rsidR="001B483F" w:rsidRPr="005956EB" w:rsidRDefault="001B483F" w:rsidP="00CF12EA">
            <w:pPr>
              <w:jc w:val="left"/>
              <w:rPr>
                <w:color w:val="000000"/>
                <w:sz w:val="24"/>
                <w:szCs w:val="24"/>
              </w:rPr>
            </w:pPr>
            <w:r w:rsidRPr="005956EB">
              <w:rPr>
                <w:color w:val="000000"/>
                <w:sz w:val="24"/>
                <w:szCs w:val="24"/>
              </w:rPr>
              <w:t>RPMI 1640+10% FBS+1% PS</w:t>
            </w:r>
          </w:p>
        </w:tc>
      </w:tr>
      <w:tr w:rsidR="001B483F" w:rsidRPr="005956EB" w:rsidTr="00CF12EA">
        <w:trPr>
          <w:trHeight w:val="295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94" w:type="dxa"/>
              <w:bottom w:w="75" w:type="dxa"/>
              <w:right w:w="94" w:type="dxa"/>
            </w:tcMar>
            <w:vAlign w:val="center"/>
            <w:hideMark/>
          </w:tcPr>
          <w:p w:rsidR="001B483F" w:rsidRPr="005956EB" w:rsidRDefault="001B483F" w:rsidP="00CF12EA">
            <w:pPr>
              <w:jc w:val="left"/>
              <w:rPr>
                <w:color w:val="000000"/>
                <w:sz w:val="24"/>
                <w:szCs w:val="24"/>
              </w:rPr>
            </w:pPr>
            <w:r w:rsidRPr="005956EB">
              <w:rPr>
                <w:color w:val="000000"/>
                <w:sz w:val="24"/>
                <w:szCs w:val="24"/>
              </w:rPr>
              <w:t>NCI-H520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94" w:type="dxa"/>
              <w:bottom w:w="75" w:type="dxa"/>
              <w:right w:w="94" w:type="dxa"/>
            </w:tcMar>
            <w:vAlign w:val="center"/>
            <w:hideMark/>
          </w:tcPr>
          <w:p w:rsidR="001B483F" w:rsidRPr="005956EB" w:rsidRDefault="001B483F" w:rsidP="00CF12EA">
            <w:pPr>
              <w:jc w:val="left"/>
              <w:rPr>
                <w:color w:val="000000"/>
                <w:sz w:val="24"/>
                <w:szCs w:val="24"/>
              </w:rPr>
            </w:pPr>
            <w:r w:rsidRPr="005956EB">
              <w:rPr>
                <w:color w:val="000000"/>
                <w:sz w:val="24"/>
                <w:szCs w:val="24"/>
              </w:rPr>
              <w:t>RPMI 1640+10% FBS+1% PS</w:t>
            </w:r>
          </w:p>
        </w:tc>
      </w:tr>
    </w:tbl>
    <w:p w:rsidR="001B483F" w:rsidRPr="005956EB" w:rsidRDefault="001B483F" w:rsidP="001B483F">
      <w:pPr>
        <w:spacing w:line="480" w:lineRule="auto"/>
        <w:rPr>
          <w:b/>
          <w:sz w:val="24"/>
          <w:szCs w:val="24"/>
        </w:rPr>
      </w:pPr>
    </w:p>
    <w:p w:rsidR="001B483F" w:rsidRPr="005956EB" w:rsidRDefault="001B483F" w:rsidP="001B483F">
      <w:pPr>
        <w:spacing w:line="480" w:lineRule="auto"/>
        <w:rPr>
          <w:b/>
          <w:sz w:val="24"/>
          <w:szCs w:val="24"/>
        </w:rPr>
      </w:pPr>
      <w:r w:rsidRPr="005956EB">
        <w:rPr>
          <w:b/>
          <w:sz w:val="24"/>
          <w:szCs w:val="24"/>
        </w:rPr>
        <w:t xml:space="preserve">Supplementary Table 2 </w:t>
      </w:r>
      <w:r w:rsidRPr="005956EB">
        <w:rPr>
          <w:sz w:val="24"/>
          <w:szCs w:val="24"/>
        </w:rPr>
        <w:t>Primers used for ChIP qPCR</w:t>
      </w:r>
    </w:p>
    <w:tbl>
      <w:tblPr>
        <w:tblW w:w="9587" w:type="dxa"/>
        <w:jc w:val="center"/>
        <w:tblBorders>
          <w:top w:val="single" w:sz="4" w:space="0" w:color="7F7F7F"/>
          <w:bottom w:val="single" w:sz="4" w:space="0" w:color="7F7F7F"/>
        </w:tblBorders>
        <w:tblLook w:val="0000"/>
      </w:tblPr>
      <w:tblGrid>
        <w:gridCol w:w="2165"/>
        <w:gridCol w:w="3596"/>
        <w:gridCol w:w="3826"/>
      </w:tblGrid>
      <w:tr w:rsidR="001B483F" w:rsidRPr="005956EB" w:rsidTr="00CF12EA">
        <w:trPr>
          <w:trHeight w:val="320"/>
          <w:jc w:val="center"/>
        </w:trPr>
        <w:tc>
          <w:tcPr>
            <w:tcW w:w="0" w:type="auto"/>
            <w:tcBorders>
              <w:bottom w:val="single" w:sz="4" w:space="0" w:color="7F7F7F"/>
            </w:tcBorders>
          </w:tcPr>
          <w:p w:rsidR="001B483F" w:rsidRPr="005956EB" w:rsidRDefault="001B483F" w:rsidP="00CF12EA">
            <w:pPr>
              <w:rPr>
                <w:bCs/>
                <w:sz w:val="24"/>
                <w:szCs w:val="24"/>
              </w:rPr>
            </w:pPr>
            <w:r w:rsidRPr="005956EB">
              <w:rPr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:rsidR="001B483F" w:rsidRPr="005956EB" w:rsidRDefault="001B483F" w:rsidP="001B483F">
            <w:pPr>
              <w:rPr>
                <w:bCs/>
                <w:sz w:val="24"/>
                <w:szCs w:val="24"/>
              </w:rPr>
            </w:pPr>
            <w:r w:rsidRPr="005956EB">
              <w:rPr>
                <w:b/>
                <w:bCs/>
                <w:sz w:val="24"/>
                <w:szCs w:val="24"/>
              </w:rPr>
              <w:t>Forward primer (5’</w:t>
            </w:r>
            <w:r>
              <w:rPr>
                <w:b/>
                <w:bCs/>
                <w:sz w:val="24"/>
                <w:szCs w:val="24"/>
              </w:rPr>
              <w:t>→</w:t>
            </w:r>
            <w:r w:rsidRPr="005956EB">
              <w:rPr>
                <w:b/>
                <w:bCs/>
                <w:sz w:val="24"/>
                <w:szCs w:val="24"/>
              </w:rPr>
              <w:t>3’)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:rsidR="001B483F" w:rsidRPr="005956EB" w:rsidRDefault="001B483F" w:rsidP="001B483F">
            <w:pPr>
              <w:rPr>
                <w:bCs/>
                <w:sz w:val="24"/>
                <w:szCs w:val="24"/>
              </w:rPr>
            </w:pPr>
            <w:r w:rsidRPr="005956EB">
              <w:rPr>
                <w:b/>
                <w:bCs/>
                <w:sz w:val="24"/>
                <w:szCs w:val="24"/>
              </w:rPr>
              <w:t>Reverse primer (5’</w:t>
            </w:r>
            <w:r>
              <w:rPr>
                <w:b/>
                <w:bCs/>
                <w:sz w:val="24"/>
                <w:szCs w:val="24"/>
              </w:rPr>
              <w:t>→</w:t>
            </w:r>
            <w:r w:rsidRPr="005956EB">
              <w:rPr>
                <w:b/>
                <w:bCs/>
                <w:sz w:val="24"/>
                <w:szCs w:val="24"/>
              </w:rPr>
              <w:t>3’)</w:t>
            </w:r>
          </w:p>
        </w:tc>
      </w:tr>
      <w:tr w:rsidR="001B483F" w:rsidRPr="005956EB" w:rsidTr="00CF12EA">
        <w:trPr>
          <w:trHeight w:val="635"/>
          <w:jc w:val="center"/>
        </w:trPr>
        <w:tc>
          <w:tcPr>
            <w:tcW w:w="0" w:type="auto"/>
            <w:tcBorders>
              <w:top w:val="single" w:sz="4" w:space="0" w:color="7F7F7F"/>
              <w:bottom w:val="nil"/>
            </w:tcBorders>
          </w:tcPr>
          <w:p w:rsidR="001B483F" w:rsidRPr="005956EB" w:rsidRDefault="001B483F" w:rsidP="00CF12EA">
            <w:pPr>
              <w:rPr>
                <w:bCs/>
                <w:sz w:val="24"/>
                <w:szCs w:val="24"/>
              </w:rPr>
            </w:pPr>
            <w:r w:rsidRPr="005956EB">
              <w:rPr>
                <w:bCs/>
                <w:sz w:val="24"/>
                <w:szCs w:val="24"/>
              </w:rPr>
              <w:t>R1(-1,606~-1,450)</w:t>
            </w:r>
          </w:p>
        </w:tc>
        <w:tc>
          <w:tcPr>
            <w:tcW w:w="0" w:type="auto"/>
            <w:tcBorders>
              <w:top w:val="single" w:sz="4" w:space="0" w:color="7F7F7F"/>
              <w:bottom w:val="nil"/>
            </w:tcBorders>
          </w:tcPr>
          <w:p w:rsidR="001B483F" w:rsidRPr="005956EB" w:rsidRDefault="001B483F" w:rsidP="00CF12EA">
            <w:pPr>
              <w:rPr>
                <w:sz w:val="24"/>
                <w:szCs w:val="24"/>
                <w:lang w:val="zh-CN"/>
              </w:rPr>
            </w:pPr>
            <w:r w:rsidRPr="005956EB">
              <w:rPr>
                <w:sz w:val="24"/>
                <w:szCs w:val="24"/>
                <w:lang w:val="zh-CN"/>
              </w:rPr>
              <w:t>TCTACCGCAGGATTTGGGT</w:t>
            </w:r>
          </w:p>
        </w:tc>
        <w:tc>
          <w:tcPr>
            <w:tcW w:w="0" w:type="auto"/>
            <w:tcBorders>
              <w:top w:val="single" w:sz="4" w:space="0" w:color="7F7F7F"/>
              <w:bottom w:val="nil"/>
            </w:tcBorders>
          </w:tcPr>
          <w:p w:rsidR="001B483F" w:rsidRPr="005956EB" w:rsidRDefault="001B483F" w:rsidP="00CF12EA">
            <w:pPr>
              <w:rPr>
                <w:sz w:val="24"/>
                <w:szCs w:val="24"/>
                <w:lang w:val="zh-CN"/>
              </w:rPr>
            </w:pPr>
            <w:r w:rsidRPr="005956EB">
              <w:rPr>
                <w:sz w:val="24"/>
                <w:szCs w:val="24"/>
                <w:lang w:val="zh-CN"/>
              </w:rPr>
              <w:t>GCAGCCACAAGTCTTTCACAAT</w:t>
            </w:r>
          </w:p>
        </w:tc>
      </w:tr>
      <w:tr w:rsidR="001B483F" w:rsidRPr="005956EB" w:rsidTr="00CF12EA">
        <w:trPr>
          <w:trHeight w:val="318"/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1B483F" w:rsidRPr="005956EB" w:rsidRDefault="001B483F" w:rsidP="00CF12EA">
            <w:pPr>
              <w:rPr>
                <w:bCs/>
                <w:sz w:val="24"/>
                <w:szCs w:val="24"/>
              </w:rPr>
            </w:pPr>
            <w:r w:rsidRPr="005956EB">
              <w:rPr>
                <w:bCs/>
                <w:sz w:val="24"/>
                <w:szCs w:val="24"/>
              </w:rPr>
              <w:t>R2(-790~-600)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B483F" w:rsidRPr="005956EB" w:rsidRDefault="001B483F" w:rsidP="00CF12EA">
            <w:pPr>
              <w:rPr>
                <w:sz w:val="24"/>
                <w:szCs w:val="24"/>
                <w:lang w:val="zh-CN"/>
              </w:rPr>
            </w:pPr>
            <w:r w:rsidRPr="005956EB">
              <w:rPr>
                <w:sz w:val="24"/>
                <w:szCs w:val="24"/>
                <w:lang w:val="zh-CN"/>
              </w:rPr>
              <w:t>CGATTCTCCTGCCTCAAC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B483F" w:rsidRPr="005956EB" w:rsidRDefault="001B483F" w:rsidP="00CF12EA">
            <w:pPr>
              <w:rPr>
                <w:sz w:val="24"/>
                <w:szCs w:val="24"/>
                <w:lang w:val="zh-CN"/>
              </w:rPr>
            </w:pPr>
            <w:r w:rsidRPr="005956EB">
              <w:rPr>
                <w:sz w:val="24"/>
                <w:szCs w:val="24"/>
                <w:lang w:val="zh-CN"/>
              </w:rPr>
              <w:t>GTCCCTCACGCCTGTAAT</w:t>
            </w:r>
          </w:p>
        </w:tc>
      </w:tr>
      <w:tr w:rsidR="001B483F" w:rsidRPr="005956EB" w:rsidTr="00CF12EA">
        <w:trPr>
          <w:trHeight w:val="620"/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1B483F" w:rsidRPr="005956EB" w:rsidRDefault="001B483F" w:rsidP="00CF12EA">
            <w:pPr>
              <w:rPr>
                <w:bCs/>
                <w:sz w:val="24"/>
                <w:szCs w:val="24"/>
              </w:rPr>
            </w:pPr>
            <w:r w:rsidRPr="005956EB">
              <w:rPr>
                <w:bCs/>
                <w:sz w:val="24"/>
                <w:szCs w:val="24"/>
              </w:rPr>
              <w:t>R3(-232~-35)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B483F" w:rsidRPr="005956EB" w:rsidRDefault="001B483F" w:rsidP="00CF12EA">
            <w:pPr>
              <w:rPr>
                <w:sz w:val="24"/>
                <w:szCs w:val="24"/>
                <w:lang w:val="zh-CN"/>
              </w:rPr>
            </w:pPr>
            <w:r w:rsidRPr="005956EB">
              <w:rPr>
                <w:sz w:val="24"/>
                <w:szCs w:val="24"/>
                <w:lang w:val="zh-CN"/>
              </w:rPr>
              <w:t>TCAACCCTGATTAGTTATGGG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B483F" w:rsidRPr="005956EB" w:rsidRDefault="001B483F" w:rsidP="00CF12EA">
            <w:pPr>
              <w:rPr>
                <w:sz w:val="24"/>
                <w:szCs w:val="24"/>
                <w:lang w:val="zh-CN"/>
              </w:rPr>
            </w:pPr>
            <w:r w:rsidRPr="005956EB">
              <w:rPr>
                <w:sz w:val="24"/>
                <w:szCs w:val="24"/>
                <w:lang w:val="zh-CN"/>
              </w:rPr>
              <w:t>TACACCAGCCAATGAGCA</w:t>
            </w:r>
          </w:p>
        </w:tc>
      </w:tr>
      <w:tr w:rsidR="001B483F" w:rsidRPr="005956EB" w:rsidTr="00CF12EA">
        <w:trPr>
          <w:trHeight w:val="318"/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1B483F" w:rsidRPr="005956EB" w:rsidRDefault="001B483F" w:rsidP="00CF12EA">
            <w:pPr>
              <w:rPr>
                <w:bCs/>
                <w:sz w:val="24"/>
                <w:szCs w:val="24"/>
              </w:rPr>
            </w:pPr>
            <w:r w:rsidRPr="005956EB">
              <w:rPr>
                <w:bCs/>
                <w:sz w:val="24"/>
                <w:szCs w:val="24"/>
              </w:rPr>
              <w:t>R4(+116~+311)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B483F" w:rsidRPr="005956EB" w:rsidRDefault="001B483F" w:rsidP="00CF12EA">
            <w:pPr>
              <w:rPr>
                <w:sz w:val="24"/>
                <w:szCs w:val="24"/>
                <w:lang w:val="zh-CN"/>
              </w:rPr>
            </w:pPr>
            <w:r w:rsidRPr="005956EB">
              <w:rPr>
                <w:sz w:val="24"/>
                <w:szCs w:val="24"/>
                <w:lang w:val="zh-CN"/>
              </w:rPr>
              <w:t>TTTGGGCTGTAGGTGAGAA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B483F" w:rsidRPr="005956EB" w:rsidRDefault="001B483F" w:rsidP="00CF12EA">
            <w:pPr>
              <w:rPr>
                <w:sz w:val="24"/>
                <w:szCs w:val="24"/>
                <w:lang w:val="zh-CN"/>
              </w:rPr>
            </w:pPr>
            <w:r w:rsidRPr="005956EB">
              <w:rPr>
                <w:sz w:val="24"/>
                <w:szCs w:val="24"/>
                <w:lang w:val="zh-CN"/>
              </w:rPr>
              <w:t>CTTGAAGATTGGAAAGGACC</w:t>
            </w:r>
          </w:p>
        </w:tc>
      </w:tr>
      <w:tr w:rsidR="001B483F" w:rsidRPr="005956EB" w:rsidTr="00CF12EA">
        <w:trPr>
          <w:trHeight w:val="635"/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1B483F" w:rsidRPr="005956EB" w:rsidRDefault="001B483F" w:rsidP="00CF12EA">
            <w:pPr>
              <w:rPr>
                <w:bCs/>
                <w:sz w:val="24"/>
                <w:szCs w:val="24"/>
              </w:rPr>
            </w:pPr>
            <w:r w:rsidRPr="005956EB">
              <w:rPr>
                <w:bCs/>
                <w:sz w:val="24"/>
                <w:szCs w:val="24"/>
              </w:rPr>
              <w:t>R5(+783~+804)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B483F" w:rsidRPr="005956EB" w:rsidRDefault="001B483F" w:rsidP="00CF12EA">
            <w:pPr>
              <w:rPr>
                <w:sz w:val="24"/>
                <w:szCs w:val="24"/>
                <w:lang w:val="zh-CN"/>
              </w:rPr>
            </w:pPr>
            <w:r w:rsidRPr="005956EB">
              <w:rPr>
                <w:sz w:val="24"/>
                <w:szCs w:val="24"/>
                <w:lang w:val="zh-CN"/>
              </w:rPr>
              <w:t>GGAAGGTGTCATGAAACGGG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B483F" w:rsidRPr="005956EB" w:rsidRDefault="001B483F" w:rsidP="00CF12EA">
            <w:pPr>
              <w:rPr>
                <w:sz w:val="24"/>
                <w:szCs w:val="24"/>
                <w:lang w:val="zh-CN"/>
              </w:rPr>
            </w:pPr>
            <w:r w:rsidRPr="005956EB">
              <w:rPr>
                <w:sz w:val="24"/>
                <w:szCs w:val="24"/>
                <w:lang w:val="zh-CN"/>
              </w:rPr>
              <w:t>TTCCTCACCCTCACCTCAAT</w:t>
            </w:r>
          </w:p>
        </w:tc>
      </w:tr>
      <w:tr w:rsidR="001B483F" w:rsidRPr="005956EB" w:rsidTr="00CF12EA">
        <w:trPr>
          <w:trHeight w:val="651"/>
          <w:jc w:val="center"/>
        </w:trPr>
        <w:tc>
          <w:tcPr>
            <w:tcW w:w="0" w:type="auto"/>
            <w:tcBorders>
              <w:top w:val="nil"/>
            </w:tcBorders>
          </w:tcPr>
          <w:p w:rsidR="001B483F" w:rsidRPr="005956EB" w:rsidRDefault="001B483F" w:rsidP="00CF12EA">
            <w:pPr>
              <w:rPr>
                <w:bCs/>
                <w:sz w:val="24"/>
                <w:szCs w:val="24"/>
              </w:rPr>
            </w:pPr>
            <w:r w:rsidRPr="005956EB">
              <w:rPr>
                <w:bCs/>
                <w:sz w:val="24"/>
                <w:szCs w:val="24"/>
              </w:rPr>
              <w:t>R6(+1,486~+1,644)</w:t>
            </w:r>
          </w:p>
        </w:tc>
        <w:tc>
          <w:tcPr>
            <w:tcW w:w="0" w:type="auto"/>
            <w:tcBorders>
              <w:top w:val="nil"/>
            </w:tcBorders>
          </w:tcPr>
          <w:p w:rsidR="001B483F" w:rsidRPr="005956EB" w:rsidRDefault="001B483F" w:rsidP="00CF12EA">
            <w:pPr>
              <w:rPr>
                <w:sz w:val="24"/>
                <w:szCs w:val="24"/>
              </w:rPr>
            </w:pPr>
            <w:r w:rsidRPr="005956EB">
              <w:rPr>
                <w:sz w:val="24"/>
                <w:szCs w:val="24"/>
                <w:lang w:val="zh-CN"/>
              </w:rPr>
              <w:t>CTGAACCGCCATACCTTT</w:t>
            </w:r>
          </w:p>
        </w:tc>
        <w:tc>
          <w:tcPr>
            <w:tcW w:w="0" w:type="auto"/>
            <w:tcBorders>
              <w:top w:val="nil"/>
            </w:tcBorders>
          </w:tcPr>
          <w:p w:rsidR="001B483F" w:rsidRPr="005956EB" w:rsidRDefault="001B483F" w:rsidP="00CF12EA">
            <w:pPr>
              <w:rPr>
                <w:sz w:val="24"/>
                <w:szCs w:val="24"/>
              </w:rPr>
            </w:pPr>
            <w:r w:rsidRPr="005956EB">
              <w:rPr>
                <w:sz w:val="24"/>
                <w:szCs w:val="24"/>
                <w:lang w:val="zh-CN"/>
              </w:rPr>
              <w:t>CGCAATAGACCACCTCAAC</w:t>
            </w:r>
          </w:p>
        </w:tc>
      </w:tr>
    </w:tbl>
    <w:p w:rsidR="001B483F" w:rsidRPr="005956EB" w:rsidRDefault="001B483F" w:rsidP="001B483F">
      <w:pPr>
        <w:spacing w:line="480" w:lineRule="auto"/>
        <w:rPr>
          <w:noProof/>
          <w:sz w:val="24"/>
          <w:szCs w:val="24"/>
        </w:rPr>
      </w:pPr>
    </w:p>
    <w:p w:rsidR="001B483F" w:rsidRDefault="001B483F" w:rsidP="001B483F"/>
    <w:p w:rsidR="002D20EB" w:rsidRPr="00CC7838" w:rsidRDefault="002D20EB" w:rsidP="00DB3D7B">
      <w:pPr>
        <w:spacing w:line="360" w:lineRule="auto"/>
      </w:pPr>
    </w:p>
    <w:sectPr w:rsidR="002D20EB" w:rsidRPr="00CC7838" w:rsidSect="001B483F">
      <w:pgSz w:w="11906" w:h="16838" w:code="9"/>
      <w:pgMar w:top="1418" w:right="1361" w:bottom="141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FB1" w:rsidRDefault="00060FB1" w:rsidP="00CC7838">
      <w:r>
        <w:separator/>
      </w:r>
    </w:p>
  </w:endnote>
  <w:endnote w:type="continuationSeparator" w:id="0">
    <w:p w:rsidR="00060FB1" w:rsidRDefault="00060FB1" w:rsidP="00CC7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FB1" w:rsidRDefault="00060FB1" w:rsidP="00CC7838">
      <w:r>
        <w:separator/>
      </w:r>
    </w:p>
  </w:footnote>
  <w:footnote w:type="continuationSeparator" w:id="0">
    <w:p w:rsidR="00060FB1" w:rsidRDefault="00060FB1" w:rsidP="00CC78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A4A10"/>
    <w:multiLevelType w:val="hybridMultilevel"/>
    <w:tmpl w:val="FF76F8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F61"/>
    <w:rsid w:val="00060FB1"/>
    <w:rsid w:val="00084133"/>
    <w:rsid w:val="001363C1"/>
    <w:rsid w:val="001B483F"/>
    <w:rsid w:val="002C20C9"/>
    <w:rsid w:val="002C2405"/>
    <w:rsid w:val="002D20EB"/>
    <w:rsid w:val="002D6E0B"/>
    <w:rsid w:val="002F3A77"/>
    <w:rsid w:val="00345FED"/>
    <w:rsid w:val="003B640D"/>
    <w:rsid w:val="003E628D"/>
    <w:rsid w:val="004050B5"/>
    <w:rsid w:val="00407D40"/>
    <w:rsid w:val="004163C3"/>
    <w:rsid w:val="00462B80"/>
    <w:rsid w:val="004656B9"/>
    <w:rsid w:val="004C709D"/>
    <w:rsid w:val="005278B4"/>
    <w:rsid w:val="00557CB8"/>
    <w:rsid w:val="00570B0B"/>
    <w:rsid w:val="005A322D"/>
    <w:rsid w:val="005E763B"/>
    <w:rsid w:val="005F39D9"/>
    <w:rsid w:val="006109C3"/>
    <w:rsid w:val="00624069"/>
    <w:rsid w:val="006702A8"/>
    <w:rsid w:val="00684430"/>
    <w:rsid w:val="0077372D"/>
    <w:rsid w:val="0082371C"/>
    <w:rsid w:val="0087071E"/>
    <w:rsid w:val="008E46E7"/>
    <w:rsid w:val="008F6AF9"/>
    <w:rsid w:val="009045FF"/>
    <w:rsid w:val="00914608"/>
    <w:rsid w:val="009226BF"/>
    <w:rsid w:val="00973BCE"/>
    <w:rsid w:val="00A4208B"/>
    <w:rsid w:val="00A67F38"/>
    <w:rsid w:val="00B35ED3"/>
    <w:rsid w:val="00B4136D"/>
    <w:rsid w:val="00C6244A"/>
    <w:rsid w:val="00C82356"/>
    <w:rsid w:val="00CB394C"/>
    <w:rsid w:val="00CC1538"/>
    <w:rsid w:val="00CC7838"/>
    <w:rsid w:val="00CE258A"/>
    <w:rsid w:val="00D00456"/>
    <w:rsid w:val="00D03E88"/>
    <w:rsid w:val="00D91F06"/>
    <w:rsid w:val="00DB3D7B"/>
    <w:rsid w:val="00E05244"/>
    <w:rsid w:val="00E56A06"/>
    <w:rsid w:val="00EE06B0"/>
    <w:rsid w:val="00F13D08"/>
    <w:rsid w:val="00F31A1A"/>
    <w:rsid w:val="00F57F61"/>
    <w:rsid w:val="00F70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7F61"/>
    <w:pPr>
      <w:widowControl w:val="0"/>
    </w:pPr>
    <w:rPr>
      <w:rFonts w:ascii="Times New Roman" w:eastAsia="SimSun" w:hAnsi="Times New Roman" w:cs="Times New Roman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F57F6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F61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F61"/>
    <w:rPr>
      <w:rFonts w:ascii="Times New Roman" w:eastAsia="SimSun" w:hAnsi="Times New Roman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semiHidden/>
    <w:unhideWhenUsed/>
    <w:rsid w:val="00CC7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C7838"/>
    <w:rPr>
      <w:rFonts w:ascii="Times New Roman" w:eastAsia="SimSun" w:hAnsi="Times New Roman" w:cs="Times New Roman"/>
      <w:sz w:val="18"/>
      <w:szCs w:val="18"/>
    </w:rPr>
  </w:style>
  <w:style w:type="paragraph" w:styleId="Fuzeile">
    <w:name w:val="footer"/>
    <w:basedOn w:val="Standard"/>
    <w:link w:val="FuzeileZchn"/>
    <w:uiPriority w:val="99"/>
    <w:semiHidden/>
    <w:unhideWhenUsed/>
    <w:rsid w:val="00CC7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C7838"/>
    <w:rPr>
      <w:rFonts w:ascii="Times New Roman" w:eastAsia="SimSun" w:hAnsi="Times New Roman" w:cs="Times New Roman"/>
      <w:sz w:val="18"/>
      <w:szCs w:val="18"/>
    </w:rPr>
  </w:style>
  <w:style w:type="paragraph" w:styleId="Listenabsatz">
    <w:name w:val="List Paragraph"/>
    <w:basedOn w:val="Standard"/>
    <w:uiPriority w:val="34"/>
    <w:qFormat/>
    <w:rsid w:val="00CC7838"/>
    <w:pPr>
      <w:ind w:firstLineChars="200" w:firstLine="420"/>
    </w:pPr>
  </w:style>
  <w:style w:type="character" w:customStyle="1" w:styleId="apple-converted-space">
    <w:name w:val="apple-converted-space"/>
    <w:basedOn w:val="Absatz-Standardschriftart"/>
    <w:rsid w:val="00557CB8"/>
  </w:style>
  <w:style w:type="character" w:customStyle="1" w:styleId="highlight">
    <w:name w:val="highlight"/>
    <w:basedOn w:val="Absatz-Standardschriftart"/>
    <w:rsid w:val="00557C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21CFA-68A3-4D52-84F3-D195C613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xkpharm2</dc:creator>
  <cp:lastModifiedBy>krueger</cp:lastModifiedBy>
  <cp:revision>3</cp:revision>
  <dcterms:created xsi:type="dcterms:W3CDTF">2015-02-17T17:00:00Z</dcterms:created>
  <dcterms:modified xsi:type="dcterms:W3CDTF">2015-02-17T17:09:00Z</dcterms:modified>
</cp:coreProperties>
</file>