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BB" w:rsidRPr="00210BAF" w:rsidRDefault="003D0ABB" w:rsidP="003D0ABB">
      <w:pPr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Legends to supplementary Figures</w:t>
      </w:r>
    </w:p>
    <w:p w:rsidR="003D0ABB" w:rsidRDefault="003D0ABB" w:rsidP="003D0ABB">
      <w:pPr>
        <w:autoSpaceDE w:val="0"/>
        <w:autoSpaceDN w:val="0"/>
        <w:adjustRightInd w:val="0"/>
        <w:spacing w:line="360" w:lineRule="auto"/>
        <w:rPr>
          <w:b/>
        </w:rPr>
      </w:pPr>
    </w:p>
    <w:p w:rsidR="003D0ABB" w:rsidRDefault="003D0ABB" w:rsidP="003D0ABB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210BAF">
        <w:rPr>
          <w:b/>
        </w:rPr>
        <w:t>Supplementary Figure 1</w:t>
      </w:r>
      <w:r w:rsidRPr="003D0ABB">
        <w:t xml:space="preserve">  Asp496 – Ser317 distance in ligand-free human DPP </w:t>
      </w:r>
      <w:smartTag w:uri="urn:schemas-microsoft-com:office:smarttags" w:element="stockticker">
        <w:r w:rsidRPr="003D0ABB">
          <w:t>III</w:t>
        </w:r>
      </w:smartTag>
      <w:r w:rsidRPr="003D0ABB">
        <w:t xml:space="preserve"> (</w:t>
      </w:r>
      <w:r w:rsidRPr="003D0ABB">
        <w:rPr>
          <w:bCs/>
        </w:rPr>
        <w:t>PDB: 3FVY).</w:t>
      </w:r>
    </w:p>
    <w:p w:rsidR="003D0ABB" w:rsidRPr="00210BAF" w:rsidRDefault="003D0ABB" w:rsidP="003D0ABB">
      <w:pPr>
        <w:autoSpaceDE w:val="0"/>
        <w:autoSpaceDN w:val="0"/>
        <w:adjustRightInd w:val="0"/>
        <w:spacing w:line="360" w:lineRule="auto"/>
        <w:rPr>
          <w:bCs/>
        </w:rPr>
      </w:pPr>
      <w:r w:rsidRPr="00210BAF">
        <w:t>Structure was generated by PyMOL (</w:t>
      </w:r>
      <w:hyperlink r:id="rId4" w:history="1">
        <w:r w:rsidRPr="00210BAF">
          <w:rPr>
            <w:rStyle w:val="Hyperlink"/>
            <w:color w:val="auto"/>
          </w:rPr>
          <w:t>www.pymol.org</w:t>
        </w:r>
      </w:hyperlink>
      <w:r w:rsidRPr="00210BAF">
        <w:t xml:space="preserve">). </w:t>
      </w:r>
      <w:r w:rsidRPr="00210BAF">
        <w:rPr>
          <w:bCs/>
        </w:rPr>
        <w:t>Amino acid residues (Asp496 and Ser317) are given in black, by the ball-and-stick representation.</w:t>
      </w:r>
    </w:p>
    <w:p w:rsidR="003D0ABB" w:rsidRPr="00210BAF" w:rsidRDefault="003D0ABB" w:rsidP="003D0ABB">
      <w:pPr>
        <w:autoSpaceDE w:val="0"/>
        <w:autoSpaceDN w:val="0"/>
        <w:adjustRightInd w:val="0"/>
        <w:spacing w:line="360" w:lineRule="auto"/>
        <w:rPr>
          <w:bCs/>
        </w:rPr>
      </w:pPr>
    </w:p>
    <w:p w:rsidR="003D0ABB" w:rsidRDefault="003D0ABB" w:rsidP="003D0ABB">
      <w:pPr>
        <w:autoSpaceDE w:val="0"/>
        <w:autoSpaceDN w:val="0"/>
        <w:adjustRightInd w:val="0"/>
        <w:spacing w:line="360" w:lineRule="auto"/>
        <w:rPr>
          <w:rFonts w:eastAsia="AdvTTc6d9b48b"/>
          <w:b/>
          <w:bCs/>
        </w:rPr>
      </w:pPr>
      <w:r w:rsidRPr="00210BAF">
        <w:rPr>
          <w:b/>
        </w:rPr>
        <w:t>Supplementary Figure 2</w:t>
      </w:r>
      <w:r>
        <w:rPr>
          <w:b/>
        </w:rPr>
        <w:t xml:space="preserve"> </w:t>
      </w:r>
      <w:r w:rsidRPr="003D0ABB">
        <w:t xml:space="preserve"> </w:t>
      </w:r>
      <w:r w:rsidRPr="003D0ABB">
        <w:rPr>
          <w:rFonts w:eastAsia="AdvTTc6d9b48b"/>
          <w:bCs/>
        </w:rPr>
        <w:t>Multiple sequence alignment (</w:t>
      </w:r>
      <w:smartTag w:uri="urn:schemas-microsoft-com:office:smarttags" w:element="stockticker">
        <w:r w:rsidRPr="003D0ABB">
          <w:rPr>
            <w:rFonts w:eastAsia="AdvTTc6d9b48b"/>
            <w:bCs/>
          </w:rPr>
          <w:t>MSA</w:t>
        </w:r>
      </w:smartTag>
      <w:r w:rsidRPr="003D0ABB">
        <w:rPr>
          <w:rFonts w:eastAsia="AdvTTc6d9b48b"/>
          <w:bCs/>
        </w:rPr>
        <w:t>) of a selection of M49 family peptidases.</w:t>
      </w:r>
    </w:p>
    <w:p w:rsidR="003D0ABB" w:rsidRPr="003D0ABB" w:rsidRDefault="003D0ABB" w:rsidP="003D0ABB">
      <w:pPr>
        <w:autoSpaceDE w:val="0"/>
        <w:autoSpaceDN w:val="0"/>
        <w:adjustRightInd w:val="0"/>
        <w:spacing w:line="360" w:lineRule="auto"/>
        <w:rPr>
          <w:rFonts w:eastAsia="AdvTTc6d9b48b"/>
        </w:rPr>
      </w:pPr>
      <w:smartTag w:uri="urn:schemas-microsoft-com:office:smarttags" w:element="stockticker">
        <w:r w:rsidRPr="00210BAF">
          <w:rPr>
            <w:rFonts w:eastAsia="AdvTTc6d9b48b"/>
          </w:rPr>
          <w:t>MSA</w:t>
        </w:r>
      </w:smartTag>
      <w:r w:rsidRPr="00210BAF">
        <w:rPr>
          <w:rFonts w:eastAsia="AdvTTc6d9b48b"/>
        </w:rPr>
        <w:t xml:space="preserve"> was obtained using ClustalO (UniProt) (</w:t>
      </w:r>
      <w:hyperlink r:id="rId5" w:history="1">
        <w:r w:rsidRPr="00210BAF">
          <w:rPr>
            <w:rStyle w:val="Hyperlink"/>
            <w:rFonts w:eastAsia="AdvTTc6d9b48b"/>
            <w:color w:val="auto"/>
          </w:rPr>
          <w:t>www.uniprot.org./align</w:t>
        </w:r>
      </w:hyperlink>
      <w:r w:rsidRPr="00210BAF">
        <w:rPr>
          <w:rFonts w:eastAsia="AdvTTc6d9b48b"/>
        </w:rPr>
        <w:t>).</w:t>
      </w:r>
      <w:r>
        <w:rPr>
          <w:rFonts w:eastAsia="AdvTTc6d9b48b"/>
        </w:rPr>
        <w:t xml:space="preserve"> </w:t>
      </w:r>
      <w:r w:rsidRPr="00210BAF">
        <w:rPr>
          <w:rFonts w:eastAsia="AdvTTc6d9b48b"/>
        </w:rPr>
        <w:t xml:space="preserve">Presented is a region comprising five constituents of the S2 subsite, which are bolded in human sequence (Trp495, Asp496, Ser504, Glu507 and Glu508), and ETGE motif (italic font in human DPP </w:t>
      </w:r>
      <w:smartTag w:uri="urn:schemas-microsoft-com:office:smarttags" w:element="stockticker">
        <w:r w:rsidRPr="00210BAF">
          <w:rPr>
            <w:rFonts w:eastAsia="AdvTTc6d9b48b"/>
          </w:rPr>
          <w:t>III</w:t>
        </w:r>
      </w:smartTag>
      <w:r w:rsidRPr="00210BAF">
        <w:rPr>
          <w:rFonts w:eastAsia="AdvTTc6d9b48b"/>
        </w:rPr>
        <w:t xml:space="preserve"> sequence).</w:t>
      </w:r>
      <w:r>
        <w:rPr>
          <w:rFonts w:eastAsia="AdvTTc6d9b48b"/>
        </w:rPr>
        <w:t xml:space="preserve"> </w:t>
      </w:r>
      <w:r w:rsidRPr="00210BAF">
        <w:t xml:space="preserve">Aligned were amino acid sequences from: </w:t>
      </w:r>
      <w:r w:rsidRPr="00210BAF">
        <w:rPr>
          <w:i/>
          <w:iCs/>
        </w:rPr>
        <w:t>Homo sapiens</w:t>
      </w:r>
      <w:r w:rsidRPr="00210BAF">
        <w:t xml:space="preserve"> (Q9NY33), </w:t>
      </w:r>
      <w:r w:rsidRPr="00210BAF">
        <w:rPr>
          <w:i/>
          <w:iCs/>
        </w:rPr>
        <w:t>Felis catus</w:t>
      </w:r>
      <w:r w:rsidRPr="00210BAF">
        <w:t xml:space="preserve"> (M3WB74), </w:t>
      </w:r>
      <w:r w:rsidRPr="00210BAF">
        <w:rPr>
          <w:i/>
          <w:iCs/>
        </w:rPr>
        <w:t>Pelodiscus sinensis</w:t>
      </w:r>
      <w:r w:rsidRPr="00210BAF">
        <w:t xml:space="preserve"> (K7F547), </w:t>
      </w:r>
      <w:r w:rsidRPr="00210BAF">
        <w:rPr>
          <w:i/>
        </w:rPr>
        <w:t>Salmo salar</w:t>
      </w:r>
      <w:r w:rsidRPr="00210BAF">
        <w:t xml:space="preserve"> (B5X435), </w:t>
      </w:r>
      <w:r w:rsidRPr="00210BAF">
        <w:rPr>
          <w:i/>
          <w:iCs/>
        </w:rPr>
        <w:t>Caenorhabditis elegans</w:t>
      </w:r>
      <w:r w:rsidRPr="00210BAF">
        <w:t xml:space="preserve"> (G5ECW7), </w:t>
      </w:r>
      <w:r w:rsidRPr="00210BAF">
        <w:rPr>
          <w:i/>
          <w:iCs/>
        </w:rPr>
        <w:t>Giardia intestinalis</w:t>
      </w:r>
      <w:r w:rsidRPr="00210BAF">
        <w:t xml:space="preserve"> (A8B3Q8), </w:t>
      </w:r>
      <w:r w:rsidRPr="00210BAF">
        <w:rPr>
          <w:i/>
        </w:rPr>
        <w:t>Apis mellifera</w:t>
      </w:r>
      <w:r w:rsidRPr="00210BAF">
        <w:t xml:space="preserve"> (A0A088A023), </w:t>
      </w:r>
      <w:r w:rsidRPr="00210BAF">
        <w:rPr>
          <w:i/>
          <w:iCs/>
        </w:rPr>
        <w:t>Trichoplax adhaerens</w:t>
      </w:r>
      <w:r w:rsidRPr="00210BAF">
        <w:t xml:space="preserve"> (B3S0Q5), </w:t>
      </w:r>
      <w:r w:rsidRPr="00210BAF">
        <w:rPr>
          <w:i/>
        </w:rPr>
        <w:t xml:space="preserve">Bombyx mori </w:t>
      </w:r>
      <w:r w:rsidRPr="00210BAF">
        <w:t xml:space="preserve">(H9J598), </w:t>
      </w:r>
      <w:r w:rsidRPr="00210BAF">
        <w:rPr>
          <w:i/>
          <w:iCs/>
        </w:rPr>
        <w:t xml:space="preserve">Nematostella vectensis </w:t>
      </w:r>
      <w:r w:rsidRPr="00210BAF">
        <w:t xml:space="preserve">(A7RZW4), </w:t>
      </w:r>
      <w:r w:rsidRPr="00210BAF">
        <w:rPr>
          <w:i/>
          <w:iCs/>
        </w:rPr>
        <w:t>Aspergillus niger</w:t>
      </w:r>
      <w:r w:rsidRPr="00210BAF">
        <w:t xml:space="preserve"> (A2QHM6), </w:t>
      </w:r>
      <w:r w:rsidRPr="00210BAF">
        <w:rPr>
          <w:i/>
          <w:iCs/>
        </w:rPr>
        <w:t>Saccharomyces cerevisiae</w:t>
      </w:r>
      <w:r w:rsidRPr="00210BAF">
        <w:t xml:space="preserve"> (Q08225), </w:t>
      </w:r>
      <w:r w:rsidRPr="00210BAF">
        <w:rPr>
          <w:i/>
          <w:iCs/>
        </w:rPr>
        <w:t>Bacteroides thetaiotaomicron</w:t>
      </w:r>
      <w:r w:rsidRPr="00210BAF">
        <w:t xml:space="preserve"> (Q8A6N1), </w:t>
      </w:r>
      <w:r w:rsidRPr="00210BAF">
        <w:rPr>
          <w:i/>
          <w:iCs/>
        </w:rPr>
        <w:t>Croceibacter atlanticus</w:t>
      </w:r>
      <w:r w:rsidRPr="00210BAF">
        <w:t xml:space="preserve"> (A3U8C5), </w:t>
      </w:r>
      <w:r w:rsidRPr="00210BAF">
        <w:rPr>
          <w:i/>
          <w:iCs/>
        </w:rPr>
        <w:t xml:space="preserve">Flavobacterium frigoris </w:t>
      </w:r>
      <w:r w:rsidRPr="00210BAF">
        <w:t xml:space="preserve">(H7FU07), and </w:t>
      </w:r>
      <w:r w:rsidRPr="00210BAF">
        <w:rPr>
          <w:i/>
          <w:iCs/>
        </w:rPr>
        <w:t xml:space="preserve">Stigmatella aurantiaca </w:t>
      </w:r>
      <w:r w:rsidRPr="00210BAF">
        <w:t>(Q08U85).</w:t>
      </w:r>
    </w:p>
    <w:p w:rsidR="003D0ABB" w:rsidRDefault="003D0ABB"/>
    <w:sectPr w:rsidR="003D0ABB" w:rsidSect="0023342C">
      <w:footerReference w:type="even" r:id="rId6"/>
      <w:footerReference w:type="default" r:id="rId7"/>
      <w:pgSz w:w="11906" w:h="16838" w:code="9"/>
      <w:pgMar w:top="1418" w:right="1361" w:bottom="1418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dvTTc6d9b48b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BBA" w:rsidRDefault="003D0ABB" w:rsidP="0084069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EE7BBA" w:rsidRDefault="003D0ABB" w:rsidP="008F3B98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BBA" w:rsidRDefault="003D0ABB" w:rsidP="0084069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EE7BBA" w:rsidRDefault="003D0ABB" w:rsidP="008F3B98">
    <w:pPr>
      <w:pStyle w:val="Fuzeile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D0ABB"/>
    <w:rsid w:val="003D0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0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sid w:val="003D0ABB"/>
    <w:rPr>
      <w:rFonts w:cs="Times New Roman"/>
      <w:color w:val="0000FF"/>
      <w:u w:val="none"/>
      <w:effect w:val="none"/>
    </w:rPr>
  </w:style>
  <w:style w:type="paragraph" w:styleId="Fuzeile">
    <w:name w:val="footer"/>
    <w:basedOn w:val="Standard"/>
    <w:link w:val="FuzeileZchn"/>
    <w:rsid w:val="003D0A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D0AB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Seitenzahl">
    <w:name w:val="page number"/>
    <w:basedOn w:val="Absatz-Standardschriftart"/>
    <w:rsid w:val="003D0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www.uniprot.org./align" TargetMode="External"/><Relationship Id="rId4" Type="http://schemas.openxmlformats.org/officeDocument/2006/relationships/hyperlink" Target="http://www.pymol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krueger</dc:creator>
  <cp:lastModifiedBy>krueger</cp:lastModifiedBy>
  <cp:revision>1</cp:revision>
  <dcterms:created xsi:type="dcterms:W3CDTF">2015-01-06T14:57:00Z</dcterms:created>
  <dcterms:modified xsi:type="dcterms:W3CDTF">2015-01-06T14:59:00Z</dcterms:modified>
</cp:coreProperties>
</file>