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tblpPr w:leftFromText="180" w:rightFromText="180" w:vertAnchor="page" w:horzAnchor="margin" w:tblpY="1942"/>
        <w:tblW w:w="9658" w:type="dxa"/>
        <w:tblLook w:val="04A0" w:firstRow="1" w:lastRow="0" w:firstColumn="1" w:lastColumn="0" w:noHBand="0" w:noVBand="1"/>
      </w:tblPr>
      <w:tblGrid>
        <w:gridCol w:w="450"/>
        <w:gridCol w:w="4456"/>
        <w:gridCol w:w="4752"/>
      </w:tblGrid>
      <w:tr w:rsidR="00614FF3" w:rsidRPr="000A0022" w14:paraId="04CC6BDF" w14:textId="77777777" w:rsidTr="00614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8" w:type="dxa"/>
            <w:gridSpan w:val="3"/>
            <w:tcBorders>
              <w:top w:val="single" w:sz="4" w:space="0" w:color="auto"/>
            </w:tcBorders>
            <w:vAlign w:val="center"/>
          </w:tcPr>
          <w:p w14:paraId="3247BA8C" w14:textId="77777777" w:rsidR="00614FF3" w:rsidRPr="000A0022" w:rsidRDefault="00614FF3" w:rsidP="00614FF3">
            <w:pPr>
              <w:rPr>
                <w:rFonts w:cs="Segoe UI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cs="Segoe UI"/>
                <w:sz w:val="18"/>
                <w:szCs w:val="18"/>
              </w:rPr>
              <w:t>T</w:t>
            </w:r>
            <w:r w:rsidRPr="002C6EDA">
              <w:rPr>
                <w:rFonts w:cs="Segoe UI"/>
                <w:sz w:val="18"/>
                <w:szCs w:val="18"/>
              </w:rPr>
              <w:t>riggers used in ED settings for quality of care issues and patient safety events</w:t>
            </w:r>
          </w:p>
        </w:tc>
      </w:tr>
      <w:tr w:rsidR="00614FF3" w:rsidRPr="000A0022" w14:paraId="09C0384D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315309C7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</w:p>
        </w:tc>
        <w:tc>
          <w:tcPr>
            <w:tcW w:w="4456" w:type="dxa"/>
          </w:tcPr>
          <w:p w14:paraId="59AAE0DF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Reference</w:t>
            </w:r>
          </w:p>
        </w:tc>
        <w:tc>
          <w:tcPr>
            <w:tcW w:w="4752" w:type="dxa"/>
          </w:tcPr>
          <w:p w14:paraId="0B81B317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Metric</w:t>
            </w:r>
          </w:p>
        </w:tc>
      </w:tr>
      <w:tr w:rsidR="00614FF3" w:rsidRPr="000A0022" w14:paraId="5B83530C" w14:textId="77777777" w:rsidTr="00614F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2E3C8544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1.</w:t>
            </w:r>
          </w:p>
        </w:tc>
        <w:tc>
          <w:tcPr>
            <w:tcW w:w="4456" w:type="dxa"/>
          </w:tcPr>
          <w:p w14:paraId="62D14A62" w14:textId="52452000" w:rsidR="00614FF3" w:rsidRPr="00795FEC" w:rsidRDefault="005216D6" w:rsidP="00521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Al-</w:t>
            </w:r>
            <w:proofErr w:type="spellStart"/>
            <w:r>
              <w:rPr>
                <w:rFonts w:cs="Segoe UI"/>
                <w:sz w:val="18"/>
                <w:szCs w:val="18"/>
              </w:rPr>
              <w:t>Mutairi</w:t>
            </w:r>
            <w:proofErr w:type="spellEnd"/>
            <w:r w:rsidR="00D31FBD" w:rsidRPr="00D31FBD">
              <w:rPr>
                <w:rFonts w:cs="Segoe UI"/>
                <w:sz w:val="18"/>
                <w:szCs w:val="18"/>
              </w:rPr>
              <w:t xml:space="preserve"> A, et al. Accuracy of the </w:t>
            </w:r>
            <w:r>
              <w:rPr>
                <w:rFonts w:cs="Segoe UI"/>
                <w:sz w:val="18"/>
                <w:szCs w:val="18"/>
              </w:rPr>
              <w:t>S</w:t>
            </w:r>
            <w:r w:rsidR="00D31FBD" w:rsidRPr="00D31FBD">
              <w:rPr>
                <w:rFonts w:cs="Segoe UI"/>
                <w:sz w:val="18"/>
                <w:szCs w:val="18"/>
              </w:rPr>
              <w:t xml:space="preserve">afer </w:t>
            </w:r>
            <w:proofErr w:type="spellStart"/>
            <w:r>
              <w:rPr>
                <w:rFonts w:cs="Segoe UI"/>
                <w:sz w:val="18"/>
                <w:szCs w:val="18"/>
              </w:rPr>
              <w:t>D</w:t>
            </w:r>
            <w:r w:rsidR="00D31FBD" w:rsidRPr="00D31FBD">
              <w:rPr>
                <w:rFonts w:cs="Segoe UI"/>
                <w:sz w:val="18"/>
                <w:szCs w:val="18"/>
              </w:rPr>
              <w:t>x</w:t>
            </w:r>
            <w:proofErr w:type="spellEnd"/>
            <w:r w:rsidR="00D31FBD" w:rsidRPr="00D31FBD">
              <w:rPr>
                <w:rFonts w:cs="Segoe UI"/>
                <w:sz w:val="18"/>
                <w:szCs w:val="18"/>
              </w:rPr>
              <w:t xml:space="preserve"> </w:t>
            </w:r>
            <w:r>
              <w:rPr>
                <w:rFonts w:cs="Segoe UI"/>
                <w:sz w:val="18"/>
                <w:szCs w:val="18"/>
              </w:rPr>
              <w:t>i</w:t>
            </w:r>
            <w:r w:rsidR="00D31FBD" w:rsidRPr="00D31FBD">
              <w:rPr>
                <w:rFonts w:cs="Segoe UI"/>
                <w:sz w:val="18"/>
                <w:szCs w:val="18"/>
              </w:rPr>
              <w:t xml:space="preserve">nstrument to </w:t>
            </w:r>
            <w:r>
              <w:rPr>
                <w:rFonts w:cs="Segoe UI"/>
                <w:sz w:val="18"/>
                <w:szCs w:val="18"/>
              </w:rPr>
              <w:t>identify d</w:t>
            </w:r>
            <w:r w:rsidR="00D31FBD" w:rsidRPr="00D31FBD">
              <w:rPr>
                <w:rFonts w:cs="Segoe UI"/>
                <w:sz w:val="18"/>
                <w:szCs w:val="18"/>
              </w:rPr>
              <w:t xml:space="preserve">iagnostic </w:t>
            </w:r>
            <w:r>
              <w:rPr>
                <w:rFonts w:cs="Segoe UI"/>
                <w:sz w:val="18"/>
                <w:szCs w:val="18"/>
              </w:rPr>
              <w:t>errors in primary c</w:t>
            </w:r>
            <w:r w:rsidR="00D31FBD" w:rsidRPr="00D31FBD">
              <w:rPr>
                <w:rFonts w:cs="Segoe UI"/>
                <w:sz w:val="18"/>
                <w:szCs w:val="18"/>
              </w:rPr>
              <w:t xml:space="preserve">are. J Gen Intern Med </w:t>
            </w:r>
            <w:r>
              <w:rPr>
                <w:rFonts w:cs="Segoe UI"/>
                <w:sz w:val="18"/>
                <w:szCs w:val="18"/>
              </w:rPr>
              <w:t>2016;31(6):</w:t>
            </w:r>
            <w:r w:rsidR="00D31FBD" w:rsidRPr="00D31FBD">
              <w:rPr>
                <w:rFonts w:cs="Segoe UI"/>
                <w:sz w:val="18"/>
                <w:szCs w:val="18"/>
              </w:rPr>
              <w:t>602-608.</w:t>
            </w:r>
          </w:p>
        </w:tc>
        <w:tc>
          <w:tcPr>
            <w:tcW w:w="4752" w:type="dxa"/>
          </w:tcPr>
          <w:p w14:paraId="121F72C9" w14:textId="77777777" w:rsidR="00614FF3" w:rsidRPr="000A0022" w:rsidRDefault="00614FF3" w:rsidP="0061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Unexpected hospitalizations and return visits</w:t>
            </w:r>
          </w:p>
        </w:tc>
      </w:tr>
      <w:tr w:rsidR="00614FF3" w:rsidRPr="000A0022" w14:paraId="264D0573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815DEE1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2.</w:t>
            </w:r>
          </w:p>
        </w:tc>
        <w:tc>
          <w:tcPr>
            <w:tcW w:w="4456" w:type="dxa"/>
          </w:tcPr>
          <w:p w14:paraId="5A1450AD" w14:textId="253B994B" w:rsidR="00614FF3" w:rsidRPr="00795FEC" w:rsidRDefault="00D31FBD" w:rsidP="0052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proofErr w:type="spellStart"/>
            <w:r w:rsidRPr="00D31FBD">
              <w:rPr>
                <w:rFonts w:cs="Segoe UI"/>
                <w:sz w:val="18"/>
                <w:szCs w:val="18"/>
              </w:rPr>
              <w:t>Bhise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V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 xml:space="preserve">An electronic trigger based on care escalation to identify preventable adverse events in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hospitalised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patients.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BMJ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Qual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Saf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r w:rsidR="005216D6">
              <w:rPr>
                <w:rFonts w:cs="Segoe UI"/>
                <w:sz w:val="18"/>
                <w:szCs w:val="18"/>
              </w:rPr>
              <w:t>2018;</w:t>
            </w:r>
            <w:r w:rsidRPr="00D31FBD">
              <w:rPr>
                <w:rFonts w:cs="Segoe UI"/>
                <w:sz w:val="18"/>
                <w:szCs w:val="18"/>
              </w:rPr>
              <w:t>27(3):241-246.</w:t>
            </w:r>
          </w:p>
        </w:tc>
        <w:tc>
          <w:tcPr>
            <w:tcW w:w="4752" w:type="dxa"/>
          </w:tcPr>
          <w:p w14:paraId="5867EF1D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Care escalation (defined as transfer to the intensive care unit (ICU) or initiation of rapid response team (RRT) within 15 days of admission)</w:t>
            </w:r>
          </w:p>
        </w:tc>
      </w:tr>
      <w:tr w:rsidR="00614FF3" w:rsidRPr="000A0022" w14:paraId="4505E92F" w14:textId="77777777" w:rsidTr="00614F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3D6E56A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3.</w:t>
            </w:r>
          </w:p>
        </w:tc>
        <w:tc>
          <w:tcPr>
            <w:tcW w:w="4456" w:type="dxa"/>
          </w:tcPr>
          <w:p w14:paraId="162C0F24" w14:textId="4F3F357E" w:rsidR="00614FF3" w:rsidRPr="00795FEC" w:rsidRDefault="00D31FBD" w:rsidP="00521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proofErr w:type="spellStart"/>
            <w:r w:rsidRPr="00D31FBD">
              <w:rPr>
                <w:rFonts w:cs="Segoe UI"/>
                <w:sz w:val="18"/>
                <w:szCs w:val="18"/>
              </w:rPr>
              <w:t>Davalos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MC</w:t>
            </w:r>
            <w:r w:rsidR="005216D6">
              <w:rPr>
                <w:rFonts w:cs="Segoe UI"/>
                <w:sz w:val="18"/>
                <w:szCs w:val="18"/>
              </w:rPr>
              <w:t>, et al. Finding diagnostic errors in children a</w:t>
            </w:r>
            <w:r w:rsidRPr="00D31FBD">
              <w:rPr>
                <w:rFonts w:cs="Segoe UI"/>
                <w:sz w:val="18"/>
                <w:szCs w:val="18"/>
              </w:rPr>
              <w:t xml:space="preserve">dmitted to the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PICU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Pediatr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Crit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Care Med </w:t>
            </w:r>
            <w:r w:rsidR="005216D6">
              <w:rPr>
                <w:rFonts w:cs="Segoe UI"/>
                <w:sz w:val="18"/>
                <w:szCs w:val="18"/>
              </w:rPr>
              <w:t>2017;</w:t>
            </w:r>
            <w:r w:rsidRPr="00D31FBD">
              <w:rPr>
                <w:rFonts w:cs="Segoe UI"/>
                <w:sz w:val="18"/>
                <w:szCs w:val="18"/>
              </w:rPr>
              <w:t>18(3):265-271.</w:t>
            </w:r>
          </w:p>
        </w:tc>
        <w:tc>
          <w:tcPr>
            <w:tcW w:w="4752" w:type="dxa"/>
          </w:tcPr>
          <w:p w14:paraId="334DA6D4" w14:textId="77777777" w:rsidR="00614FF3" w:rsidRPr="000A0022" w:rsidRDefault="00614FF3" w:rsidP="0061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Patients who were autopsied; Patients seen as outpatients within 2 weeks prior to PICU admission; Patients transferred to PICU unexpectedly from an acute care floor after a rapid response and requiring vasoactive medications</w:t>
            </w:r>
          </w:p>
        </w:tc>
      </w:tr>
      <w:tr w:rsidR="00614FF3" w:rsidRPr="000A0022" w14:paraId="288D9169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ECF8592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4.</w:t>
            </w:r>
          </w:p>
        </w:tc>
        <w:tc>
          <w:tcPr>
            <w:tcW w:w="4456" w:type="dxa"/>
          </w:tcPr>
          <w:p w14:paraId="4A43EF2E" w14:textId="218A3C7C" w:rsidR="00614FF3" w:rsidRPr="00795FEC" w:rsidRDefault="00D31FBD" w:rsidP="0052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D31FBD">
              <w:rPr>
                <w:rFonts w:cs="Segoe UI"/>
                <w:sz w:val="18"/>
                <w:szCs w:val="18"/>
              </w:rPr>
              <w:t>Hudspeth J</w:t>
            </w:r>
            <w:r w:rsidR="005216D6">
              <w:rPr>
                <w:rFonts w:cs="Segoe UI"/>
                <w:sz w:val="18"/>
                <w:szCs w:val="18"/>
              </w:rPr>
              <w:t>, et al. Use of an e</w:t>
            </w:r>
            <w:r w:rsidRPr="00D31FBD">
              <w:rPr>
                <w:rFonts w:cs="Segoe UI"/>
                <w:sz w:val="18"/>
                <w:szCs w:val="18"/>
              </w:rPr>
              <w:t>xp</w:t>
            </w:r>
            <w:r w:rsidR="005216D6">
              <w:rPr>
                <w:rFonts w:cs="Segoe UI"/>
                <w:sz w:val="18"/>
                <w:szCs w:val="18"/>
              </w:rPr>
              <w:t>edited review t</w:t>
            </w:r>
            <w:r w:rsidRPr="00D31FBD">
              <w:rPr>
                <w:rFonts w:cs="Segoe UI"/>
                <w:sz w:val="18"/>
                <w:szCs w:val="18"/>
              </w:rPr>
              <w:t xml:space="preserve">ool to </w:t>
            </w:r>
            <w:r w:rsidR="005216D6">
              <w:rPr>
                <w:rFonts w:cs="Segoe UI"/>
                <w:sz w:val="18"/>
                <w:szCs w:val="18"/>
              </w:rPr>
              <w:t>s</w:t>
            </w:r>
            <w:r w:rsidRPr="00D31FBD">
              <w:rPr>
                <w:rFonts w:cs="Segoe UI"/>
                <w:sz w:val="18"/>
                <w:szCs w:val="18"/>
              </w:rPr>
              <w:t xml:space="preserve">creen for </w:t>
            </w:r>
            <w:r w:rsidR="005216D6">
              <w:rPr>
                <w:rFonts w:cs="Segoe UI"/>
                <w:sz w:val="18"/>
                <w:szCs w:val="18"/>
              </w:rPr>
              <w:t>p</w:t>
            </w:r>
            <w:r w:rsidRPr="00D31FBD">
              <w:rPr>
                <w:rFonts w:cs="Segoe UI"/>
                <w:sz w:val="18"/>
                <w:szCs w:val="18"/>
              </w:rPr>
              <w:t xml:space="preserve">rior </w:t>
            </w:r>
            <w:r w:rsidR="005216D6">
              <w:rPr>
                <w:rFonts w:cs="Segoe UI"/>
                <w:sz w:val="18"/>
                <w:szCs w:val="18"/>
              </w:rPr>
              <w:t>diagnostic error in e</w:t>
            </w:r>
            <w:r w:rsidRPr="00D31FBD">
              <w:rPr>
                <w:rFonts w:cs="Segoe UI"/>
                <w:sz w:val="18"/>
                <w:szCs w:val="18"/>
              </w:rPr>
              <w:t xml:space="preserve">mergency </w:t>
            </w:r>
            <w:r w:rsidR="005216D6">
              <w:rPr>
                <w:rFonts w:cs="Segoe UI"/>
                <w:sz w:val="18"/>
                <w:szCs w:val="18"/>
              </w:rPr>
              <w:t>department p</w:t>
            </w:r>
            <w:r w:rsidRPr="00D31FBD">
              <w:rPr>
                <w:rFonts w:cs="Segoe UI"/>
                <w:sz w:val="18"/>
                <w:szCs w:val="18"/>
              </w:rPr>
              <w:t xml:space="preserve">atients.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Appl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Clin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Inform </w:t>
            </w:r>
            <w:r w:rsidR="005216D6">
              <w:rPr>
                <w:rFonts w:cs="Segoe UI"/>
                <w:sz w:val="18"/>
                <w:szCs w:val="18"/>
              </w:rPr>
              <w:t>2015;</w:t>
            </w:r>
            <w:r w:rsidRPr="00D31FBD">
              <w:rPr>
                <w:rFonts w:cs="Segoe UI"/>
                <w:sz w:val="18"/>
                <w:szCs w:val="18"/>
              </w:rPr>
              <w:t>6(4):619-628.</w:t>
            </w:r>
          </w:p>
        </w:tc>
        <w:tc>
          <w:tcPr>
            <w:tcW w:w="4752" w:type="dxa"/>
          </w:tcPr>
          <w:p w14:paraId="2B3B99F2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Prior in-system visit during the 14 days preceding their ED visit</w:t>
            </w:r>
          </w:p>
        </w:tc>
      </w:tr>
      <w:tr w:rsidR="00614FF3" w:rsidRPr="000A0022" w14:paraId="09F88611" w14:textId="77777777" w:rsidTr="00614F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5A104155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5.</w:t>
            </w:r>
          </w:p>
        </w:tc>
        <w:tc>
          <w:tcPr>
            <w:tcW w:w="4456" w:type="dxa"/>
          </w:tcPr>
          <w:p w14:paraId="3CA75210" w14:textId="08AE4600" w:rsidR="00614FF3" w:rsidRPr="00795FEC" w:rsidRDefault="00D31FBD" w:rsidP="00521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D31FBD">
              <w:rPr>
                <w:rFonts w:cs="Segoe UI"/>
                <w:sz w:val="18"/>
                <w:szCs w:val="18"/>
              </w:rPr>
              <w:t>Medford-Davis L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 xml:space="preserve">Diagnostic errors related to acute abdominal pain in the emergency department.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Emerg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Med J </w:t>
            </w:r>
            <w:r w:rsidR="005216D6">
              <w:rPr>
                <w:rFonts w:cs="Segoe UI"/>
                <w:sz w:val="18"/>
                <w:szCs w:val="18"/>
              </w:rPr>
              <w:t>2016;</w:t>
            </w:r>
            <w:r w:rsidRPr="00D31FBD">
              <w:rPr>
                <w:rFonts w:cs="Segoe UI"/>
                <w:sz w:val="18"/>
                <w:szCs w:val="18"/>
              </w:rPr>
              <w:t>33(4):253-259.</w:t>
            </w:r>
          </w:p>
        </w:tc>
        <w:tc>
          <w:tcPr>
            <w:tcW w:w="4752" w:type="dxa"/>
          </w:tcPr>
          <w:p w14:paraId="7A041723" w14:textId="77777777" w:rsidR="00614FF3" w:rsidRPr="000A0022" w:rsidRDefault="00614FF3" w:rsidP="0061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(1) Presenting to the ED with abdominal pain, and discharged home and (2) Return ED visits within 10 days that lead to a hospitalization.</w:t>
            </w:r>
          </w:p>
        </w:tc>
      </w:tr>
      <w:tr w:rsidR="00614FF3" w:rsidRPr="000A0022" w14:paraId="2F313440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1E3BE077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6.</w:t>
            </w:r>
          </w:p>
        </w:tc>
        <w:tc>
          <w:tcPr>
            <w:tcW w:w="4456" w:type="dxa"/>
          </w:tcPr>
          <w:p w14:paraId="7A1F0819" w14:textId="11911E23" w:rsidR="00614FF3" w:rsidRPr="00795FEC" w:rsidRDefault="00D31FBD" w:rsidP="0052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D31FBD">
              <w:rPr>
                <w:rFonts w:cs="Segoe UI"/>
                <w:sz w:val="18"/>
                <w:szCs w:val="18"/>
              </w:rPr>
              <w:t>Rising KL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 xml:space="preserve">Patient returns to the emergency department: the time-to-return curve.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Acad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Emerg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Med </w:t>
            </w:r>
            <w:r w:rsidR="005216D6">
              <w:rPr>
                <w:rFonts w:cs="Segoe UI"/>
                <w:sz w:val="18"/>
                <w:szCs w:val="18"/>
              </w:rPr>
              <w:t>2014;21(8):</w:t>
            </w:r>
            <w:r w:rsidRPr="00D31FBD">
              <w:rPr>
                <w:rFonts w:cs="Segoe UI"/>
                <w:sz w:val="18"/>
                <w:szCs w:val="18"/>
              </w:rPr>
              <w:t>864-871.</w:t>
            </w:r>
          </w:p>
        </w:tc>
        <w:tc>
          <w:tcPr>
            <w:tcW w:w="4752" w:type="dxa"/>
          </w:tcPr>
          <w:p w14:paraId="1386A33E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ED discharges were followed forward to identify ED revisits occurring at any hospital within the same state within 30 days.</w:t>
            </w:r>
          </w:p>
        </w:tc>
      </w:tr>
      <w:tr w:rsidR="00614FF3" w:rsidRPr="000A0022" w14:paraId="518B2A28" w14:textId="77777777" w:rsidTr="00614F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0DAE53F8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7.</w:t>
            </w:r>
          </w:p>
        </w:tc>
        <w:tc>
          <w:tcPr>
            <w:tcW w:w="4456" w:type="dxa"/>
          </w:tcPr>
          <w:p w14:paraId="73D806F7" w14:textId="286B3D2B" w:rsidR="00614FF3" w:rsidRPr="00094B10" w:rsidRDefault="00D31FBD" w:rsidP="00521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  <w:vertAlign w:val="superscript"/>
              </w:rPr>
            </w:pPr>
            <w:proofErr w:type="spellStart"/>
            <w:r w:rsidRPr="00D31FBD">
              <w:rPr>
                <w:rFonts w:cs="Segoe UI"/>
                <w:sz w:val="18"/>
                <w:szCs w:val="18"/>
              </w:rPr>
              <w:t>Shenvi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EC</w:t>
            </w:r>
            <w:r w:rsidR="005216D6">
              <w:rPr>
                <w:rFonts w:cs="Segoe UI"/>
                <w:sz w:val="18"/>
                <w:szCs w:val="18"/>
              </w:rPr>
              <w:t xml:space="preserve">, </w:t>
            </w:r>
            <w:r w:rsidRPr="00D31FBD">
              <w:rPr>
                <w:rFonts w:cs="Segoe UI"/>
                <w:sz w:val="18"/>
                <w:szCs w:val="18"/>
              </w:rPr>
              <w:t>El-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Kareh</w:t>
            </w:r>
            <w:proofErr w:type="spellEnd"/>
            <w:r w:rsidR="005216D6">
              <w:rPr>
                <w:rFonts w:cs="Segoe UI"/>
                <w:sz w:val="18"/>
                <w:szCs w:val="18"/>
              </w:rPr>
              <w:t xml:space="preserve"> R. </w:t>
            </w:r>
            <w:r w:rsidRPr="00D31FBD">
              <w:rPr>
                <w:rFonts w:cs="Segoe UI"/>
                <w:sz w:val="18"/>
                <w:szCs w:val="18"/>
              </w:rPr>
              <w:t>Clinical criteria to screen for inpatient diagnostic errors: a scoping review. Diagnosis (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Berl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) </w:t>
            </w:r>
            <w:r w:rsidR="005216D6">
              <w:rPr>
                <w:rFonts w:cs="Segoe UI"/>
                <w:sz w:val="18"/>
                <w:szCs w:val="18"/>
              </w:rPr>
              <w:t>2015;</w:t>
            </w:r>
            <w:r w:rsidRPr="00D31FBD">
              <w:rPr>
                <w:rFonts w:cs="Segoe UI"/>
                <w:sz w:val="18"/>
                <w:szCs w:val="18"/>
              </w:rPr>
              <w:t>2(1):3-19.</w:t>
            </w:r>
            <w:r w:rsidR="00094B10">
              <w:rPr>
                <w:rFonts w:cs="Segoe UI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752" w:type="dxa"/>
          </w:tcPr>
          <w:p w14:paraId="41902293" w14:textId="77777777" w:rsidR="00614FF3" w:rsidRPr="000A0022" w:rsidRDefault="00614FF3" w:rsidP="0061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A scoping review to collate all individual "trigger" criteria that have been developed or validated that may indicate that an inpatient diagnostic error has occurred.</w:t>
            </w:r>
          </w:p>
        </w:tc>
      </w:tr>
      <w:tr w:rsidR="00614FF3" w:rsidRPr="000A0022" w14:paraId="2755CE30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62DD28AE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8.</w:t>
            </w:r>
          </w:p>
        </w:tc>
        <w:tc>
          <w:tcPr>
            <w:tcW w:w="4456" w:type="dxa"/>
          </w:tcPr>
          <w:p w14:paraId="596E877B" w14:textId="78500684" w:rsidR="00614FF3" w:rsidRPr="00795FEC" w:rsidRDefault="00D31FBD" w:rsidP="0052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D31FBD">
              <w:rPr>
                <w:rFonts w:cs="Segoe UI"/>
                <w:sz w:val="18"/>
                <w:szCs w:val="18"/>
              </w:rPr>
              <w:t>Singh H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 xml:space="preserve">Electronic health record-based surveillance of diagnostic errors in primary care.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BMJ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Qual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Saf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r w:rsidR="005216D6">
              <w:rPr>
                <w:rFonts w:cs="Segoe UI"/>
                <w:sz w:val="18"/>
                <w:szCs w:val="18"/>
              </w:rPr>
              <w:t>2012;21(2):</w:t>
            </w:r>
            <w:r w:rsidRPr="00D31FBD">
              <w:rPr>
                <w:rFonts w:cs="Segoe UI"/>
                <w:sz w:val="18"/>
                <w:szCs w:val="18"/>
              </w:rPr>
              <w:t>93-100.</w:t>
            </w:r>
          </w:p>
        </w:tc>
        <w:tc>
          <w:tcPr>
            <w:tcW w:w="4752" w:type="dxa"/>
          </w:tcPr>
          <w:p w14:paraId="00506596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Trigger 1: A primary care index visit followed by unplanned hospitalization within 14 days and Trigger 2: A primary care index visit followed by ≥1 unscheduled visit(s) within 14 days.</w:t>
            </w:r>
          </w:p>
        </w:tc>
      </w:tr>
      <w:tr w:rsidR="00614FF3" w:rsidRPr="000A0022" w14:paraId="4D381785" w14:textId="77777777" w:rsidTr="00614FF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21D3BEBD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9.</w:t>
            </w:r>
          </w:p>
        </w:tc>
        <w:tc>
          <w:tcPr>
            <w:tcW w:w="4456" w:type="dxa"/>
          </w:tcPr>
          <w:p w14:paraId="53491C78" w14:textId="68B44276" w:rsidR="00614FF3" w:rsidRPr="00094B10" w:rsidRDefault="00D31FBD" w:rsidP="00521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  <w:vertAlign w:val="superscript"/>
              </w:rPr>
            </w:pPr>
            <w:proofErr w:type="spellStart"/>
            <w:r w:rsidRPr="00D31FBD">
              <w:rPr>
                <w:rFonts w:cs="Segoe UI"/>
                <w:sz w:val="18"/>
                <w:szCs w:val="18"/>
              </w:rPr>
              <w:t>Stockwell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DC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 xml:space="preserve">Development of an </w:t>
            </w:r>
            <w:r w:rsidR="005216D6">
              <w:rPr>
                <w:rFonts w:cs="Segoe UI"/>
                <w:sz w:val="18"/>
                <w:szCs w:val="18"/>
              </w:rPr>
              <w:t>electronic pediatric all-cause harm measurement tool using a m</w:t>
            </w:r>
            <w:r w:rsidRPr="00D31FBD">
              <w:rPr>
                <w:rFonts w:cs="Segoe UI"/>
                <w:sz w:val="18"/>
                <w:szCs w:val="18"/>
              </w:rPr>
              <w:t>od</w:t>
            </w:r>
            <w:r w:rsidR="005216D6">
              <w:rPr>
                <w:rFonts w:cs="Segoe UI"/>
                <w:sz w:val="18"/>
                <w:szCs w:val="18"/>
              </w:rPr>
              <w:t>ified Delphi method.</w:t>
            </w:r>
            <w:r w:rsidRPr="00D31FBD">
              <w:rPr>
                <w:rFonts w:cs="Segoe UI"/>
                <w:sz w:val="18"/>
                <w:szCs w:val="18"/>
              </w:rPr>
              <w:t xml:space="preserve"> J Patient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Saf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</w:t>
            </w:r>
            <w:r w:rsidR="005216D6">
              <w:rPr>
                <w:rFonts w:cs="Segoe UI"/>
                <w:sz w:val="18"/>
                <w:szCs w:val="18"/>
              </w:rPr>
              <w:t>2016;12(4):</w:t>
            </w:r>
            <w:r w:rsidRPr="00D31FBD">
              <w:rPr>
                <w:rFonts w:cs="Segoe UI"/>
                <w:sz w:val="18"/>
                <w:szCs w:val="18"/>
              </w:rPr>
              <w:t>180-189.</w:t>
            </w:r>
            <w:r w:rsidR="00094B10">
              <w:rPr>
                <w:rFonts w:cs="Segoe UI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752" w:type="dxa"/>
          </w:tcPr>
          <w:p w14:paraId="36D61032" w14:textId="77777777" w:rsidR="00614FF3" w:rsidRPr="000A0022" w:rsidRDefault="00614FF3" w:rsidP="00614F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Developed a comprehensive pediatric inpatient all-cause harm measurement tool using a modified Delphi technique.</w:t>
            </w:r>
          </w:p>
        </w:tc>
      </w:tr>
      <w:tr w:rsidR="00614FF3" w:rsidRPr="000A0022" w14:paraId="29AF2935" w14:textId="77777777" w:rsidTr="00614F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</w:tcPr>
          <w:p w14:paraId="7BEB1C7C" w14:textId="77777777" w:rsidR="00614FF3" w:rsidRPr="000A0022" w:rsidRDefault="00614FF3" w:rsidP="00614FF3">
            <w:pPr>
              <w:rPr>
                <w:rFonts w:cs="Segoe UI"/>
                <w:b w:val="0"/>
                <w:sz w:val="18"/>
                <w:szCs w:val="18"/>
              </w:rPr>
            </w:pPr>
            <w:r w:rsidRPr="000A0022">
              <w:rPr>
                <w:rFonts w:cs="Segoe UI"/>
                <w:b w:val="0"/>
                <w:sz w:val="18"/>
                <w:szCs w:val="18"/>
              </w:rPr>
              <w:t>10.</w:t>
            </w:r>
          </w:p>
        </w:tc>
        <w:tc>
          <w:tcPr>
            <w:tcW w:w="4456" w:type="dxa"/>
          </w:tcPr>
          <w:p w14:paraId="05B0B2B8" w14:textId="5210EEC4" w:rsidR="00614FF3" w:rsidRPr="00094B10" w:rsidRDefault="00D31FBD" w:rsidP="00521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  <w:vertAlign w:val="superscript"/>
              </w:rPr>
            </w:pPr>
            <w:proofErr w:type="spellStart"/>
            <w:r w:rsidRPr="00D31FBD">
              <w:rPr>
                <w:rFonts w:cs="Segoe UI"/>
                <w:sz w:val="18"/>
                <w:szCs w:val="18"/>
              </w:rPr>
              <w:t>Unbeck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M</w:t>
            </w:r>
            <w:r w:rsidR="005216D6">
              <w:rPr>
                <w:rFonts w:cs="Segoe UI"/>
                <w:sz w:val="18"/>
                <w:szCs w:val="18"/>
              </w:rPr>
              <w:t xml:space="preserve">, et al. </w:t>
            </w:r>
            <w:r w:rsidRPr="00D31FBD">
              <w:rPr>
                <w:rFonts w:cs="Segoe UI"/>
                <w:sz w:val="18"/>
                <w:szCs w:val="18"/>
              </w:rPr>
              <w:t>Validation of triggers and development of a pediatric trigger t</w:t>
            </w:r>
            <w:r w:rsidR="005216D6">
              <w:rPr>
                <w:rFonts w:cs="Segoe UI"/>
                <w:sz w:val="18"/>
                <w:szCs w:val="18"/>
              </w:rPr>
              <w:t>ool to identify adverse events.</w:t>
            </w:r>
            <w:r w:rsidRPr="00D31FBD">
              <w:rPr>
                <w:rFonts w:cs="Segoe UI"/>
                <w:sz w:val="18"/>
                <w:szCs w:val="18"/>
              </w:rPr>
              <w:t xml:space="preserve"> BMC Health </w:t>
            </w:r>
            <w:proofErr w:type="spellStart"/>
            <w:r w:rsidRPr="00D31FBD">
              <w:rPr>
                <w:rFonts w:cs="Segoe UI"/>
                <w:sz w:val="18"/>
                <w:szCs w:val="18"/>
              </w:rPr>
              <w:t>Serv</w:t>
            </w:r>
            <w:proofErr w:type="spellEnd"/>
            <w:r w:rsidRPr="00D31FBD">
              <w:rPr>
                <w:rFonts w:cs="Segoe UI"/>
                <w:sz w:val="18"/>
                <w:szCs w:val="18"/>
              </w:rPr>
              <w:t xml:space="preserve"> Res </w:t>
            </w:r>
            <w:r w:rsidR="005216D6">
              <w:rPr>
                <w:rFonts w:cs="Segoe UI"/>
                <w:sz w:val="18"/>
                <w:szCs w:val="18"/>
              </w:rPr>
              <w:t>2014;14:</w:t>
            </w:r>
            <w:r w:rsidRPr="00D31FBD">
              <w:rPr>
                <w:rFonts w:cs="Segoe UI"/>
                <w:sz w:val="18"/>
                <w:szCs w:val="18"/>
              </w:rPr>
              <w:t>655.</w:t>
            </w:r>
            <w:r w:rsidR="00094B10">
              <w:rPr>
                <w:rFonts w:cs="Segoe UI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4752" w:type="dxa"/>
          </w:tcPr>
          <w:p w14:paraId="66C4DF15" w14:textId="77777777" w:rsidR="00614FF3" w:rsidRPr="000A0022" w:rsidRDefault="00614FF3" w:rsidP="00614F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8"/>
                <w:szCs w:val="18"/>
              </w:rPr>
            </w:pPr>
            <w:r w:rsidRPr="000A0022">
              <w:rPr>
                <w:rFonts w:cs="Segoe UI"/>
                <w:sz w:val="18"/>
                <w:szCs w:val="18"/>
              </w:rPr>
              <w:t>Using a broad literature review and expert opinion with a modified Delphi process, a pediatric trigger tool with 88 triggers, definitions, and descriptions including AE preventability decision support was developed and tested</w:t>
            </w:r>
          </w:p>
        </w:tc>
      </w:tr>
    </w:tbl>
    <w:p w14:paraId="1C102F46" w14:textId="5F8B656F" w:rsidR="006A6C77" w:rsidRDefault="006A6C77" w:rsidP="004C7016">
      <w:pPr>
        <w:spacing w:after="0"/>
      </w:pPr>
      <w:r>
        <w:rPr>
          <w:rFonts w:cs="Segoe UI"/>
          <w:b/>
          <w:sz w:val="18"/>
          <w:szCs w:val="18"/>
        </w:rPr>
        <w:t xml:space="preserve">Supplemental material, Table 1: </w:t>
      </w:r>
      <w:r>
        <w:rPr>
          <w:rFonts w:cs="Segoe UI"/>
          <w:sz w:val="18"/>
          <w:szCs w:val="18"/>
        </w:rPr>
        <w:t>Literature findings to inform trigger list for consensus meeting</w:t>
      </w:r>
      <w:r w:rsidR="00614FF3">
        <w:rPr>
          <w:rFonts w:cs="Segoe UI"/>
          <w:sz w:val="18"/>
          <w:szCs w:val="18"/>
        </w:rPr>
        <w:t>, conducted January-March 2018</w:t>
      </w:r>
      <w:r>
        <w:rPr>
          <w:rFonts w:cs="Segoe UI"/>
          <w:sz w:val="18"/>
          <w:szCs w:val="18"/>
        </w:rPr>
        <w:t>.</w:t>
      </w:r>
    </w:p>
    <w:p w14:paraId="6A9C5C06" w14:textId="404F419D" w:rsidR="004A102B" w:rsidRPr="00094B10" w:rsidRDefault="00094B10">
      <w:pPr>
        <w:rPr>
          <w:rFonts w:cstheme="minorHAnsi"/>
          <w:i/>
          <w:sz w:val="18"/>
          <w:szCs w:val="18"/>
        </w:rPr>
      </w:pPr>
      <w:proofErr w:type="spellStart"/>
      <w:r w:rsidRPr="00094B10">
        <w:rPr>
          <w:rFonts w:cstheme="minorHAnsi"/>
          <w:i/>
          <w:sz w:val="18"/>
          <w:szCs w:val="18"/>
          <w:vertAlign w:val="superscript"/>
        </w:rPr>
        <w:t>a</w:t>
      </w:r>
      <w:r w:rsidRPr="00094B10">
        <w:rPr>
          <w:rFonts w:cstheme="minorHAnsi"/>
          <w:i/>
          <w:sz w:val="18"/>
          <w:szCs w:val="18"/>
        </w:rPr>
        <w:t>Literature</w:t>
      </w:r>
      <w:proofErr w:type="spellEnd"/>
      <w:r w:rsidRPr="00094B10">
        <w:rPr>
          <w:rFonts w:cstheme="minorHAnsi"/>
          <w:i/>
          <w:sz w:val="18"/>
          <w:szCs w:val="18"/>
        </w:rPr>
        <w:t xml:space="preserve"> provided to foster a shared mental model on electronic triggers and diagnostic uncertainty prior to the consensus meeting.</w:t>
      </w:r>
    </w:p>
    <w:sectPr w:rsidR="004A102B" w:rsidRPr="00094B10" w:rsidSect="006F119E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A3E"/>
    <w:multiLevelType w:val="hybridMultilevel"/>
    <w:tmpl w:val="80022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C3"/>
    <w:rsid w:val="00027C77"/>
    <w:rsid w:val="00052E27"/>
    <w:rsid w:val="00073D03"/>
    <w:rsid w:val="00081796"/>
    <w:rsid w:val="00094B10"/>
    <w:rsid w:val="000A0022"/>
    <w:rsid w:val="000D2F47"/>
    <w:rsid w:val="000E5EC3"/>
    <w:rsid w:val="000F6FD8"/>
    <w:rsid w:val="001A7C13"/>
    <w:rsid w:val="001B0DA0"/>
    <w:rsid w:val="001E21FC"/>
    <w:rsid w:val="001F2A6F"/>
    <w:rsid w:val="002112B5"/>
    <w:rsid w:val="0022448C"/>
    <w:rsid w:val="002C6EDA"/>
    <w:rsid w:val="003056C3"/>
    <w:rsid w:val="00332EA3"/>
    <w:rsid w:val="004A102B"/>
    <w:rsid w:val="004A5359"/>
    <w:rsid w:val="004C7016"/>
    <w:rsid w:val="004D665F"/>
    <w:rsid w:val="005216D6"/>
    <w:rsid w:val="005E5E8D"/>
    <w:rsid w:val="00614FF3"/>
    <w:rsid w:val="00672E56"/>
    <w:rsid w:val="006A6C77"/>
    <w:rsid w:val="006C5556"/>
    <w:rsid w:val="006D3418"/>
    <w:rsid w:val="006E191D"/>
    <w:rsid w:val="006F119E"/>
    <w:rsid w:val="00722BCB"/>
    <w:rsid w:val="00764723"/>
    <w:rsid w:val="00784B0F"/>
    <w:rsid w:val="00795FEC"/>
    <w:rsid w:val="007A0B54"/>
    <w:rsid w:val="008039B5"/>
    <w:rsid w:val="00862F43"/>
    <w:rsid w:val="00873D4B"/>
    <w:rsid w:val="008D1715"/>
    <w:rsid w:val="008D37BC"/>
    <w:rsid w:val="008E21C2"/>
    <w:rsid w:val="009362BC"/>
    <w:rsid w:val="009A3537"/>
    <w:rsid w:val="009D60FD"/>
    <w:rsid w:val="00AB55E8"/>
    <w:rsid w:val="00AE784B"/>
    <w:rsid w:val="00B71932"/>
    <w:rsid w:val="00BB2961"/>
    <w:rsid w:val="00BB682D"/>
    <w:rsid w:val="00C20E62"/>
    <w:rsid w:val="00C37A1A"/>
    <w:rsid w:val="00CA15AB"/>
    <w:rsid w:val="00D31FBD"/>
    <w:rsid w:val="00DA0C99"/>
    <w:rsid w:val="00DA42FB"/>
    <w:rsid w:val="00E15DFB"/>
    <w:rsid w:val="00E216F0"/>
    <w:rsid w:val="00E978E2"/>
    <w:rsid w:val="00ED05DB"/>
    <w:rsid w:val="00F4593F"/>
    <w:rsid w:val="00F9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EE4D"/>
  <w15:chartTrackingRefBased/>
  <w15:docId w15:val="{B1B3E0AA-A46D-47CC-A81B-45E56D59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2-Accent5">
    <w:name w:val="List Table 2 Accent 5"/>
    <w:basedOn w:val="TableNormal"/>
    <w:uiPriority w:val="47"/>
    <w:rsid w:val="001A7C1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6F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48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20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E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E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E6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20E62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20E62"/>
    <w:rPr>
      <w:rFonts w:eastAsiaTheme="minorEastAsia"/>
    </w:rPr>
  </w:style>
  <w:style w:type="paragraph" w:customStyle="1" w:styleId="Default">
    <w:name w:val="Default"/>
    <w:rsid w:val="00C20E6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styleId="PlainTable2">
    <w:name w:val="Plain Table 2"/>
    <w:basedOn w:val="TableNormal"/>
    <w:uiPriority w:val="42"/>
    <w:rsid w:val="00DA42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Elizabeth</dc:creator>
  <cp:keywords/>
  <dc:description/>
  <cp:lastModifiedBy>Parker, Sarah</cp:lastModifiedBy>
  <cp:revision>2</cp:revision>
  <cp:lastPrinted>2018-02-26T02:30:00Z</cp:lastPrinted>
  <dcterms:created xsi:type="dcterms:W3CDTF">2020-09-04T15:09:00Z</dcterms:created>
  <dcterms:modified xsi:type="dcterms:W3CDTF">2020-09-04T15:09:00Z</dcterms:modified>
</cp:coreProperties>
</file>