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73D2" w14:textId="77777777" w:rsidR="00180BA7" w:rsidRPr="009A18D2" w:rsidRDefault="00180BA7" w:rsidP="00180BA7">
      <w:pPr>
        <w:rPr>
          <w:b/>
          <w:bCs/>
          <w:sz w:val="40"/>
          <w:szCs w:val="40"/>
          <w:u w:val="single"/>
        </w:rPr>
      </w:pPr>
      <w:r w:rsidRPr="009A18D2">
        <w:rPr>
          <w:b/>
          <w:bCs/>
          <w:sz w:val="40"/>
          <w:szCs w:val="40"/>
          <w:u w:val="single"/>
        </w:rPr>
        <w:t>Non-Formal Chemistry Learning: A Scoping Review</w:t>
      </w:r>
    </w:p>
    <w:p w14:paraId="621DE4FA" w14:textId="77777777" w:rsidR="00180BA7" w:rsidRPr="009A18D2" w:rsidRDefault="00180BA7" w:rsidP="00180BA7">
      <w:pPr>
        <w:rPr>
          <w:sz w:val="24"/>
          <w:szCs w:val="24"/>
        </w:rPr>
      </w:pPr>
      <w:r w:rsidRPr="009A18D2">
        <w:rPr>
          <w:sz w:val="24"/>
          <w:szCs w:val="24"/>
        </w:rPr>
        <w:t>Megan J. D’Alton, Patrick I. T. Thomson and Fraser J. Scott*</w:t>
      </w:r>
    </w:p>
    <w:p w14:paraId="2FE632AC" w14:textId="77777777" w:rsidR="00180BA7" w:rsidRPr="009A18D2" w:rsidRDefault="00180BA7" w:rsidP="00180BA7">
      <w:pPr>
        <w:spacing w:after="105"/>
        <w:rPr>
          <w:rFonts w:ascii="Roboto" w:eastAsia="Roboto" w:hAnsi="Roboto" w:cs="Roboto"/>
          <w:sz w:val="18"/>
          <w:szCs w:val="18"/>
        </w:rPr>
      </w:pPr>
      <w:r w:rsidRPr="009A18D2">
        <w:rPr>
          <w:rFonts w:ascii="Roboto" w:eastAsia="Roboto" w:hAnsi="Roboto" w:cs="Roboto"/>
          <w:sz w:val="18"/>
          <w:szCs w:val="18"/>
        </w:rPr>
        <w:t>Department of Pure and Applied Chemistry, University of Strathclyde, Glasgow, U.K., G1 1XL</w:t>
      </w:r>
    </w:p>
    <w:p w14:paraId="2D32C0E2" w14:textId="77777777" w:rsidR="00180BA7" w:rsidRPr="009A18D2" w:rsidRDefault="00180BA7" w:rsidP="00180BA7">
      <w:pPr>
        <w:rPr>
          <w:rFonts w:ascii="Roboto" w:eastAsia="Roboto" w:hAnsi="Roboto" w:cs="Roboto"/>
          <w:sz w:val="18"/>
          <w:szCs w:val="18"/>
        </w:rPr>
      </w:pPr>
      <w:r w:rsidRPr="009A18D2">
        <w:rPr>
          <w:rFonts w:ascii="Roboto" w:eastAsia="Roboto" w:hAnsi="Roboto" w:cs="Roboto"/>
          <w:b/>
          <w:bCs/>
          <w:sz w:val="18"/>
          <w:szCs w:val="18"/>
        </w:rPr>
        <w:t>*</w:t>
      </w:r>
      <w:r w:rsidRPr="009A18D2">
        <w:rPr>
          <w:rFonts w:ascii="Roboto" w:eastAsia="Roboto" w:hAnsi="Roboto" w:cs="Roboto"/>
          <w:sz w:val="18"/>
          <w:szCs w:val="18"/>
        </w:rPr>
        <w:t xml:space="preserve">E-mail: </w:t>
      </w:r>
      <w:hyperlink r:id="rId4" w:history="1">
        <w:r w:rsidRPr="009A18D2">
          <w:rPr>
            <w:rStyle w:val="Hyperlink"/>
            <w:rFonts w:ascii="Roboto" w:eastAsia="Roboto" w:hAnsi="Roboto" w:cs="Roboto"/>
            <w:color w:val="auto"/>
            <w:sz w:val="18"/>
            <w:szCs w:val="18"/>
          </w:rPr>
          <w:t>fraser.j.scott@strath.ac.uk</w:t>
        </w:r>
      </w:hyperlink>
    </w:p>
    <w:p w14:paraId="039F741E" w14:textId="77777777" w:rsidR="00180BA7" w:rsidRDefault="00180BA7"/>
    <w:p w14:paraId="6B80FE49" w14:textId="1E4FFE5E" w:rsidR="00180BA7" w:rsidRPr="009A18D2" w:rsidRDefault="00180BA7" w:rsidP="00180BA7">
      <w:pPr>
        <w:rPr>
          <w:b/>
          <w:bCs/>
          <w:sz w:val="32"/>
          <w:szCs w:val="32"/>
        </w:rPr>
      </w:pPr>
      <w:r w:rsidRPr="009A18D2">
        <w:rPr>
          <w:b/>
          <w:bCs/>
          <w:sz w:val="32"/>
          <w:szCs w:val="32"/>
        </w:rPr>
        <w:t xml:space="preserve">Future Work </w:t>
      </w:r>
    </w:p>
    <w:p w14:paraId="4EA83A05" w14:textId="77777777" w:rsidR="00180BA7" w:rsidRPr="009A18D2" w:rsidRDefault="00180BA7" w:rsidP="00180BA7">
      <w:pPr>
        <w:rPr>
          <w:sz w:val="24"/>
          <w:szCs w:val="24"/>
        </w:rPr>
      </w:pPr>
      <w:r w:rsidRPr="009A18D2">
        <w:rPr>
          <w:sz w:val="24"/>
          <w:szCs w:val="24"/>
        </w:rPr>
        <w:t xml:space="preserve">In line with the purpose of a scoping review, we present below potential research questions that the community should consider for further work. These have been listed approximately in the sequence they arose in the paper, </w:t>
      </w:r>
      <w:proofErr w:type="gramStart"/>
      <w:r w:rsidRPr="009A18D2">
        <w:rPr>
          <w:sz w:val="24"/>
          <w:szCs w:val="24"/>
        </w:rPr>
        <w:t>in an attempt to</w:t>
      </w:r>
      <w:proofErr w:type="gramEnd"/>
      <w:r w:rsidRPr="009A18D2">
        <w:rPr>
          <w:sz w:val="24"/>
          <w:szCs w:val="24"/>
        </w:rPr>
        <w:t xml:space="preserve"> reduce author biases that may be introduced by an alternative ordering.</w:t>
      </w:r>
    </w:p>
    <w:p w14:paraId="26C6A344" w14:textId="77777777" w:rsidR="00180BA7" w:rsidRPr="009A18D2" w:rsidRDefault="00180BA7" w:rsidP="00180BA7">
      <w:pPr>
        <w:rPr>
          <w:sz w:val="24"/>
          <w:szCs w:val="24"/>
        </w:rPr>
      </w:pPr>
      <w:r w:rsidRPr="009A18D2">
        <w:rPr>
          <w:sz w:val="24"/>
          <w:szCs w:val="24"/>
        </w:rPr>
        <w:t xml:space="preserve">1. Why is non-formal </w:t>
      </w:r>
      <w:r w:rsidRPr="009A18D2">
        <w:rPr>
          <w:i/>
          <w:iCs/>
          <w:sz w:val="24"/>
          <w:szCs w:val="24"/>
        </w:rPr>
        <w:t>chemistry</w:t>
      </w:r>
      <w:r w:rsidRPr="009A18D2">
        <w:rPr>
          <w:sz w:val="24"/>
          <w:szCs w:val="24"/>
        </w:rPr>
        <w:t xml:space="preserve"> learning under-represented in the literature?</w:t>
      </w:r>
    </w:p>
    <w:p w14:paraId="2D722C30" w14:textId="77777777" w:rsidR="00180BA7" w:rsidRPr="009A18D2" w:rsidRDefault="00180BA7" w:rsidP="00180BA7">
      <w:pPr>
        <w:rPr>
          <w:sz w:val="24"/>
          <w:szCs w:val="24"/>
        </w:rPr>
      </w:pPr>
      <w:r w:rsidRPr="009A18D2">
        <w:rPr>
          <w:sz w:val="24"/>
          <w:szCs w:val="24"/>
        </w:rPr>
        <w:t xml:space="preserve">2. Why are science museums well-represented in the literature as locations for non-formal chemistry learning? What specific benefits and drawbacks do science museums afford to non-formal chemistry learning? </w:t>
      </w:r>
    </w:p>
    <w:p w14:paraId="10160807" w14:textId="77777777" w:rsidR="00180BA7" w:rsidRPr="009A18D2" w:rsidRDefault="00180BA7" w:rsidP="00180BA7">
      <w:pPr>
        <w:rPr>
          <w:sz w:val="24"/>
          <w:szCs w:val="24"/>
        </w:rPr>
      </w:pPr>
      <w:r w:rsidRPr="009A18D2">
        <w:rPr>
          <w:sz w:val="24"/>
          <w:szCs w:val="24"/>
        </w:rPr>
        <w:t>3. Which unconventional locations, such as art galleries and pubs, can be used for non-formal chemistry learning. How effective are these locations and do they contribute to the equity of access or reach of non-formal chemistry learning?</w:t>
      </w:r>
    </w:p>
    <w:p w14:paraId="383EBF2C" w14:textId="77777777" w:rsidR="00180BA7" w:rsidRPr="009A18D2" w:rsidRDefault="00180BA7" w:rsidP="00180BA7">
      <w:pPr>
        <w:rPr>
          <w:sz w:val="24"/>
          <w:szCs w:val="24"/>
        </w:rPr>
      </w:pPr>
      <w:r w:rsidRPr="009A18D2">
        <w:rPr>
          <w:sz w:val="24"/>
          <w:szCs w:val="24"/>
        </w:rPr>
        <w:t>4. Why are there limited non-formal chemistry learning studies in the literature relating to television and online media, such as YouTube? Are these formats suitable for effective non-formal chemistry learning?</w:t>
      </w:r>
    </w:p>
    <w:p w14:paraId="5A38D186" w14:textId="77777777" w:rsidR="00180BA7" w:rsidRPr="009A18D2" w:rsidRDefault="00180BA7" w:rsidP="00180BA7">
      <w:pPr>
        <w:rPr>
          <w:sz w:val="24"/>
          <w:szCs w:val="24"/>
        </w:rPr>
      </w:pPr>
      <w:r w:rsidRPr="009A18D2">
        <w:rPr>
          <w:sz w:val="24"/>
          <w:szCs w:val="24"/>
        </w:rPr>
        <w:t xml:space="preserve">5. Are participants of non-formal chemistry learning, particularly the </w:t>
      </w:r>
      <w:proofErr w:type="gramStart"/>
      <w:r w:rsidRPr="009A18D2">
        <w:rPr>
          <w:sz w:val="24"/>
          <w:szCs w:val="24"/>
        </w:rPr>
        <w:t>general public</w:t>
      </w:r>
      <w:proofErr w:type="gramEnd"/>
      <w:r w:rsidRPr="009A18D2">
        <w:rPr>
          <w:sz w:val="24"/>
          <w:szCs w:val="24"/>
        </w:rPr>
        <w:t xml:space="preserve">, already interested (or other suitable affective-motivational factor) in chemistry? And therefore, does non-formal chemistry learning </w:t>
      </w:r>
      <w:proofErr w:type="gramStart"/>
      <w:r w:rsidRPr="009A18D2">
        <w:rPr>
          <w:sz w:val="24"/>
          <w:szCs w:val="24"/>
        </w:rPr>
        <w:t>actually reach</w:t>
      </w:r>
      <w:proofErr w:type="gramEnd"/>
      <w:r w:rsidRPr="009A18D2">
        <w:rPr>
          <w:sz w:val="24"/>
          <w:szCs w:val="24"/>
        </w:rPr>
        <w:t xml:space="preserve"> an appropriate audience? </w:t>
      </w:r>
    </w:p>
    <w:p w14:paraId="50CAFA04" w14:textId="77777777" w:rsidR="00180BA7" w:rsidRPr="009A18D2" w:rsidRDefault="00180BA7" w:rsidP="00180BA7">
      <w:pPr>
        <w:rPr>
          <w:sz w:val="24"/>
          <w:szCs w:val="24"/>
        </w:rPr>
      </w:pPr>
      <w:r w:rsidRPr="009A18D2">
        <w:rPr>
          <w:sz w:val="24"/>
          <w:szCs w:val="24"/>
        </w:rPr>
        <w:t>6. To what extent is the access to non-formal chemistry learning equitable across diverse participant demographic groups?</w:t>
      </w:r>
    </w:p>
    <w:p w14:paraId="15E63A5B" w14:textId="77777777" w:rsidR="00180BA7" w:rsidRPr="009A18D2" w:rsidRDefault="00180BA7" w:rsidP="00180BA7">
      <w:pPr>
        <w:rPr>
          <w:sz w:val="24"/>
          <w:szCs w:val="24"/>
        </w:rPr>
      </w:pPr>
      <w:r w:rsidRPr="009A18D2">
        <w:rPr>
          <w:sz w:val="24"/>
          <w:szCs w:val="24"/>
        </w:rPr>
        <w:t>7. How does the format of a non-formal chemistry learning activity affect its effectiveness?</w:t>
      </w:r>
    </w:p>
    <w:p w14:paraId="3C5972CD" w14:textId="77777777" w:rsidR="00180BA7" w:rsidRPr="009A18D2" w:rsidRDefault="00180BA7" w:rsidP="00180BA7">
      <w:pPr>
        <w:rPr>
          <w:sz w:val="24"/>
          <w:szCs w:val="24"/>
        </w:rPr>
      </w:pPr>
      <w:r w:rsidRPr="009A18D2">
        <w:rPr>
          <w:sz w:val="24"/>
          <w:szCs w:val="24"/>
        </w:rPr>
        <w:t>8. How does the duration of a non-formal chemistry learning activity affect its effectiveness?</w:t>
      </w:r>
    </w:p>
    <w:p w14:paraId="4E95EFB9" w14:textId="77777777" w:rsidR="00180BA7" w:rsidRPr="009A18D2" w:rsidRDefault="00180BA7" w:rsidP="00180BA7">
      <w:pPr>
        <w:rPr>
          <w:sz w:val="24"/>
          <w:szCs w:val="24"/>
        </w:rPr>
      </w:pPr>
      <w:r w:rsidRPr="009A18D2">
        <w:rPr>
          <w:sz w:val="24"/>
          <w:szCs w:val="24"/>
        </w:rPr>
        <w:t>9. Are non-formal chemistry learning activities evaluated, and is this evaluation appropriate? Is this evaluation reported such that best-practices are shared?</w:t>
      </w:r>
    </w:p>
    <w:p w14:paraId="691A7075" w14:textId="77777777" w:rsidR="00180BA7" w:rsidRPr="009A18D2" w:rsidRDefault="00180BA7" w:rsidP="00180BA7">
      <w:pPr>
        <w:rPr>
          <w:sz w:val="24"/>
          <w:szCs w:val="24"/>
        </w:rPr>
      </w:pPr>
      <w:r w:rsidRPr="009A18D2">
        <w:rPr>
          <w:sz w:val="24"/>
          <w:szCs w:val="24"/>
        </w:rPr>
        <w:t>10. Why do most reported non-formal chemistry learning activities focus their evaluations on the understanding of chemistry, rather than a factor that is better aligned with the purpose of non-formal learning?</w:t>
      </w:r>
    </w:p>
    <w:p w14:paraId="36593A0E" w14:textId="77777777" w:rsidR="00180BA7" w:rsidRPr="009A18D2" w:rsidRDefault="00180BA7" w:rsidP="00180BA7">
      <w:pPr>
        <w:rPr>
          <w:sz w:val="24"/>
          <w:szCs w:val="24"/>
        </w:rPr>
      </w:pPr>
      <w:r w:rsidRPr="009A18D2">
        <w:rPr>
          <w:sz w:val="24"/>
          <w:szCs w:val="24"/>
        </w:rPr>
        <w:lastRenderedPageBreak/>
        <w:t xml:space="preserve">11. What is the best measurement schedule (pre-, during-, post- etc.) for evaluations of non-formal chemistry learning? And to what extent does a long-term measurement provide a better measure of the effectiveness towards the goals of non-formal learning? </w:t>
      </w:r>
    </w:p>
    <w:p w14:paraId="1815071A" w14:textId="77777777" w:rsidR="00180BA7" w:rsidRPr="009A18D2" w:rsidRDefault="00180BA7" w:rsidP="00180BA7">
      <w:pPr>
        <w:rPr>
          <w:rFonts w:ascii="Calibri" w:eastAsia="Times New Roman" w:hAnsi="Calibri" w:cs="Calibri"/>
          <w:sz w:val="24"/>
          <w:szCs w:val="24"/>
          <w:highlight w:val="green"/>
          <w:lang w:eastAsia="en-GB"/>
        </w:rPr>
      </w:pPr>
      <w:r w:rsidRPr="009A18D2">
        <w:rPr>
          <w:sz w:val="24"/>
          <w:szCs w:val="24"/>
        </w:rPr>
        <w:t xml:space="preserve">12. </w:t>
      </w:r>
      <w:r w:rsidRPr="009A18D2">
        <w:rPr>
          <w:rFonts w:ascii="Calibri" w:eastAsia="Times New Roman" w:hAnsi="Calibri" w:cs="Calibri"/>
          <w:sz w:val="24"/>
          <w:szCs w:val="24"/>
        </w:rPr>
        <w:t>To what extend do the experiences of organisers affect non-formal chemistry learning activities?</w:t>
      </w:r>
    </w:p>
    <w:p w14:paraId="79BE2604" w14:textId="77777777" w:rsidR="00180BA7" w:rsidRPr="009A18D2" w:rsidRDefault="00180BA7" w:rsidP="00180BA7">
      <w:pPr>
        <w:rPr>
          <w:sz w:val="24"/>
          <w:szCs w:val="24"/>
          <w:highlight w:val="green"/>
        </w:rPr>
      </w:pPr>
      <w:r w:rsidRPr="009A18D2">
        <w:rPr>
          <w:sz w:val="24"/>
          <w:szCs w:val="24"/>
        </w:rPr>
        <w:t xml:space="preserve">13. In what way does flexibility within the design and running of non-formal chemistry learning activities contribute to their effectiveness and inclusivity? </w:t>
      </w:r>
    </w:p>
    <w:p w14:paraId="0EC562CA" w14:textId="77777777" w:rsidR="00180BA7" w:rsidRPr="009A18D2" w:rsidRDefault="00180BA7" w:rsidP="00180BA7">
      <w:pPr>
        <w:rPr>
          <w:sz w:val="24"/>
          <w:szCs w:val="24"/>
          <w:highlight w:val="green"/>
        </w:rPr>
      </w:pPr>
      <w:r w:rsidRPr="009A18D2">
        <w:rPr>
          <w:sz w:val="24"/>
          <w:szCs w:val="24"/>
        </w:rPr>
        <w:t xml:space="preserve">14. In what way does literacy (both general and scientific) affect the effectiveness and inclusivity of non-formal chemistry learning? </w:t>
      </w:r>
    </w:p>
    <w:p w14:paraId="456B9242" w14:textId="77777777" w:rsidR="00180BA7" w:rsidRPr="009A18D2" w:rsidRDefault="00180BA7" w:rsidP="00180BA7">
      <w:pPr>
        <w:rPr>
          <w:sz w:val="24"/>
          <w:szCs w:val="24"/>
        </w:rPr>
      </w:pPr>
      <w:r w:rsidRPr="009A18D2">
        <w:rPr>
          <w:sz w:val="24"/>
          <w:szCs w:val="24"/>
        </w:rPr>
        <w:t>15. To what extent does each affective-motivational factor affect engagement with non-formal chemistry learning activities?</w:t>
      </w:r>
    </w:p>
    <w:p w14:paraId="4AD6D4A1" w14:textId="77777777" w:rsidR="00180BA7" w:rsidRPr="009A18D2" w:rsidRDefault="00180BA7" w:rsidP="00180BA7">
      <w:pPr>
        <w:rPr>
          <w:sz w:val="24"/>
          <w:szCs w:val="24"/>
        </w:rPr>
      </w:pPr>
      <w:r w:rsidRPr="009A18D2">
        <w:rPr>
          <w:sz w:val="24"/>
          <w:szCs w:val="24"/>
        </w:rPr>
        <w:t>16. What level of affective-motivational factors do participants of non-formal chemistry learning activities initially possess? Does this vary between different demographic groups?</w:t>
      </w:r>
    </w:p>
    <w:p w14:paraId="2EA7F87C" w14:textId="77777777" w:rsidR="00180BA7" w:rsidRPr="009A18D2" w:rsidRDefault="00180BA7" w:rsidP="00180BA7">
      <w:pPr>
        <w:rPr>
          <w:sz w:val="24"/>
          <w:szCs w:val="24"/>
        </w:rPr>
      </w:pPr>
      <w:r w:rsidRPr="009A18D2">
        <w:rPr>
          <w:sz w:val="24"/>
          <w:szCs w:val="24"/>
        </w:rPr>
        <w:t>17. To what extent does engagement in non-formal chemistry learning bring about sustained changes in affective-motivational factors?</w:t>
      </w:r>
    </w:p>
    <w:p w14:paraId="7CF47846" w14:textId="77777777" w:rsidR="00180BA7" w:rsidRPr="009A18D2" w:rsidRDefault="00180BA7" w:rsidP="00180BA7">
      <w:pPr>
        <w:rPr>
          <w:sz w:val="24"/>
          <w:szCs w:val="24"/>
        </w:rPr>
      </w:pPr>
      <w:r w:rsidRPr="009A18D2">
        <w:rPr>
          <w:sz w:val="24"/>
          <w:szCs w:val="24"/>
        </w:rPr>
        <w:t>18. To what extent does the format of a non-formal chemistry learning activity affect its effectiveness? And is this uniform across different demographic groups?</w:t>
      </w:r>
    </w:p>
    <w:p w14:paraId="18C227E3" w14:textId="77777777" w:rsidR="00180BA7" w:rsidRDefault="00180BA7"/>
    <w:sectPr w:rsidR="00180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A7"/>
    <w:rsid w:val="00180BA7"/>
    <w:rsid w:val="001A6F24"/>
    <w:rsid w:val="00A54E70"/>
    <w:rsid w:val="00C4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D576"/>
  <w15:chartTrackingRefBased/>
  <w15:docId w15:val="{75FF161E-BF87-4963-8BC3-3417DE7F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BA7"/>
  </w:style>
  <w:style w:type="paragraph" w:styleId="Heading1">
    <w:name w:val="heading 1"/>
    <w:basedOn w:val="Normal"/>
    <w:next w:val="Normal"/>
    <w:link w:val="Heading1Char"/>
    <w:uiPriority w:val="9"/>
    <w:qFormat/>
    <w:rsid w:val="00180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B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0BA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aser.j.scott@stra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Scott</dc:creator>
  <cp:keywords/>
  <dc:description/>
  <cp:lastModifiedBy>Fraser Scott</cp:lastModifiedBy>
  <cp:revision>1</cp:revision>
  <dcterms:created xsi:type="dcterms:W3CDTF">2025-06-03T15:12:00Z</dcterms:created>
  <dcterms:modified xsi:type="dcterms:W3CDTF">2025-06-03T15:15:00Z</dcterms:modified>
</cp:coreProperties>
</file>