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FE77CF" w14:textId="7538209A" w:rsidR="006F78EC" w:rsidRPr="006F78EC" w:rsidRDefault="006F78EC" w:rsidP="006F78EC">
      <w:pPr>
        <w:jc w:val="both"/>
        <w:rPr>
          <w:b/>
          <w:bCs/>
          <w:szCs w:val="22"/>
          <w:lang w:val="en-GB"/>
        </w:rPr>
      </w:pPr>
      <w:r w:rsidRPr="006F78EC">
        <w:rPr>
          <w:b/>
          <w:bCs/>
          <w:szCs w:val="22"/>
          <w:lang w:val="en-GB"/>
        </w:rPr>
        <w:t>Supplementary Data</w:t>
      </w:r>
    </w:p>
    <w:p w14:paraId="6169A933" w14:textId="77777777" w:rsidR="003D4821" w:rsidRPr="00715D7E" w:rsidRDefault="003D4821" w:rsidP="003D4821">
      <w:pPr>
        <w:pStyle w:val="Heading2"/>
        <w:numPr>
          <w:ilvl w:val="0"/>
          <w:numId w:val="0"/>
        </w:numPr>
        <w:spacing w:before="0" w:after="0"/>
        <w:ind w:left="576" w:hanging="576"/>
        <w:contextualSpacing/>
        <w:rPr>
          <w:rFonts w:cs="Times New Roman"/>
          <w:szCs w:val="22"/>
        </w:rPr>
      </w:pPr>
      <w:bookmarkStart w:id="0" w:name="_Toc220330776"/>
      <w:bookmarkStart w:id="1" w:name="_Toc223250810"/>
      <w:r w:rsidRPr="00715D7E">
        <w:rPr>
          <w:rFonts w:cs="Times New Roman"/>
          <w:szCs w:val="22"/>
        </w:rPr>
        <w:t>Model development via single compartment</w:t>
      </w:r>
      <w:bookmarkEnd w:id="0"/>
      <w:bookmarkEnd w:id="1"/>
      <w:r w:rsidRPr="00715D7E">
        <w:rPr>
          <w:rFonts w:cs="Times New Roman"/>
          <w:szCs w:val="22"/>
        </w:rPr>
        <w:t xml:space="preserve"> validation</w:t>
      </w:r>
    </w:p>
    <w:p w14:paraId="2D8CEE15" w14:textId="5B7EBE4E" w:rsidR="003D4821" w:rsidRPr="00525460" w:rsidRDefault="003D4821" w:rsidP="003D4821">
      <w:pPr>
        <w:contextualSpacing/>
        <w:jc w:val="both"/>
        <w:rPr>
          <w:szCs w:val="22"/>
          <w:lang w:val="en-GB"/>
        </w:rPr>
      </w:pPr>
      <w:r w:rsidRPr="00525460">
        <w:rPr>
          <w:szCs w:val="22"/>
          <w:lang w:val="en-GB"/>
        </w:rPr>
        <w:t>The evaluation on the reliability of the PD-QMOM algorithm in predicting gas-liquid dispersions was carried out by running the coalescence and break-up kernels simultaneously</w:t>
      </w:r>
      <w:r>
        <w:rPr>
          <w:szCs w:val="22"/>
          <w:lang w:val="en-GB"/>
        </w:rPr>
        <w:t xml:space="preserve"> </w:t>
      </w:r>
      <w:r w:rsidRPr="007027C3">
        <w:rPr>
          <w:color w:val="0000FF"/>
          <w:szCs w:val="22"/>
          <w:lang w:val="en-GB"/>
        </w:rPr>
        <w:t>in a bubble column with settings adopted from Degaleesan (1997).</w:t>
      </w:r>
      <w:r w:rsidRPr="003216EA">
        <w:rPr>
          <w:szCs w:val="22"/>
          <w:lang w:val="en-GB"/>
        </w:rPr>
        <w:t xml:space="preserve"> </w:t>
      </w:r>
      <w:r w:rsidRPr="00525460">
        <w:rPr>
          <w:szCs w:val="22"/>
          <w:lang w:val="en-GB"/>
        </w:rPr>
        <w:t xml:space="preserve">The structure of the bubble column is cylindrical in shape with a diameter of 0.19 m. Gas is sparged into the column at a superficial gas velocity of 0.12 m/s through a perforated plate with 0.33 mm diameter holes. PD-QMOM was validated by employing a single compartment PBM; assuming a steady-state, well-mixed, and homogeneous system. The gas inflow and outflow is excluded as well. An overall gas hold-up of about 29% (initial water level at 0.96 m and aerated water level at 1.24 m) and mean turbulence dissipation rate roughly estimated to be equal to </w:t>
      </w:r>
      <w:r w:rsidRPr="00525460">
        <w:rPr>
          <w:i/>
          <w:szCs w:val="22"/>
          <w:lang w:val="en-GB"/>
        </w:rPr>
        <w:t xml:space="preserve">ε </w:t>
      </w:r>
      <w:r w:rsidRPr="00525460">
        <w:rPr>
          <w:szCs w:val="22"/>
          <w:lang w:val="en-GB"/>
        </w:rPr>
        <w:t>= 1.18 m</w:t>
      </w:r>
      <w:r w:rsidRPr="00525460">
        <w:rPr>
          <w:szCs w:val="22"/>
          <w:vertAlign w:val="superscript"/>
          <w:lang w:val="en-GB"/>
        </w:rPr>
        <w:t>2</w:t>
      </w:r>
      <w:r w:rsidRPr="00525460">
        <w:rPr>
          <w:szCs w:val="22"/>
          <w:lang w:val="en-GB"/>
        </w:rPr>
        <w:t>/s</w:t>
      </w:r>
      <w:r w:rsidRPr="00525460">
        <w:rPr>
          <w:szCs w:val="22"/>
          <w:vertAlign w:val="superscript"/>
          <w:lang w:val="en-GB"/>
        </w:rPr>
        <w:t>3</w:t>
      </w:r>
      <w:r w:rsidRPr="00525460">
        <w:rPr>
          <w:szCs w:val="22"/>
          <w:lang w:val="en-GB"/>
        </w:rPr>
        <w:t xml:space="preserve"> were obtained in their study (Degaleesan, 1997). The initial BSD was assumed to be lognormal with geometric mean diameter of 5 mm and standard deviation of 0.2. ODE integrations were conducted by setting both the relative and the absolute tolerances at 10</w:t>
      </w:r>
      <w:r w:rsidRPr="00525460">
        <w:rPr>
          <w:szCs w:val="22"/>
          <w:vertAlign w:val="superscript"/>
          <w:lang w:val="en-GB"/>
        </w:rPr>
        <w:t>-8</w:t>
      </w:r>
      <w:r w:rsidRPr="00525460">
        <w:rPr>
          <w:szCs w:val="22"/>
          <w:lang w:val="en-GB"/>
        </w:rPr>
        <w:t xml:space="preserve">. The results obtained were solved using </w:t>
      </w:r>
      <w:r w:rsidRPr="00525460">
        <w:rPr>
          <w:i/>
          <w:szCs w:val="22"/>
          <w:lang w:val="en-GB"/>
        </w:rPr>
        <w:t>ode113</w:t>
      </w:r>
      <w:r w:rsidRPr="00525460">
        <w:rPr>
          <w:szCs w:val="22"/>
          <w:lang w:val="en-GB"/>
        </w:rPr>
        <w:t xml:space="preserve"> integrator in MATLAB. The maximum simulation time was set to </w:t>
      </w:r>
      <w:r w:rsidRPr="00525460">
        <w:rPr>
          <w:i/>
          <w:szCs w:val="22"/>
          <w:lang w:val="en-GB"/>
        </w:rPr>
        <w:t>t</w:t>
      </w:r>
      <w:r w:rsidRPr="00525460">
        <w:rPr>
          <w:szCs w:val="22"/>
          <w:lang w:val="en-GB"/>
        </w:rPr>
        <w:t xml:space="preserve"> = 30 s since steady-state moment evolution can be achieved in less th</w:t>
      </w:r>
      <w:r w:rsidR="00AC33D9">
        <w:rPr>
          <w:szCs w:val="22"/>
          <w:lang w:val="en-GB"/>
        </w:rPr>
        <w:t xml:space="preserve">an a second as shown in Figure </w:t>
      </w:r>
      <w:r w:rsidR="00096AD6">
        <w:rPr>
          <w:szCs w:val="22"/>
          <w:lang w:val="en-GB"/>
        </w:rPr>
        <w:t>S</w:t>
      </w:r>
      <w:r w:rsidR="00AC33D9">
        <w:rPr>
          <w:szCs w:val="22"/>
          <w:lang w:val="en-GB"/>
        </w:rPr>
        <w:t>1</w:t>
      </w:r>
      <w:r w:rsidRPr="00525460">
        <w:rPr>
          <w:szCs w:val="22"/>
          <w:lang w:val="en-GB"/>
        </w:rPr>
        <w:t>.</w:t>
      </w:r>
    </w:p>
    <w:p w14:paraId="12966C54" w14:textId="77777777" w:rsidR="003D4821" w:rsidRPr="00525460" w:rsidRDefault="003D4821" w:rsidP="003D4821">
      <w:pPr>
        <w:contextualSpacing/>
        <w:jc w:val="both"/>
        <w:rPr>
          <w:szCs w:val="22"/>
          <w:lang w:val="en-GB"/>
        </w:rPr>
      </w:pPr>
    </w:p>
    <w:p w14:paraId="2FC69E0B" w14:textId="5211B1A5" w:rsidR="003D4821" w:rsidRPr="0075626E" w:rsidRDefault="003D4821" w:rsidP="003D4821">
      <w:pPr>
        <w:contextualSpacing/>
        <w:jc w:val="both"/>
        <w:rPr>
          <w:b/>
          <w:szCs w:val="22"/>
          <w:lang w:val="en-GB"/>
        </w:rPr>
      </w:pPr>
      <w:r w:rsidRPr="0075626E">
        <w:rPr>
          <w:b/>
          <w:szCs w:val="22"/>
          <w:lang w:val="en-GB"/>
        </w:rPr>
        <w:t xml:space="preserve">Figure </w:t>
      </w:r>
      <w:r w:rsidR="00096AD6">
        <w:rPr>
          <w:b/>
          <w:szCs w:val="22"/>
          <w:lang w:val="en-GB"/>
        </w:rPr>
        <w:t>S1</w:t>
      </w:r>
    </w:p>
    <w:p w14:paraId="71A9E96E" w14:textId="77777777" w:rsidR="003D4821" w:rsidRPr="00525460" w:rsidRDefault="003D4821" w:rsidP="003D4821">
      <w:pPr>
        <w:contextualSpacing/>
        <w:jc w:val="both"/>
        <w:rPr>
          <w:szCs w:val="22"/>
          <w:lang w:val="en-GB"/>
        </w:rPr>
      </w:pPr>
    </w:p>
    <w:p w14:paraId="1E6D0E35" w14:textId="77777777" w:rsidR="003D4821" w:rsidRPr="00525460" w:rsidRDefault="003D4821" w:rsidP="003D4821">
      <w:pPr>
        <w:contextualSpacing/>
        <w:jc w:val="both"/>
        <w:rPr>
          <w:szCs w:val="22"/>
          <w:lang w:val="en-GB"/>
        </w:rPr>
      </w:pPr>
      <w:r w:rsidRPr="00525460">
        <w:rPr>
          <w:szCs w:val="22"/>
          <w:lang w:val="en-GB"/>
        </w:rPr>
        <w:t>A sensitivity study was first carried out by solving the PBM equations to evaluate the effect on predicted mean bubble size using different number of quadrature approximation ranging from two to five. A comparison was also carried out between the predicted results and calculated correlations. Correlations use to estimate the mean bubble size are often related to liquid surface tension (</w:t>
      </w:r>
      <w:r w:rsidRPr="00525460">
        <w:rPr>
          <w:position w:val="-6"/>
          <w:szCs w:val="22"/>
          <w:lang w:val="en-GB"/>
        </w:rPr>
        <w:object w:dxaOrig="240" w:dyaOrig="220" w14:anchorId="1EA8CF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0.5pt" o:ole="">
            <v:imagedata r:id="rId8" o:title=""/>
          </v:shape>
          <o:OLEObject Type="Embed" ProgID="Equation.3" ShapeID="_x0000_i1025" DrawAspect="Content" ObjectID="_1523979429" r:id="rId9"/>
        </w:object>
      </w:r>
      <w:r w:rsidRPr="00525460">
        <w:rPr>
          <w:szCs w:val="22"/>
          <w:lang w:val="en-GB"/>
        </w:rPr>
        <w:t>), liquid density (</w:t>
      </w:r>
      <w:r w:rsidRPr="00525460">
        <w:rPr>
          <w:position w:val="-12"/>
          <w:szCs w:val="22"/>
          <w:lang w:val="en-GB"/>
        </w:rPr>
        <w:object w:dxaOrig="300" w:dyaOrig="380" w14:anchorId="4D3EA559">
          <v:shape id="_x0000_i1026" type="#_x0000_t75" style="width:15pt;height:20.25pt" o:ole="">
            <v:imagedata r:id="rId10" o:title=""/>
          </v:shape>
          <o:OLEObject Type="Embed" ProgID="Equation.3" ShapeID="_x0000_i1026" DrawAspect="Content" ObjectID="_1523979430" r:id="rId11"/>
        </w:object>
      </w:r>
      <w:r w:rsidRPr="00525460">
        <w:rPr>
          <w:szCs w:val="22"/>
          <w:lang w:val="en-GB"/>
        </w:rPr>
        <w:t>), liquid viscosity (</w:t>
      </w:r>
      <w:r w:rsidRPr="00525460">
        <w:rPr>
          <w:position w:val="-12"/>
          <w:szCs w:val="22"/>
          <w:lang w:val="en-GB"/>
        </w:rPr>
        <w:object w:dxaOrig="300" w:dyaOrig="380" w14:anchorId="775A1BC6">
          <v:shape id="_x0000_i1027" type="#_x0000_t75" style="width:15pt;height:20.25pt" o:ole="">
            <v:imagedata r:id="rId12" o:title=""/>
          </v:shape>
          <o:OLEObject Type="Embed" ProgID="Equation.3" ShapeID="_x0000_i1027" DrawAspect="Content" ObjectID="_1523979431" r:id="rId13"/>
        </w:object>
      </w:r>
      <w:r w:rsidRPr="00525460">
        <w:rPr>
          <w:szCs w:val="22"/>
          <w:lang w:val="en-GB"/>
        </w:rPr>
        <w:t>) and gas superficial velocity (</w:t>
      </w:r>
      <w:r w:rsidRPr="00525460">
        <w:rPr>
          <w:position w:val="-14"/>
          <w:szCs w:val="22"/>
          <w:lang w:val="en-GB"/>
        </w:rPr>
        <w:object w:dxaOrig="320" w:dyaOrig="400" w14:anchorId="56E86FF7">
          <v:shape id="_x0000_i1028" type="#_x0000_t75" style="width:15.75pt;height:20.25pt" o:ole="">
            <v:imagedata r:id="rId14" o:title=""/>
          </v:shape>
          <o:OLEObject Type="Embed" ProgID="Equation.3" ShapeID="_x0000_i1028" DrawAspect="Content" ObjectID="_1523979432" r:id="rId15"/>
        </w:object>
      </w:r>
      <w:r w:rsidRPr="00525460">
        <w:rPr>
          <w:szCs w:val="22"/>
          <w:lang w:val="en-GB"/>
        </w:rPr>
        <w:t>). Some correlations include the gas density (</w:t>
      </w:r>
      <w:r w:rsidRPr="00525460">
        <w:rPr>
          <w:position w:val="-14"/>
          <w:szCs w:val="22"/>
          <w:lang w:val="en-GB"/>
        </w:rPr>
        <w:object w:dxaOrig="320" w:dyaOrig="400" w14:anchorId="2E1C4C72">
          <v:shape id="_x0000_i1029" type="#_x0000_t75" style="width:15.75pt;height:20.25pt" o:ole="">
            <v:imagedata r:id="rId16" o:title=""/>
          </v:shape>
          <o:OLEObject Type="Embed" ProgID="Equation.3" ShapeID="_x0000_i1029" DrawAspect="Content" ObjectID="_1523979433" r:id="rId17"/>
        </w:object>
      </w:r>
      <w:r w:rsidRPr="00525460">
        <w:rPr>
          <w:szCs w:val="22"/>
          <w:lang w:val="en-GB"/>
        </w:rPr>
        <w:t>) and gravity (</w:t>
      </w:r>
      <w:r w:rsidRPr="00525460">
        <w:rPr>
          <w:position w:val="-10"/>
          <w:szCs w:val="22"/>
          <w:lang w:val="en-GB"/>
        </w:rPr>
        <w:object w:dxaOrig="220" w:dyaOrig="260" w14:anchorId="0EAD729B">
          <v:shape id="_x0000_i1030" type="#_x0000_t75" style="width:10.5pt;height:12.75pt" o:ole="">
            <v:imagedata r:id="rId18" o:title=""/>
          </v:shape>
          <o:OLEObject Type="Embed" ProgID="Equation.3" ShapeID="_x0000_i1030" DrawAspect="Content" ObjectID="_1523979434" r:id="rId19"/>
        </w:object>
      </w:r>
      <w:r w:rsidRPr="00525460">
        <w:rPr>
          <w:szCs w:val="22"/>
          <w:lang w:val="en-GB"/>
        </w:rPr>
        <w:t>) as well, such as the one proposed by Wilkinson (1991):</w:t>
      </w:r>
    </w:p>
    <w:p w14:paraId="58C6DACC" w14:textId="77777777" w:rsidR="003D4821" w:rsidRPr="00525460" w:rsidRDefault="003D4821" w:rsidP="003D4821">
      <w:pPr>
        <w:contextualSpacing/>
        <w:jc w:val="both"/>
        <w:rPr>
          <w:szCs w:val="22"/>
          <w:lang w:val="en-GB"/>
        </w:rPr>
      </w:pPr>
    </w:p>
    <w:tbl>
      <w:tblPr>
        <w:tblW w:w="0" w:type="auto"/>
        <w:tblLook w:val="01E0" w:firstRow="1" w:lastRow="1" w:firstColumn="1" w:lastColumn="1" w:noHBand="0" w:noVBand="0"/>
      </w:tblPr>
      <w:tblGrid>
        <w:gridCol w:w="4232"/>
        <w:gridCol w:w="4408"/>
      </w:tblGrid>
      <w:tr w:rsidR="003D4821" w:rsidRPr="00525460" w14:paraId="03A8100A" w14:textId="77777777" w:rsidTr="00907F81">
        <w:tc>
          <w:tcPr>
            <w:tcW w:w="4240" w:type="dxa"/>
            <w:hideMark/>
          </w:tcPr>
          <w:p w14:paraId="5FC4B241" w14:textId="77777777" w:rsidR="003D4821" w:rsidRPr="00525460" w:rsidRDefault="003D4821" w:rsidP="00907F81">
            <w:pPr>
              <w:contextualSpacing/>
              <w:jc w:val="both"/>
              <w:rPr>
                <w:szCs w:val="22"/>
                <w:lang w:val="en-GB"/>
              </w:rPr>
            </w:pPr>
            <w:r w:rsidRPr="00525460">
              <w:rPr>
                <w:position w:val="-14"/>
                <w:szCs w:val="22"/>
                <w:lang w:val="en-GB"/>
              </w:rPr>
              <w:object w:dxaOrig="3519" w:dyaOrig="400" w14:anchorId="2F1258D6">
                <v:shape id="_x0000_i1031" type="#_x0000_t75" style="width:178.5pt;height:20.25pt" o:ole="">
                  <v:imagedata r:id="rId20" o:title=""/>
                </v:shape>
                <o:OLEObject Type="Embed" ProgID="Equation.3" ShapeID="_x0000_i1031" DrawAspect="Content" ObjectID="_1523979435" r:id="rId21"/>
              </w:object>
            </w:r>
          </w:p>
        </w:tc>
        <w:tc>
          <w:tcPr>
            <w:tcW w:w="4480" w:type="dxa"/>
            <w:hideMark/>
          </w:tcPr>
          <w:p w14:paraId="17F741E8" w14:textId="3D729112" w:rsidR="003D4821" w:rsidRPr="00525460" w:rsidRDefault="00900C13" w:rsidP="00907F81">
            <w:pPr>
              <w:contextualSpacing/>
              <w:jc w:val="right"/>
              <w:rPr>
                <w:szCs w:val="22"/>
                <w:lang w:val="en-GB"/>
              </w:rPr>
            </w:pPr>
            <w:r>
              <w:rPr>
                <w:szCs w:val="22"/>
                <w:lang w:val="en-GB"/>
              </w:rPr>
              <w:t>(</w:t>
            </w:r>
            <w:r w:rsidR="00096AD6">
              <w:rPr>
                <w:szCs w:val="22"/>
                <w:lang w:val="en-GB"/>
              </w:rPr>
              <w:t>S1</w:t>
            </w:r>
            <w:r w:rsidR="003D4821" w:rsidRPr="00525460">
              <w:rPr>
                <w:szCs w:val="22"/>
                <w:lang w:val="en-GB"/>
              </w:rPr>
              <w:t>)</w:t>
            </w:r>
          </w:p>
        </w:tc>
      </w:tr>
    </w:tbl>
    <w:p w14:paraId="617C104B" w14:textId="77777777" w:rsidR="003D4821" w:rsidRPr="00525460" w:rsidRDefault="003D4821" w:rsidP="003D4821">
      <w:pPr>
        <w:contextualSpacing/>
        <w:jc w:val="both"/>
        <w:rPr>
          <w:szCs w:val="22"/>
          <w:lang w:val="en-GB"/>
        </w:rPr>
      </w:pPr>
    </w:p>
    <w:p w14:paraId="6F8A0414" w14:textId="77777777" w:rsidR="003D4821" w:rsidRPr="00525460" w:rsidRDefault="003D4821" w:rsidP="003D4821">
      <w:pPr>
        <w:contextualSpacing/>
        <w:jc w:val="both"/>
        <w:rPr>
          <w:szCs w:val="22"/>
          <w:lang w:val="en-GB"/>
        </w:rPr>
      </w:pPr>
      <w:r w:rsidRPr="00525460">
        <w:rPr>
          <w:szCs w:val="22"/>
          <w:lang w:val="en-GB"/>
        </w:rPr>
        <w:t>Another correlation for bubble size was proposed by Pohorecki et al. (2005):</w:t>
      </w:r>
    </w:p>
    <w:p w14:paraId="1CCB769E" w14:textId="77777777" w:rsidR="003D4821" w:rsidRPr="00525460" w:rsidRDefault="003D4821" w:rsidP="003D4821">
      <w:pPr>
        <w:contextualSpacing/>
        <w:jc w:val="both"/>
        <w:rPr>
          <w:szCs w:val="22"/>
          <w:lang w:val="en-GB"/>
        </w:rPr>
      </w:pPr>
    </w:p>
    <w:tbl>
      <w:tblPr>
        <w:tblW w:w="0" w:type="auto"/>
        <w:tblLook w:val="01E0" w:firstRow="1" w:lastRow="1" w:firstColumn="1" w:lastColumn="1" w:noHBand="0" w:noVBand="0"/>
      </w:tblPr>
      <w:tblGrid>
        <w:gridCol w:w="4228"/>
        <w:gridCol w:w="4412"/>
      </w:tblGrid>
      <w:tr w:rsidR="003D4821" w:rsidRPr="00525460" w14:paraId="1D0FCF5A" w14:textId="77777777" w:rsidTr="00907F81">
        <w:tc>
          <w:tcPr>
            <w:tcW w:w="4240" w:type="dxa"/>
            <w:hideMark/>
          </w:tcPr>
          <w:p w14:paraId="44924EE9" w14:textId="77777777" w:rsidR="003D4821" w:rsidRPr="00525460" w:rsidRDefault="003D4821" w:rsidP="00907F81">
            <w:pPr>
              <w:contextualSpacing/>
              <w:jc w:val="both"/>
              <w:rPr>
                <w:szCs w:val="22"/>
                <w:lang w:val="en-GB"/>
              </w:rPr>
            </w:pPr>
            <w:r w:rsidRPr="00525460">
              <w:rPr>
                <w:position w:val="-14"/>
                <w:szCs w:val="22"/>
                <w:lang w:val="en-GB"/>
              </w:rPr>
              <w:object w:dxaOrig="3360" w:dyaOrig="405" w14:anchorId="6DE6C9E1">
                <v:shape id="_x0000_i1032" type="#_x0000_t75" style="width:167.25pt;height:20.25pt" o:ole="">
                  <v:imagedata r:id="rId22" o:title=""/>
                </v:shape>
                <o:OLEObject Type="Embed" ProgID="Equation.3" ShapeID="_x0000_i1032" DrawAspect="Content" ObjectID="_1523979436" r:id="rId23"/>
              </w:object>
            </w:r>
          </w:p>
        </w:tc>
        <w:tc>
          <w:tcPr>
            <w:tcW w:w="4480" w:type="dxa"/>
            <w:hideMark/>
          </w:tcPr>
          <w:p w14:paraId="3BEA0D5F" w14:textId="1184CAB2" w:rsidR="003D4821" w:rsidRPr="00525460" w:rsidRDefault="00900C13" w:rsidP="00907F81">
            <w:pPr>
              <w:contextualSpacing/>
              <w:jc w:val="right"/>
              <w:rPr>
                <w:szCs w:val="22"/>
                <w:lang w:val="en-GB"/>
              </w:rPr>
            </w:pPr>
            <w:r>
              <w:rPr>
                <w:szCs w:val="22"/>
                <w:lang w:val="en-GB"/>
              </w:rPr>
              <w:t>(</w:t>
            </w:r>
            <w:r w:rsidR="00096AD6">
              <w:rPr>
                <w:szCs w:val="22"/>
                <w:lang w:val="en-GB"/>
              </w:rPr>
              <w:t>S2</w:t>
            </w:r>
            <w:r w:rsidR="003D4821" w:rsidRPr="00525460">
              <w:rPr>
                <w:szCs w:val="22"/>
                <w:lang w:val="en-GB"/>
              </w:rPr>
              <w:t>)</w:t>
            </w:r>
          </w:p>
        </w:tc>
      </w:tr>
    </w:tbl>
    <w:p w14:paraId="0292815F" w14:textId="77777777" w:rsidR="003D4821" w:rsidRPr="00525460" w:rsidRDefault="003D4821" w:rsidP="003D4821">
      <w:pPr>
        <w:contextualSpacing/>
        <w:jc w:val="both"/>
        <w:rPr>
          <w:szCs w:val="22"/>
          <w:lang w:val="en-GB"/>
        </w:rPr>
      </w:pPr>
    </w:p>
    <w:p w14:paraId="4979CC8A" w14:textId="530A5587" w:rsidR="003D4821" w:rsidRPr="00525460" w:rsidRDefault="003D4821" w:rsidP="003D4821">
      <w:pPr>
        <w:contextualSpacing/>
        <w:rPr>
          <w:bCs/>
          <w:szCs w:val="22"/>
          <w:lang w:val="en-GB"/>
        </w:rPr>
      </w:pPr>
      <w:r w:rsidRPr="00525460">
        <w:rPr>
          <w:bCs/>
          <w:szCs w:val="22"/>
          <w:lang w:val="en-GB"/>
        </w:rPr>
        <w:t xml:space="preserve">Table </w:t>
      </w:r>
      <w:r w:rsidR="00096AD6">
        <w:rPr>
          <w:bCs/>
          <w:szCs w:val="22"/>
          <w:lang w:val="en-GB"/>
        </w:rPr>
        <w:t>S1</w:t>
      </w:r>
      <w:r w:rsidRPr="00525460">
        <w:rPr>
          <w:bCs/>
          <w:szCs w:val="22"/>
          <w:lang w:val="en-GB"/>
        </w:rPr>
        <w:t>:</w:t>
      </w:r>
      <w:r w:rsidRPr="00525460">
        <w:rPr>
          <w:szCs w:val="22"/>
          <w:lang w:val="en-GB"/>
        </w:rPr>
        <w:t xml:space="preserve"> </w:t>
      </w:r>
      <w:r w:rsidRPr="00525460">
        <w:rPr>
          <w:bCs/>
          <w:szCs w:val="22"/>
          <w:lang w:val="en-GB"/>
        </w:rPr>
        <w:t xml:space="preserve">Comparison of QMOM results obtained for different quadrature points, </w:t>
      </w:r>
      <w:r>
        <w:rPr>
          <w:bCs/>
          <w:i/>
          <w:szCs w:val="22"/>
          <w:lang w:val="en-GB"/>
        </w:rPr>
        <w:t>n</w:t>
      </w:r>
      <w:r w:rsidRPr="00525460">
        <w:rPr>
          <w:bCs/>
          <w:szCs w:val="22"/>
          <w:lang w:val="en-GB"/>
        </w:rPr>
        <w:t xml:space="preserve">, for </w:t>
      </w:r>
      <w:r w:rsidRPr="00525460">
        <w:rPr>
          <w:bCs/>
          <w:i/>
          <w:szCs w:val="22"/>
          <w:lang w:val="en-GB"/>
        </w:rPr>
        <w:t>ε</w:t>
      </w:r>
      <w:r w:rsidRPr="00525460">
        <w:rPr>
          <w:bCs/>
          <w:szCs w:val="22"/>
          <w:lang w:val="en-GB"/>
        </w:rPr>
        <w:t xml:space="preserve"> = 1.18 m</w:t>
      </w:r>
      <w:r w:rsidRPr="00525460">
        <w:rPr>
          <w:bCs/>
          <w:szCs w:val="22"/>
          <w:vertAlign w:val="superscript"/>
          <w:lang w:val="en-GB"/>
        </w:rPr>
        <w:t>2</w:t>
      </w:r>
      <w:r w:rsidRPr="00525460">
        <w:rPr>
          <w:bCs/>
          <w:szCs w:val="22"/>
          <w:lang w:val="en-GB"/>
        </w:rPr>
        <w:t>/s</w:t>
      </w:r>
      <w:r w:rsidRPr="00525460">
        <w:rPr>
          <w:bCs/>
          <w:szCs w:val="22"/>
          <w:vertAlign w:val="superscript"/>
          <w:lang w:val="en-GB"/>
        </w:rPr>
        <w:t>3</w:t>
      </w:r>
      <w:r w:rsidRPr="00525460">
        <w:rPr>
          <w:bCs/>
          <w:szCs w:val="22"/>
          <w:lang w:val="en-GB"/>
        </w:rPr>
        <w:t>, lognormal distribution parameter (</w:t>
      </w:r>
      <w:r w:rsidRPr="00525460">
        <w:rPr>
          <w:bCs/>
          <w:i/>
          <w:szCs w:val="22"/>
          <w:lang w:val="en-GB"/>
        </w:rPr>
        <w:t>d</w:t>
      </w:r>
      <w:r w:rsidRPr="00525460">
        <w:rPr>
          <w:bCs/>
          <w:i/>
          <w:szCs w:val="22"/>
          <w:vertAlign w:val="subscript"/>
          <w:lang w:val="en-GB"/>
        </w:rPr>
        <w:t>mean</w:t>
      </w:r>
      <w:r w:rsidRPr="00525460">
        <w:rPr>
          <w:bCs/>
          <w:szCs w:val="22"/>
          <w:lang w:val="en-GB"/>
        </w:rPr>
        <w:t xml:space="preserve"> = 5 mm, </w:t>
      </w:r>
      <w:r w:rsidRPr="00525460">
        <w:rPr>
          <w:bCs/>
          <w:i/>
          <w:szCs w:val="22"/>
          <w:lang w:val="en-GB"/>
        </w:rPr>
        <w:t>σ</w:t>
      </w:r>
      <w:r w:rsidRPr="00525460">
        <w:rPr>
          <w:bCs/>
          <w:i/>
          <w:szCs w:val="22"/>
          <w:vertAlign w:val="subscript"/>
          <w:lang w:val="en-GB"/>
        </w:rPr>
        <w:t>d</w:t>
      </w:r>
      <w:r w:rsidRPr="00525460">
        <w:rPr>
          <w:bCs/>
          <w:szCs w:val="22"/>
          <w:lang w:val="en-GB"/>
        </w:rPr>
        <w:t xml:space="preserve"> = 0.2)</w:t>
      </w:r>
      <w:r>
        <w:rPr>
          <w:bCs/>
          <w:szCs w:val="22"/>
          <w:lang w:val="en-GB"/>
        </w:rPr>
        <w:t>.</w:t>
      </w:r>
    </w:p>
    <w:tbl>
      <w:tblPr>
        <w:tblW w:w="8603" w:type="dxa"/>
        <w:tblInd w:w="98" w:type="dxa"/>
        <w:tblLook w:val="04A0" w:firstRow="1" w:lastRow="0" w:firstColumn="1" w:lastColumn="0" w:noHBand="0" w:noVBand="1"/>
      </w:tblPr>
      <w:tblGrid>
        <w:gridCol w:w="1910"/>
        <w:gridCol w:w="1000"/>
        <w:gridCol w:w="1085"/>
        <w:gridCol w:w="1117"/>
        <w:gridCol w:w="1138"/>
        <w:gridCol w:w="1195"/>
        <w:gridCol w:w="1158"/>
      </w:tblGrid>
      <w:tr w:rsidR="003D4821" w:rsidRPr="00525460" w14:paraId="5744343E" w14:textId="77777777" w:rsidTr="00907F81">
        <w:trPr>
          <w:trHeight w:val="255"/>
        </w:trPr>
        <w:tc>
          <w:tcPr>
            <w:tcW w:w="1910" w:type="dxa"/>
            <w:tcBorders>
              <w:top w:val="single" w:sz="4" w:space="0" w:color="auto"/>
              <w:left w:val="nil"/>
              <w:bottom w:val="single" w:sz="4" w:space="0" w:color="auto"/>
              <w:right w:val="nil"/>
            </w:tcBorders>
            <w:noWrap/>
            <w:vAlign w:val="center"/>
            <w:hideMark/>
          </w:tcPr>
          <w:p w14:paraId="60A8985C" w14:textId="77777777" w:rsidR="003D4821" w:rsidRPr="00525460" w:rsidRDefault="003D4821" w:rsidP="00907F81">
            <w:pPr>
              <w:contextualSpacing/>
              <w:rPr>
                <w:rFonts w:eastAsia="Calibri"/>
                <w:i/>
                <w:szCs w:val="22"/>
                <w:lang w:val="en-GB"/>
              </w:rPr>
            </w:pPr>
            <w:r>
              <w:rPr>
                <w:rFonts w:eastAsia="Calibri"/>
                <w:i/>
                <w:szCs w:val="22"/>
                <w:lang w:val="en-GB"/>
              </w:rPr>
              <w:t>n</w:t>
            </w:r>
          </w:p>
        </w:tc>
        <w:tc>
          <w:tcPr>
            <w:tcW w:w="1000" w:type="dxa"/>
            <w:tcBorders>
              <w:top w:val="single" w:sz="4" w:space="0" w:color="auto"/>
              <w:left w:val="nil"/>
              <w:bottom w:val="single" w:sz="4" w:space="0" w:color="auto"/>
              <w:right w:val="nil"/>
            </w:tcBorders>
            <w:noWrap/>
            <w:vAlign w:val="center"/>
            <w:hideMark/>
          </w:tcPr>
          <w:p w14:paraId="3EE9E42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w:t>
            </w:r>
          </w:p>
        </w:tc>
        <w:tc>
          <w:tcPr>
            <w:tcW w:w="1085" w:type="dxa"/>
            <w:tcBorders>
              <w:top w:val="single" w:sz="4" w:space="0" w:color="auto"/>
              <w:left w:val="nil"/>
              <w:bottom w:val="single" w:sz="4" w:space="0" w:color="auto"/>
              <w:right w:val="nil"/>
            </w:tcBorders>
            <w:noWrap/>
            <w:vAlign w:val="center"/>
            <w:hideMark/>
          </w:tcPr>
          <w:p w14:paraId="2DE37BA0"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3</w:t>
            </w:r>
          </w:p>
        </w:tc>
        <w:tc>
          <w:tcPr>
            <w:tcW w:w="1117" w:type="dxa"/>
            <w:tcBorders>
              <w:top w:val="single" w:sz="4" w:space="0" w:color="auto"/>
              <w:left w:val="nil"/>
              <w:bottom w:val="single" w:sz="4" w:space="0" w:color="auto"/>
              <w:right w:val="nil"/>
            </w:tcBorders>
            <w:noWrap/>
            <w:vAlign w:val="center"/>
            <w:hideMark/>
          </w:tcPr>
          <w:p w14:paraId="0B0A647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4</w:t>
            </w:r>
          </w:p>
        </w:tc>
        <w:tc>
          <w:tcPr>
            <w:tcW w:w="1138" w:type="dxa"/>
            <w:tcBorders>
              <w:top w:val="single" w:sz="4" w:space="0" w:color="auto"/>
              <w:left w:val="nil"/>
              <w:bottom w:val="single" w:sz="4" w:space="0" w:color="auto"/>
              <w:right w:val="nil"/>
            </w:tcBorders>
            <w:vAlign w:val="center"/>
            <w:hideMark/>
          </w:tcPr>
          <w:p w14:paraId="28BD240A"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5</w:t>
            </w:r>
          </w:p>
        </w:tc>
        <w:tc>
          <w:tcPr>
            <w:tcW w:w="1195" w:type="dxa"/>
            <w:tcBorders>
              <w:top w:val="single" w:sz="4" w:space="0" w:color="auto"/>
              <w:left w:val="nil"/>
              <w:bottom w:val="single" w:sz="4" w:space="0" w:color="auto"/>
              <w:right w:val="nil"/>
            </w:tcBorders>
            <w:vAlign w:val="center"/>
            <w:hideMark/>
          </w:tcPr>
          <w:p w14:paraId="7B1C624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Pohorecki et al. (2005)</w:t>
            </w:r>
          </w:p>
        </w:tc>
        <w:tc>
          <w:tcPr>
            <w:tcW w:w="1158" w:type="dxa"/>
            <w:tcBorders>
              <w:top w:val="single" w:sz="4" w:space="0" w:color="auto"/>
              <w:left w:val="nil"/>
              <w:bottom w:val="single" w:sz="4" w:space="0" w:color="auto"/>
              <w:right w:val="nil"/>
            </w:tcBorders>
            <w:vAlign w:val="center"/>
            <w:hideMark/>
          </w:tcPr>
          <w:p w14:paraId="0AF43FE7"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Wilkinson (1991)</w:t>
            </w:r>
          </w:p>
        </w:tc>
      </w:tr>
      <w:tr w:rsidR="003D4821" w:rsidRPr="00525460" w14:paraId="4D8021F0" w14:textId="77777777" w:rsidTr="00907F81">
        <w:trPr>
          <w:trHeight w:val="255"/>
        </w:trPr>
        <w:tc>
          <w:tcPr>
            <w:tcW w:w="1910" w:type="dxa"/>
            <w:noWrap/>
            <w:hideMark/>
          </w:tcPr>
          <w:p w14:paraId="6E95189F" w14:textId="77777777" w:rsidR="003D4821" w:rsidRPr="00525460" w:rsidRDefault="003D4821" w:rsidP="00907F81">
            <w:pPr>
              <w:contextualSpacing/>
              <w:rPr>
                <w:rFonts w:eastAsia="Calibri"/>
                <w:i/>
                <w:szCs w:val="22"/>
                <w:lang w:val="en-GB"/>
              </w:rPr>
            </w:pPr>
            <w:r w:rsidRPr="00525460">
              <w:rPr>
                <w:rFonts w:eastAsia="Calibri"/>
                <w:szCs w:val="22"/>
                <w:lang w:val="en-GB"/>
              </w:rPr>
              <w:t>Initial</w:t>
            </w:r>
            <w:r w:rsidRPr="00525460">
              <w:rPr>
                <w:rFonts w:eastAsia="Calibri"/>
                <w:i/>
                <w:szCs w:val="22"/>
                <w:lang w:val="en-GB"/>
              </w:rPr>
              <w:t xml:space="preserve"> L</w:t>
            </w:r>
            <w:r w:rsidRPr="00525460">
              <w:rPr>
                <w:rFonts w:eastAsia="Calibri"/>
                <w:i/>
                <w:szCs w:val="22"/>
                <w:vertAlign w:val="subscript"/>
                <w:lang w:val="en-GB"/>
              </w:rPr>
              <w:t>i</w:t>
            </w:r>
            <w:r w:rsidRPr="00525460">
              <w:rPr>
                <w:rFonts w:eastAsia="Calibri"/>
                <w:i/>
                <w:szCs w:val="22"/>
                <w:lang w:val="en-GB"/>
              </w:rPr>
              <w:t xml:space="preserve"> </w:t>
            </w:r>
            <w:r w:rsidRPr="00525460">
              <w:rPr>
                <w:rFonts w:eastAsia="Calibri"/>
                <w:szCs w:val="22"/>
                <w:lang w:val="en-GB"/>
              </w:rPr>
              <w:t>(cm)</w:t>
            </w:r>
          </w:p>
        </w:tc>
        <w:tc>
          <w:tcPr>
            <w:tcW w:w="1000" w:type="dxa"/>
            <w:noWrap/>
            <w:hideMark/>
          </w:tcPr>
          <w:p w14:paraId="68DE6D64"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0.393</w:t>
            </w:r>
          </w:p>
          <w:p w14:paraId="3817893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0.588</w:t>
            </w:r>
          </w:p>
        </w:tc>
        <w:tc>
          <w:tcPr>
            <w:tcW w:w="1085" w:type="dxa"/>
            <w:noWrap/>
            <w:hideMark/>
          </w:tcPr>
          <w:p w14:paraId="79F8E94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0.352</w:t>
            </w:r>
          </w:p>
          <w:p w14:paraId="5D1A869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0.500</w:t>
            </w:r>
          </w:p>
          <w:p w14:paraId="5DAA0613"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0.710</w:t>
            </w:r>
          </w:p>
        </w:tc>
        <w:tc>
          <w:tcPr>
            <w:tcW w:w="1117" w:type="dxa"/>
            <w:noWrap/>
            <w:hideMark/>
          </w:tcPr>
          <w:p w14:paraId="5EB8021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0.324</w:t>
            </w:r>
          </w:p>
          <w:p w14:paraId="5434D12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0.448</w:t>
            </w:r>
          </w:p>
          <w:p w14:paraId="09485967"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0.605</w:t>
            </w:r>
          </w:p>
          <w:p w14:paraId="379A798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0.836</w:t>
            </w:r>
          </w:p>
        </w:tc>
        <w:tc>
          <w:tcPr>
            <w:tcW w:w="1138" w:type="dxa"/>
            <w:hideMark/>
          </w:tcPr>
          <w:p w14:paraId="3C359B0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0.303</w:t>
            </w:r>
          </w:p>
          <w:p w14:paraId="6F88DA44"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0.411</w:t>
            </w:r>
          </w:p>
          <w:p w14:paraId="702A5F88"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0.542</w:t>
            </w:r>
          </w:p>
          <w:p w14:paraId="249FD5E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0.714</w:t>
            </w:r>
          </w:p>
          <w:p w14:paraId="22DE9FC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0.969</w:t>
            </w:r>
          </w:p>
        </w:tc>
        <w:tc>
          <w:tcPr>
            <w:tcW w:w="1195" w:type="dxa"/>
          </w:tcPr>
          <w:p w14:paraId="51A404A8" w14:textId="77777777" w:rsidR="003D4821" w:rsidRPr="00525460" w:rsidRDefault="003D4821" w:rsidP="00907F81">
            <w:pPr>
              <w:contextualSpacing/>
              <w:jc w:val="center"/>
              <w:rPr>
                <w:rFonts w:eastAsia="Calibri"/>
                <w:szCs w:val="22"/>
                <w:lang w:val="en-GB"/>
              </w:rPr>
            </w:pPr>
          </w:p>
        </w:tc>
        <w:tc>
          <w:tcPr>
            <w:tcW w:w="1158" w:type="dxa"/>
          </w:tcPr>
          <w:p w14:paraId="1C5394CC" w14:textId="77777777" w:rsidR="003D4821" w:rsidRPr="00525460" w:rsidRDefault="003D4821" w:rsidP="00907F81">
            <w:pPr>
              <w:contextualSpacing/>
              <w:jc w:val="center"/>
              <w:rPr>
                <w:rFonts w:eastAsia="Calibri"/>
                <w:szCs w:val="22"/>
                <w:lang w:val="en-GB"/>
              </w:rPr>
            </w:pPr>
          </w:p>
        </w:tc>
      </w:tr>
      <w:tr w:rsidR="003D4821" w:rsidRPr="00525460" w14:paraId="10654022" w14:textId="77777777" w:rsidTr="00907F81">
        <w:trPr>
          <w:trHeight w:val="255"/>
        </w:trPr>
        <w:tc>
          <w:tcPr>
            <w:tcW w:w="1910" w:type="dxa"/>
            <w:noWrap/>
            <w:hideMark/>
          </w:tcPr>
          <w:p w14:paraId="47A2C722" w14:textId="77777777" w:rsidR="003D4821" w:rsidRPr="00525460" w:rsidRDefault="003D4821" w:rsidP="00907F81">
            <w:pPr>
              <w:contextualSpacing/>
              <w:rPr>
                <w:rFonts w:eastAsia="Calibri"/>
                <w:i/>
                <w:szCs w:val="22"/>
                <w:lang w:val="en-GB"/>
              </w:rPr>
            </w:pPr>
            <w:r w:rsidRPr="00525460">
              <w:rPr>
                <w:rFonts w:eastAsia="Calibri"/>
                <w:szCs w:val="22"/>
                <w:lang w:val="en-GB"/>
              </w:rPr>
              <w:t>Initial</w:t>
            </w:r>
            <w:r w:rsidRPr="00525460">
              <w:rPr>
                <w:rFonts w:eastAsia="Calibri"/>
                <w:i/>
                <w:szCs w:val="22"/>
                <w:lang w:val="en-GB"/>
              </w:rPr>
              <w:t xml:space="preserve"> w</w:t>
            </w:r>
            <w:r w:rsidRPr="00525460">
              <w:rPr>
                <w:rFonts w:eastAsia="Calibri"/>
                <w:i/>
                <w:szCs w:val="22"/>
                <w:vertAlign w:val="subscript"/>
                <w:lang w:val="en-GB"/>
              </w:rPr>
              <w:t>i</w:t>
            </w:r>
            <w:r w:rsidRPr="00525460">
              <w:rPr>
                <w:rFonts w:eastAsia="Calibri"/>
                <w:szCs w:val="22"/>
                <w:lang w:val="en-GB"/>
              </w:rPr>
              <w:t xml:space="preserve"> (n/cm</w:t>
            </w:r>
            <w:r w:rsidRPr="00525460">
              <w:rPr>
                <w:rFonts w:eastAsia="Calibri"/>
                <w:szCs w:val="22"/>
                <w:vertAlign w:val="superscript"/>
                <w:lang w:val="en-GB"/>
              </w:rPr>
              <w:t>3</w:t>
            </w:r>
            <w:r w:rsidRPr="00525460">
              <w:rPr>
                <w:rFonts w:eastAsia="Calibri"/>
                <w:szCs w:val="22"/>
                <w:lang w:val="en-GB"/>
              </w:rPr>
              <w:t>)</w:t>
            </w:r>
          </w:p>
        </w:tc>
        <w:tc>
          <w:tcPr>
            <w:tcW w:w="1000" w:type="dxa"/>
            <w:noWrap/>
            <w:hideMark/>
          </w:tcPr>
          <w:p w14:paraId="4ABE401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2.516</w:t>
            </w:r>
          </w:p>
          <w:p w14:paraId="7FAE6D6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1.374</w:t>
            </w:r>
          </w:p>
        </w:tc>
        <w:tc>
          <w:tcPr>
            <w:tcW w:w="1085" w:type="dxa"/>
            <w:noWrap/>
            <w:hideMark/>
          </w:tcPr>
          <w:p w14:paraId="61A8E71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1.342</w:t>
            </w:r>
          </w:p>
          <w:p w14:paraId="27B5ED78"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2.315</w:t>
            </w:r>
          </w:p>
          <w:p w14:paraId="0963CA1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0.233</w:t>
            </w:r>
          </w:p>
        </w:tc>
        <w:tc>
          <w:tcPr>
            <w:tcW w:w="1117" w:type="dxa"/>
            <w:noWrap/>
            <w:hideMark/>
          </w:tcPr>
          <w:p w14:paraId="544CC8B8"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0.685</w:t>
            </w:r>
          </w:p>
          <w:p w14:paraId="20BD180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2.358</w:t>
            </w:r>
          </w:p>
          <w:p w14:paraId="1150A96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0.822</w:t>
            </w:r>
          </w:p>
          <w:p w14:paraId="5E809A5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0.025</w:t>
            </w:r>
          </w:p>
        </w:tc>
        <w:tc>
          <w:tcPr>
            <w:tcW w:w="1138" w:type="dxa"/>
            <w:hideMark/>
          </w:tcPr>
          <w:p w14:paraId="06AE742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0.350</w:t>
            </w:r>
          </w:p>
          <w:p w14:paraId="6DAA762C"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1.965</w:t>
            </w:r>
          </w:p>
          <w:p w14:paraId="3F8461C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1.410</w:t>
            </w:r>
          </w:p>
          <w:p w14:paraId="54A9045C"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0.164</w:t>
            </w:r>
          </w:p>
          <w:p w14:paraId="7319262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0.002</w:t>
            </w:r>
          </w:p>
        </w:tc>
        <w:tc>
          <w:tcPr>
            <w:tcW w:w="1195" w:type="dxa"/>
          </w:tcPr>
          <w:p w14:paraId="26DA3D47" w14:textId="77777777" w:rsidR="003D4821" w:rsidRPr="00525460" w:rsidRDefault="003D4821" w:rsidP="00907F81">
            <w:pPr>
              <w:contextualSpacing/>
              <w:jc w:val="center"/>
              <w:rPr>
                <w:rFonts w:eastAsia="Calibri"/>
                <w:szCs w:val="22"/>
                <w:lang w:val="en-GB"/>
              </w:rPr>
            </w:pPr>
          </w:p>
        </w:tc>
        <w:tc>
          <w:tcPr>
            <w:tcW w:w="1158" w:type="dxa"/>
          </w:tcPr>
          <w:p w14:paraId="1D6D97CC" w14:textId="77777777" w:rsidR="003D4821" w:rsidRPr="00525460" w:rsidRDefault="003D4821" w:rsidP="00907F81">
            <w:pPr>
              <w:contextualSpacing/>
              <w:jc w:val="center"/>
              <w:rPr>
                <w:rFonts w:eastAsia="Calibri"/>
                <w:szCs w:val="22"/>
                <w:lang w:val="en-GB"/>
              </w:rPr>
            </w:pPr>
          </w:p>
        </w:tc>
      </w:tr>
      <w:tr w:rsidR="003D4821" w:rsidRPr="00525460" w14:paraId="29FBE338" w14:textId="77777777" w:rsidTr="00907F81">
        <w:trPr>
          <w:trHeight w:val="255"/>
        </w:trPr>
        <w:tc>
          <w:tcPr>
            <w:tcW w:w="1910" w:type="dxa"/>
            <w:noWrap/>
            <w:vAlign w:val="bottom"/>
            <w:hideMark/>
          </w:tcPr>
          <w:p w14:paraId="175A15B8" w14:textId="77777777" w:rsidR="003D4821" w:rsidRPr="00525460" w:rsidRDefault="003D4821" w:rsidP="00907F81">
            <w:pPr>
              <w:contextualSpacing/>
              <w:rPr>
                <w:rFonts w:eastAsia="Calibri"/>
                <w:szCs w:val="22"/>
                <w:lang w:val="en-GB"/>
              </w:rPr>
            </w:pPr>
            <w:r w:rsidRPr="00525460">
              <w:rPr>
                <w:rFonts w:eastAsia="Calibri"/>
                <w:i/>
                <w:szCs w:val="22"/>
                <w:lang w:val="en-GB"/>
              </w:rPr>
              <w:lastRenderedPageBreak/>
              <w:t>d</w:t>
            </w:r>
            <w:r w:rsidRPr="00525460">
              <w:rPr>
                <w:rFonts w:eastAsia="Calibri"/>
                <w:i/>
                <w:szCs w:val="22"/>
                <w:vertAlign w:val="subscript"/>
                <w:lang w:val="en-GB"/>
              </w:rPr>
              <w:t>32</w:t>
            </w:r>
            <w:r w:rsidRPr="00525460">
              <w:rPr>
                <w:rFonts w:eastAsia="Calibri"/>
                <w:szCs w:val="22"/>
                <w:lang w:val="en-GB"/>
              </w:rPr>
              <w:t xml:space="preserve"> (cm)</w:t>
            </w:r>
          </w:p>
        </w:tc>
        <w:tc>
          <w:tcPr>
            <w:tcW w:w="1000" w:type="dxa"/>
            <w:noWrap/>
            <w:vAlign w:val="center"/>
            <w:hideMark/>
          </w:tcPr>
          <w:p w14:paraId="7600049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0.410</w:t>
            </w:r>
          </w:p>
        </w:tc>
        <w:tc>
          <w:tcPr>
            <w:tcW w:w="1085" w:type="dxa"/>
            <w:noWrap/>
            <w:vAlign w:val="center"/>
            <w:hideMark/>
          </w:tcPr>
          <w:p w14:paraId="79BDF3E4"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0.413</w:t>
            </w:r>
          </w:p>
        </w:tc>
        <w:tc>
          <w:tcPr>
            <w:tcW w:w="1117" w:type="dxa"/>
            <w:noWrap/>
            <w:vAlign w:val="center"/>
            <w:hideMark/>
          </w:tcPr>
          <w:p w14:paraId="0742719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0.412</w:t>
            </w:r>
          </w:p>
        </w:tc>
        <w:tc>
          <w:tcPr>
            <w:tcW w:w="1138" w:type="dxa"/>
            <w:vAlign w:val="center"/>
            <w:hideMark/>
          </w:tcPr>
          <w:p w14:paraId="1B0C2F6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0.412</w:t>
            </w:r>
          </w:p>
        </w:tc>
        <w:tc>
          <w:tcPr>
            <w:tcW w:w="1195" w:type="dxa"/>
            <w:vAlign w:val="center"/>
            <w:hideMark/>
          </w:tcPr>
          <w:p w14:paraId="3D8461A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0.36</w:t>
            </w:r>
          </w:p>
        </w:tc>
        <w:tc>
          <w:tcPr>
            <w:tcW w:w="1158" w:type="dxa"/>
            <w:vAlign w:val="center"/>
            <w:hideMark/>
          </w:tcPr>
          <w:p w14:paraId="1AA43E6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0.44</w:t>
            </w:r>
          </w:p>
        </w:tc>
      </w:tr>
      <w:tr w:rsidR="003D4821" w:rsidRPr="00525460" w14:paraId="06AF76BF" w14:textId="77777777" w:rsidTr="00907F81">
        <w:trPr>
          <w:trHeight w:val="255"/>
        </w:trPr>
        <w:tc>
          <w:tcPr>
            <w:tcW w:w="1910" w:type="dxa"/>
            <w:noWrap/>
            <w:vAlign w:val="bottom"/>
            <w:hideMark/>
          </w:tcPr>
          <w:p w14:paraId="3F48AC57" w14:textId="77777777" w:rsidR="003D4821" w:rsidRPr="00525460" w:rsidRDefault="003D4821" w:rsidP="00907F81">
            <w:pPr>
              <w:contextualSpacing/>
              <w:rPr>
                <w:rFonts w:eastAsia="Calibri"/>
                <w:szCs w:val="22"/>
                <w:lang w:val="en-GB"/>
              </w:rPr>
            </w:pPr>
            <w:r w:rsidRPr="00525460">
              <w:rPr>
                <w:rFonts w:eastAsia="Calibri"/>
                <w:szCs w:val="22"/>
                <w:lang w:val="en-GB"/>
              </w:rPr>
              <w:t>CPU time (s)</w:t>
            </w:r>
          </w:p>
        </w:tc>
        <w:tc>
          <w:tcPr>
            <w:tcW w:w="1000" w:type="dxa"/>
            <w:noWrap/>
            <w:vAlign w:val="center"/>
            <w:hideMark/>
          </w:tcPr>
          <w:p w14:paraId="62086D01"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4.20</w:t>
            </w:r>
          </w:p>
        </w:tc>
        <w:tc>
          <w:tcPr>
            <w:tcW w:w="1085" w:type="dxa"/>
            <w:noWrap/>
            <w:vAlign w:val="center"/>
            <w:hideMark/>
          </w:tcPr>
          <w:p w14:paraId="784AB2A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16.30</w:t>
            </w:r>
          </w:p>
        </w:tc>
        <w:tc>
          <w:tcPr>
            <w:tcW w:w="1117" w:type="dxa"/>
            <w:noWrap/>
            <w:vAlign w:val="center"/>
            <w:hideMark/>
          </w:tcPr>
          <w:p w14:paraId="64B58597"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46.87</w:t>
            </w:r>
          </w:p>
        </w:tc>
        <w:tc>
          <w:tcPr>
            <w:tcW w:w="1138" w:type="dxa"/>
            <w:vAlign w:val="center"/>
            <w:hideMark/>
          </w:tcPr>
          <w:p w14:paraId="22D2DDA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102.86</w:t>
            </w:r>
          </w:p>
        </w:tc>
        <w:tc>
          <w:tcPr>
            <w:tcW w:w="1195" w:type="dxa"/>
            <w:vAlign w:val="center"/>
          </w:tcPr>
          <w:p w14:paraId="0E8F1E4D" w14:textId="77777777" w:rsidR="003D4821" w:rsidRPr="00525460" w:rsidRDefault="003D4821" w:rsidP="00907F81">
            <w:pPr>
              <w:contextualSpacing/>
              <w:jc w:val="center"/>
              <w:rPr>
                <w:rFonts w:eastAsia="Calibri"/>
                <w:szCs w:val="22"/>
                <w:lang w:val="en-GB"/>
              </w:rPr>
            </w:pPr>
          </w:p>
        </w:tc>
        <w:tc>
          <w:tcPr>
            <w:tcW w:w="1158" w:type="dxa"/>
            <w:vAlign w:val="center"/>
          </w:tcPr>
          <w:p w14:paraId="238A2B65" w14:textId="77777777" w:rsidR="003D4821" w:rsidRPr="00525460" w:rsidRDefault="003D4821" w:rsidP="00907F81">
            <w:pPr>
              <w:contextualSpacing/>
              <w:jc w:val="center"/>
              <w:rPr>
                <w:rFonts w:eastAsia="Calibri"/>
                <w:szCs w:val="22"/>
                <w:lang w:val="en-GB"/>
              </w:rPr>
            </w:pPr>
          </w:p>
        </w:tc>
      </w:tr>
      <w:tr w:rsidR="003D4821" w:rsidRPr="00525460" w14:paraId="24726D98" w14:textId="77777777" w:rsidTr="00907F81">
        <w:trPr>
          <w:trHeight w:val="255"/>
        </w:trPr>
        <w:tc>
          <w:tcPr>
            <w:tcW w:w="1910" w:type="dxa"/>
            <w:noWrap/>
            <w:vAlign w:val="bottom"/>
            <w:hideMark/>
          </w:tcPr>
          <w:p w14:paraId="146B2194" w14:textId="77777777" w:rsidR="003D4821" w:rsidRPr="00525460" w:rsidRDefault="003D4821" w:rsidP="00907F81">
            <w:pPr>
              <w:contextualSpacing/>
              <w:rPr>
                <w:rFonts w:eastAsia="Calibri"/>
                <w:szCs w:val="22"/>
                <w:lang w:val="en-GB"/>
              </w:rPr>
            </w:pPr>
            <w:r w:rsidRPr="00525460">
              <w:rPr>
                <w:rFonts w:eastAsia="Calibri"/>
                <w:szCs w:val="22"/>
                <w:lang w:val="en-GB"/>
              </w:rPr>
              <w:t xml:space="preserve">% excess time compare to </w:t>
            </w:r>
            <w:r w:rsidRPr="00525460">
              <w:rPr>
                <w:rFonts w:eastAsia="Calibri"/>
                <w:i/>
                <w:szCs w:val="22"/>
                <w:lang w:val="en-GB"/>
              </w:rPr>
              <w:t>N</w:t>
            </w:r>
            <w:r w:rsidRPr="00525460">
              <w:rPr>
                <w:rFonts w:eastAsia="Calibri"/>
                <w:szCs w:val="22"/>
                <w:lang w:val="en-GB"/>
              </w:rPr>
              <w:t xml:space="preserve"> = 2</w:t>
            </w:r>
          </w:p>
        </w:tc>
        <w:tc>
          <w:tcPr>
            <w:tcW w:w="1000" w:type="dxa"/>
            <w:noWrap/>
            <w:vAlign w:val="center"/>
            <w:hideMark/>
          </w:tcPr>
          <w:p w14:paraId="6CF3FA5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0.00%</w:t>
            </w:r>
          </w:p>
        </w:tc>
        <w:tc>
          <w:tcPr>
            <w:tcW w:w="1085" w:type="dxa"/>
            <w:noWrap/>
            <w:vAlign w:val="center"/>
            <w:hideMark/>
          </w:tcPr>
          <w:p w14:paraId="66D7B1B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287.70%</w:t>
            </w:r>
          </w:p>
        </w:tc>
        <w:tc>
          <w:tcPr>
            <w:tcW w:w="1117" w:type="dxa"/>
            <w:noWrap/>
            <w:vAlign w:val="center"/>
            <w:hideMark/>
          </w:tcPr>
          <w:p w14:paraId="7BC8EEA0"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1014.66%</w:t>
            </w:r>
          </w:p>
        </w:tc>
        <w:tc>
          <w:tcPr>
            <w:tcW w:w="1138" w:type="dxa"/>
            <w:vAlign w:val="center"/>
            <w:hideMark/>
          </w:tcPr>
          <w:p w14:paraId="66775EB8"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2346.39%</w:t>
            </w:r>
          </w:p>
        </w:tc>
        <w:tc>
          <w:tcPr>
            <w:tcW w:w="1195" w:type="dxa"/>
            <w:vAlign w:val="center"/>
          </w:tcPr>
          <w:p w14:paraId="0C799695" w14:textId="77777777" w:rsidR="003D4821" w:rsidRPr="00525460" w:rsidRDefault="003D4821" w:rsidP="00907F81">
            <w:pPr>
              <w:contextualSpacing/>
              <w:jc w:val="center"/>
              <w:rPr>
                <w:rFonts w:eastAsia="Calibri"/>
                <w:szCs w:val="22"/>
                <w:lang w:val="en-GB"/>
              </w:rPr>
            </w:pPr>
          </w:p>
        </w:tc>
        <w:tc>
          <w:tcPr>
            <w:tcW w:w="1158" w:type="dxa"/>
            <w:vAlign w:val="center"/>
          </w:tcPr>
          <w:p w14:paraId="2F928E86" w14:textId="77777777" w:rsidR="003D4821" w:rsidRPr="00525460" w:rsidRDefault="003D4821" w:rsidP="00907F81">
            <w:pPr>
              <w:contextualSpacing/>
              <w:jc w:val="center"/>
              <w:rPr>
                <w:rFonts w:eastAsia="Calibri"/>
                <w:szCs w:val="22"/>
                <w:lang w:val="en-GB"/>
              </w:rPr>
            </w:pPr>
          </w:p>
        </w:tc>
      </w:tr>
      <w:tr w:rsidR="003D4821" w:rsidRPr="00525460" w14:paraId="0812BD04" w14:textId="77777777" w:rsidTr="00907F81">
        <w:trPr>
          <w:trHeight w:val="255"/>
        </w:trPr>
        <w:tc>
          <w:tcPr>
            <w:tcW w:w="1910" w:type="dxa"/>
            <w:tcBorders>
              <w:top w:val="nil"/>
              <w:left w:val="nil"/>
              <w:bottom w:val="single" w:sz="4" w:space="0" w:color="auto"/>
              <w:right w:val="nil"/>
            </w:tcBorders>
            <w:noWrap/>
            <w:vAlign w:val="bottom"/>
            <w:hideMark/>
          </w:tcPr>
          <w:p w14:paraId="54E31B90" w14:textId="77777777" w:rsidR="003D4821" w:rsidRPr="00525460" w:rsidRDefault="003D4821" w:rsidP="00907F81">
            <w:pPr>
              <w:contextualSpacing/>
              <w:rPr>
                <w:rFonts w:eastAsia="Calibri"/>
                <w:szCs w:val="22"/>
                <w:lang w:val="en-GB"/>
              </w:rPr>
            </w:pPr>
            <w:r w:rsidRPr="00525460">
              <w:rPr>
                <w:rFonts w:eastAsia="Calibri"/>
                <w:szCs w:val="22"/>
                <w:lang w:val="en-GB"/>
              </w:rPr>
              <w:t xml:space="preserve">% relative error compare to </w:t>
            </w:r>
            <w:r w:rsidRPr="00525460">
              <w:rPr>
                <w:rFonts w:eastAsia="Calibri"/>
                <w:i/>
                <w:szCs w:val="22"/>
                <w:lang w:val="en-GB"/>
              </w:rPr>
              <w:t>N</w:t>
            </w:r>
            <w:r w:rsidRPr="00525460">
              <w:rPr>
                <w:rFonts w:eastAsia="Calibri"/>
                <w:szCs w:val="22"/>
                <w:lang w:val="en-GB"/>
              </w:rPr>
              <w:t xml:space="preserve"> = 5</w:t>
            </w:r>
          </w:p>
        </w:tc>
        <w:tc>
          <w:tcPr>
            <w:tcW w:w="1000" w:type="dxa"/>
            <w:tcBorders>
              <w:top w:val="nil"/>
              <w:left w:val="nil"/>
              <w:bottom w:val="single" w:sz="4" w:space="0" w:color="auto"/>
              <w:right w:val="nil"/>
            </w:tcBorders>
            <w:noWrap/>
            <w:vAlign w:val="center"/>
            <w:hideMark/>
          </w:tcPr>
          <w:p w14:paraId="27A537C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0.54%</w:t>
            </w:r>
          </w:p>
        </w:tc>
        <w:tc>
          <w:tcPr>
            <w:tcW w:w="1085" w:type="dxa"/>
            <w:tcBorders>
              <w:top w:val="nil"/>
              <w:left w:val="nil"/>
              <w:bottom w:val="single" w:sz="4" w:space="0" w:color="auto"/>
              <w:right w:val="nil"/>
            </w:tcBorders>
            <w:noWrap/>
            <w:vAlign w:val="center"/>
            <w:hideMark/>
          </w:tcPr>
          <w:p w14:paraId="0858DC28"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0.24%</w:t>
            </w:r>
          </w:p>
        </w:tc>
        <w:tc>
          <w:tcPr>
            <w:tcW w:w="1117" w:type="dxa"/>
            <w:tcBorders>
              <w:top w:val="nil"/>
              <w:left w:val="nil"/>
              <w:bottom w:val="single" w:sz="4" w:space="0" w:color="auto"/>
              <w:right w:val="nil"/>
            </w:tcBorders>
            <w:noWrap/>
            <w:vAlign w:val="center"/>
            <w:hideMark/>
          </w:tcPr>
          <w:p w14:paraId="5402935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0.01%</w:t>
            </w:r>
          </w:p>
        </w:tc>
        <w:tc>
          <w:tcPr>
            <w:tcW w:w="1138" w:type="dxa"/>
            <w:tcBorders>
              <w:top w:val="nil"/>
              <w:left w:val="nil"/>
              <w:bottom w:val="single" w:sz="4" w:space="0" w:color="auto"/>
              <w:right w:val="nil"/>
            </w:tcBorders>
            <w:vAlign w:val="center"/>
            <w:hideMark/>
          </w:tcPr>
          <w:p w14:paraId="01DC56C4"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0.00%</w:t>
            </w:r>
          </w:p>
        </w:tc>
        <w:tc>
          <w:tcPr>
            <w:tcW w:w="1195" w:type="dxa"/>
            <w:tcBorders>
              <w:top w:val="nil"/>
              <w:left w:val="nil"/>
              <w:bottom w:val="single" w:sz="4" w:space="0" w:color="auto"/>
              <w:right w:val="nil"/>
            </w:tcBorders>
            <w:vAlign w:val="center"/>
          </w:tcPr>
          <w:p w14:paraId="7CF959F7" w14:textId="77777777" w:rsidR="003D4821" w:rsidRPr="00525460" w:rsidRDefault="003D4821" w:rsidP="00907F81">
            <w:pPr>
              <w:contextualSpacing/>
              <w:jc w:val="center"/>
              <w:rPr>
                <w:rFonts w:eastAsia="Calibri"/>
                <w:szCs w:val="22"/>
                <w:lang w:val="en-GB"/>
              </w:rPr>
            </w:pPr>
          </w:p>
        </w:tc>
        <w:tc>
          <w:tcPr>
            <w:tcW w:w="1158" w:type="dxa"/>
            <w:tcBorders>
              <w:top w:val="nil"/>
              <w:left w:val="nil"/>
              <w:bottom w:val="single" w:sz="4" w:space="0" w:color="auto"/>
              <w:right w:val="nil"/>
            </w:tcBorders>
            <w:vAlign w:val="center"/>
          </w:tcPr>
          <w:p w14:paraId="04FD64DA" w14:textId="77777777" w:rsidR="003D4821" w:rsidRPr="00525460" w:rsidRDefault="003D4821" w:rsidP="00907F81">
            <w:pPr>
              <w:contextualSpacing/>
              <w:jc w:val="center"/>
              <w:rPr>
                <w:rFonts w:eastAsia="Calibri"/>
                <w:szCs w:val="22"/>
                <w:lang w:val="en-GB"/>
              </w:rPr>
            </w:pPr>
          </w:p>
        </w:tc>
      </w:tr>
    </w:tbl>
    <w:p w14:paraId="51E9F04F" w14:textId="77777777" w:rsidR="003D4821" w:rsidRPr="00525460" w:rsidRDefault="003D4821" w:rsidP="003D4821">
      <w:pPr>
        <w:contextualSpacing/>
        <w:jc w:val="both"/>
        <w:rPr>
          <w:szCs w:val="22"/>
          <w:lang w:val="en-GB"/>
        </w:rPr>
      </w:pPr>
    </w:p>
    <w:p w14:paraId="16B4E6D6" w14:textId="27E65297" w:rsidR="003D4821" w:rsidRPr="00525460" w:rsidRDefault="003D4821" w:rsidP="003D4821">
      <w:pPr>
        <w:contextualSpacing/>
        <w:jc w:val="both"/>
        <w:rPr>
          <w:szCs w:val="22"/>
          <w:lang w:val="en-GB"/>
        </w:rPr>
      </w:pPr>
      <w:r w:rsidRPr="00525460">
        <w:rPr>
          <w:szCs w:val="22"/>
          <w:lang w:val="en-GB"/>
        </w:rPr>
        <w:t xml:space="preserve">Table </w:t>
      </w:r>
      <w:r w:rsidR="00900C13">
        <w:rPr>
          <w:szCs w:val="22"/>
          <w:lang w:val="en-GB"/>
        </w:rPr>
        <w:t>S</w:t>
      </w:r>
      <w:r w:rsidRPr="00525460">
        <w:rPr>
          <w:szCs w:val="22"/>
          <w:lang w:val="en-GB"/>
        </w:rPr>
        <w:t xml:space="preserve">1 shows the predicted and calculated bubble Sauter mean diameter, </w:t>
      </w:r>
      <w:r w:rsidRPr="00525460">
        <w:rPr>
          <w:i/>
          <w:szCs w:val="22"/>
          <w:lang w:val="en-GB"/>
        </w:rPr>
        <w:t>d</w:t>
      </w:r>
      <w:r w:rsidRPr="00525460">
        <w:rPr>
          <w:szCs w:val="22"/>
          <w:vertAlign w:val="subscript"/>
          <w:lang w:val="en-GB"/>
        </w:rPr>
        <w:t>32</w:t>
      </w:r>
      <w:r w:rsidRPr="00525460">
        <w:rPr>
          <w:szCs w:val="22"/>
          <w:lang w:val="en-GB"/>
        </w:rPr>
        <w:t>, for the bubble column. The PBM predictions are in fair agreement with the values calculated from correlations by Wilkinson (1991) and Pohorecki et al. (2005). The variation in predicted bubble size was also found to be insignificant with increasing number of quadrature points. Marchisio et al. (2003) also found out that there was insignificant gain in QMOM prediction accuracy beyond three quadrature points in their study but the trend of decreasing overall error with higher number of quadrature approximation was reported. However, they too pointed out that higher number of quadrature approximation does not always reduce prediction error in certain aggregation and breakage problems (Marchisio et al., 2003). It is also interesting to note that, only minimal predictive accuracy was obtained with increasing number of quadrature points at the cost of greater computational effort; less than 0.6% gain in accuracy for more than 2000% of additional computational time using five quadrature points. Hence, it was not considered necessary to solve the QMOM with higher number of quadrature points (i.e. more than 3) because the gain in accuracy is almost insignificant.</w:t>
      </w:r>
    </w:p>
    <w:p w14:paraId="350854F1" w14:textId="77777777" w:rsidR="003D4821" w:rsidRPr="00525460" w:rsidRDefault="003D4821" w:rsidP="003D4821">
      <w:pPr>
        <w:contextualSpacing/>
        <w:jc w:val="both"/>
        <w:rPr>
          <w:szCs w:val="22"/>
          <w:lang w:val="en-GB"/>
        </w:rPr>
      </w:pPr>
    </w:p>
    <w:p w14:paraId="1BAF7A0B" w14:textId="34EA6064" w:rsidR="003D4821" w:rsidRPr="00525460" w:rsidRDefault="003D4821" w:rsidP="003D4821">
      <w:pPr>
        <w:contextualSpacing/>
        <w:jc w:val="both"/>
        <w:rPr>
          <w:szCs w:val="22"/>
          <w:lang w:val="en-GB"/>
        </w:rPr>
      </w:pPr>
      <w:r w:rsidRPr="00525460">
        <w:rPr>
          <w:szCs w:val="22"/>
          <w:lang w:val="en-GB"/>
        </w:rPr>
        <w:t>The assessment on the algorithm response to higher turbulence dissipation rate (2.4 m</w:t>
      </w:r>
      <w:r w:rsidRPr="00525460">
        <w:rPr>
          <w:szCs w:val="22"/>
          <w:vertAlign w:val="superscript"/>
          <w:lang w:val="en-GB"/>
        </w:rPr>
        <w:t>2</w:t>
      </w:r>
      <w:r w:rsidRPr="00525460">
        <w:rPr>
          <w:szCs w:val="22"/>
          <w:lang w:val="en-GB"/>
        </w:rPr>
        <w:t>/s</w:t>
      </w:r>
      <w:r w:rsidRPr="00525460">
        <w:rPr>
          <w:szCs w:val="22"/>
          <w:vertAlign w:val="superscript"/>
          <w:lang w:val="en-GB"/>
        </w:rPr>
        <w:t>3</w:t>
      </w:r>
      <w:r w:rsidRPr="00525460">
        <w:rPr>
          <w:szCs w:val="22"/>
          <w:lang w:val="en-GB"/>
        </w:rPr>
        <w:t xml:space="preserve">), smaller initial bubble size (2.2 mm) and lower gas hold-up (0.11) was studied to test the algorithm for any possible dependencies on those three variables. All solutions were generated using three quadrature points and the results for these runs (i.e. case 1 to 8) were shown in Table </w:t>
      </w:r>
      <w:r w:rsidR="00900C13">
        <w:rPr>
          <w:szCs w:val="22"/>
          <w:lang w:val="en-GB"/>
        </w:rPr>
        <w:t>S</w:t>
      </w:r>
      <w:r w:rsidRPr="00525460">
        <w:rPr>
          <w:szCs w:val="22"/>
          <w:lang w:val="en-GB"/>
        </w:rPr>
        <w:t xml:space="preserve">2. </w:t>
      </w:r>
    </w:p>
    <w:p w14:paraId="35E9BF54" w14:textId="77777777" w:rsidR="003D4821" w:rsidRPr="00525460" w:rsidRDefault="003D4821" w:rsidP="003D4821">
      <w:pPr>
        <w:contextualSpacing/>
        <w:jc w:val="both"/>
        <w:rPr>
          <w:szCs w:val="22"/>
          <w:lang w:val="en-GB"/>
        </w:rPr>
      </w:pPr>
    </w:p>
    <w:p w14:paraId="635DD05B" w14:textId="43DC089D" w:rsidR="003D4821" w:rsidRPr="00525460" w:rsidRDefault="003D4821" w:rsidP="003D4821">
      <w:pPr>
        <w:contextualSpacing/>
        <w:rPr>
          <w:bCs/>
          <w:szCs w:val="22"/>
          <w:lang w:val="en-GB"/>
        </w:rPr>
      </w:pPr>
      <w:r w:rsidRPr="00525460">
        <w:rPr>
          <w:bCs/>
          <w:szCs w:val="22"/>
          <w:lang w:val="en-GB"/>
        </w:rPr>
        <w:t xml:space="preserve">Table </w:t>
      </w:r>
      <w:r w:rsidR="00096AD6">
        <w:rPr>
          <w:bCs/>
          <w:szCs w:val="22"/>
          <w:lang w:val="en-GB"/>
        </w:rPr>
        <w:t>S2</w:t>
      </w:r>
      <w:r w:rsidRPr="00525460">
        <w:rPr>
          <w:bCs/>
          <w:szCs w:val="22"/>
          <w:lang w:val="en-GB"/>
        </w:rPr>
        <w:t>:</w:t>
      </w:r>
      <w:r w:rsidRPr="00525460">
        <w:rPr>
          <w:szCs w:val="22"/>
          <w:lang w:val="en-GB"/>
        </w:rPr>
        <w:t xml:space="preserve"> </w:t>
      </w:r>
      <w:r w:rsidRPr="00525460">
        <w:rPr>
          <w:bCs/>
          <w:szCs w:val="22"/>
          <w:lang w:val="en-GB"/>
        </w:rPr>
        <w:t xml:space="preserve">Comparison of QMOM result obtained at different </w:t>
      </w:r>
      <w:r w:rsidRPr="00525460">
        <w:rPr>
          <w:bCs/>
          <w:i/>
          <w:szCs w:val="22"/>
          <w:lang w:val="en-GB"/>
        </w:rPr>
        <w:t>d</w:t>
      </w:r>
      <w:r w:rsidRPr="00525460">
        <w:rPr>
          <w:bCs/>
          <w:i/>
          <w:szCs w:val="22"/>
          <w:vertAlign w:val="subscript"/>
          <w:lang w:val="en-GB"/>
        </w:rPr>
        <w:t>mean</w:t>
      </w:r>
      <w:r w:rsidRPr="00525460">
        <w:rPr>
          <w:bCs/>
          <w:szCs w:val="22"/>
          <w:lang w:val="en-GB"/>
        </w:rPr>
        <w:t xml:space="preserve"> initial, </w:t>
      </w:r>
      <w:r w:rsidRPr="00525460">
        <w:rPr>
          <w:bCs/>
          <w:i/>
          <w:szCs w:val="22"/>
          <w:lang w:val="en-GB" w:eastAsia="en-SG"/>
        </w:rPr>
        <w:t>ɛ</w:t>
      </w:r>
      <w:r w:rsidRPr="00525460">
        <w:rPr>
          <w:bCs/>
          <w:i/>
          <w:szCs w:val="22"/>
          <w:lang w:val="en-GB"/>
        </w:rPr>
        <w:t xml:space="preserve"> </w:t>
      </w:r>
      <w:r w:rsidRPr="00525460">
        <w:rPr>
          <w:bCs/>
          <w:szCs w:val="22"/>
          <w:lang w:val="en-GB"/>
        </w:rPr>
        <w:t>and</w:t>
      </w:r>
      <w:r w:rsidRPr="00525460">
        <w:rPr>
          <w:b/>
          <w:bCs/>
          <w:szCs w:val="22"/>
          <w:lang w:val="en-GB" w:eastAsia="en-SG"/>
        </w:rPr>
        <w:t xml:space="preserve"> </w:t>
      </w:r>
      <w:r w:rsidRPr="00525460">
        <w:rPr>
          <w:bCs/>
          <w:i/>
          <w:szCs w:val="22"/>
          <w:lang w:val="en-GB" w:eastAsia="en-SG"/>
        </w:rPr>
        <w:t>α</w:t>
      </w:r>
      <w:r w:rsidRPr="00525460">
        <w:rPr>
          <w:bCs/>
          <w:i/>
          <w:szCs w:val="22"/>
          <w:vertAlign w:val="subscript"/>
          <w:lang w:val="en-GB"/>
        </w:rPr>
        <w:t>g</w:t>
      </w:r>
      <w:r w:rsidRPr="00525460">
        <w:rPr>
          <w:bCs/>
          <w:szCs w:val="22"/>
          <w:lang w:val="en-GB"/>
        </w:rPr>
        <w:t xml:space="preserve"> for three quadrature points</w:t>
      </w:r>
      <w:r>
        <w:rPr>
          <w:bCs/>
          <w:szCs w:val="22"/>
          <w:lang w:val="en-GB"/>
        </w:rPr>
        <w:t>.</w:t>
      </w:r>
    </w:p>
    <w:tbl>
      <w:tblPr>
        <w:tblW w:w="8625" w:type="dxa"/>
        <w:tblInd w:w="98" w:type="dxa"/>
        <w:tblLayout w:type="fixed"/>
        <w:tblLook w:val="04A0" w:firstRow="1" w:lastRow="0" w:firstColumn="1" w:lastColumn="0" w:noHBand="0" w:noVBand="1"/>
      </w:tblPr>
      <w:tblGrid>
        <w:gridCol w:w="1722"/>
        <w:gridCol w:w="913"/>
        <w:gridCol w:w="856"/>
        <w:gridCol w:w="911"/>
        <w:gridCol w:w="800"/>
        <w:gridCol w:w="856"/>
        <w:gridCol w:w="855"/>
        <w:gridCol w:w="856"/>
        <w:gridCol w:w="856"/>
      </w:tblGrid>
      <w:tr w:rsidR="003D4821" w:rsidRPr="00525460" w14:paraId="18C353CA" w14:textId="77777777" w:rsidTr="00907F81">
        <w:trPr>
          <w:trHeight w:val="255"/>
        </w:trPr>
        <w:tc>
          <w:tcPr>
            <w:tcW w:w="1720" w:type="dxa"/>
            <w:tcBorders>
              <w:top w:val="single" w:sz="4" w:space="0" w:color="auto"/>
              <w:left w:val="nil"/>
              <w:bottom w:val="single" w:sz="4" w:space="0" w:color="auto"/>
              <w:right w:val="nil"/>
            </w:tcBorders>
            <w:noWrap/>
            <w:hideMark/>
          </w:tcPr>
          <w:p w14:paraId="210F20E8" w14:textId="77777777" w:rsidR="003D4821" w:rsidRPr="00525460" w:rsidRDefault="003D4821" w:rsidP="00907F81">
            <w:pPr>
              <w:contextualSpacing/>
              <w:rPr>
                <w:rFonts w:eastAsia="Calibri"/>
                <w:szCs w:val="22"/>
                <w:lang w:val="en-GB"/>
              </w:rPr>
            </w:pPr>
            <w:r w:rsidRPr="00525460">
              <w:rPr>
                <w:rFonts w:eastAsia="Calibri"/>
                <w:szCs w:val="22"/>
                <w:lang w:val="en-GB"/>
              </w:rPr>
              <w:t>Case</w:t>
            </w:r>
          </w:p>
        </w:tc>
        <w:tc>
          <w:tcPr>
            <w:tcW w:w="912" w:type="dxa"/>
            <w:tcBorders>
              <w:top w:val="single" w:sz="4" w:space="0" w:color="auto"/>
              <w:left w:val="nil"/>
              <w:bottom w:val="single" w:sz="4" w:space="0" w:color="auto"/>
              <w:right w:val="nil"/>
            </w:tcBorders>
            <w:noWrap/>
            <w:tcMar>
              <w:top w:w="0" w:type="dxa"/>
              <w:left w:w="68" w:type="dxa"/>
              <w:bottom w:w="0" w:type="dxa"/>
              <w:right w:w="68" w:type="dxa"/>
            </w:tcMar>
            <w:hideMark/>
          </w:tcPr>
          <w:p w14:paraId="5C6E22B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w:t>
            </w:r>
          </w:p>
        </w:tc>
        <w:tc>
          <w:tcPr>
            <w:tcW w:w="856" w:type="dxa"/>
            <w:tcBorders>
              <w:top w:val="single" w:sz="4" w:space="0" w:color="auto"/>
              <w:left w:val="nil"/>
              <w:bottom w:val="single" w:sz="4" w:space="0" w:color="auto"/>
              <w:right w:val="nil"/>
            </w:tcBorders>
            <w:noWrap/>
            <w:tcMar>
              <w:top w:w="0" w:type="dxa"/>
              <w:left w:w="68" w:type="dxa"/>
              <w:bottom w:w="0" w:type="dxa"/>
              <w:right w:w="68" w:type="dxa"/>
            </w:tcMar>
            <w:hideMark/>
          </w:tcPr>
          <w:p w14:paraId="0835EC4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w:t>
            </w:r>
          </w:p>
        </w:tc>
        <w:tc>
          <w:tcPr>
            <w:tcW w:w="911" w:type="dxa"/>
            <w:tcBorders>
              <w:top w:val="single" w:sz="4" w:space="0" w:color="auto"/>
              <w:left w:val="nil"/>
              <w:bottom w:val="single" w:sz="4" w:space="0" w:color="auto"/>
              <w:right w:val="nil"/>
            </w:tcBorders>
            <w:noWrap/>
            <w:tcMar>
              <w:top w:w="0" w:type="dxa"/>
              <w:left w:w="68" w:type="dxa"/>
              <w:bottom w:w="0" w:type="dxa"/>
              <w:right w:w="68" w:type="dxa"/>
            </w:tcMar>
            <w:hideMark/>
          </w:tcPr>
          <w:p w14:paraId="17B5D23C"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3</w:t>
            </w:r>
          </w:p>
        </w:tc>
        <w:tc>
          <w:tcPr>
            <w:tcW w:w="800" w:type="dxa"/>
            <w:tcBorders>
              <w:top w:val="single" w:sz="4" w:space="0" w:color="auto"/>
              <w:left w:val="nil"/>
              <w:bottom w:val="single" w:sz="4" w:space="0" w:color="auto"/>
              <w:right w:val="nil"/>
            </w:tcBorders>
            <w:tcMar>
              <w:top w:w="0" w:type="dxa"/>
              <w:left w:w="68" w:type="dxa"/>
              <w:bottom w:w="0" w:type="dxa"/>
              <w:right w:w="68" w:type="dxa"/>
            </w:tcMar>
            <w:hideMark/>
          </w:tcPr>
          <w:p w14:paraId="354EFFF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4</w:t>
            </w:r>
          </w:p>
        </w:tc>
        <w:tc>
          <w:tcPr>
            <w:tcW w:w="856" w:type="dxa"/>
            <w:tcBorders>
              <w:top w:val="single" w:sz="4" w:space="0" w:color="auto"/>
              <w:left w:val="nil"/>
              <w:bottom w:val="single" w:sz="4" w:space="0" w:color="auto"/>
              <w:right w:val="nil"/>
            </w:tcBorders>
            <w:tcMar>
              <w:top w:w="0" w:type="dxa"/>
              <w:left w:w="68" w:type="dxa"/>
              <w:bottom w:w="0" w:type="dxa"/>
              <w:right w:w="68" w:type="dxa"/>
            </w:tcMar>
            <w:hideMark/>
          </w:tcPr>
          <w:p w14:paraId="32BF95F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5</w:t>
            </w:r>
          </w:p>
        </w:tc>
        <w:tc>
          <w:tcPr>
            <w:tcW w:w="855" w:type="dxa"/>
            <w:tcBorders>
              <w:top w:val="single" w:sz="4" w:space="0" w:color="auto"/>
              <w:left w:val="nil"/>
              <w:bottom w:val="single" w:sz="4" w:space="0" w:color="auto"/>
              <w:right w:val="nil"/>
            </w:tcBorders>
            <w:tcMar>
              <w:top w:w="0" w:type="dxa"/>
              <w:left w:w="68" w:type="dxa"/>
              <w:bottom w:w="0" w:type="dxa"/>
              <w:right w:w="68" w:type="dxa"/>
            </w:tcMar>
            <w:hideMark/>
          </w:tcPr>
          <w:p w14:paraId="7AE893F1"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6</w:t>
            </w:r>
          </w:p>
        </w:tc>
        <w:tc>
          <w:tcPr>
            <w:tcW w:w="856" w:type="dxa"/>
            <w:tcBorders>
              <w:top w:val="single" w:sz="4" w:space="0" w:color="auto"/>
              <w:left w:val="nil"/>
              <w:bottom w:val="single" w:sz="4" w:space="0" w:color="auto"/>
              <w:right w:val="nil"/>
            </w:tcBorders>
            <w:tcMar>
              <w:top w:w="0" w:type="dxa"/>
              <w:left w:w="68" w:type="dxa"/>
              <w:bottom w:w="0" w:type="dxa"/>
              <w:right w:w="68" w:type="dxa"/>
            </w:tcMar>
            <w:hideMark/>
          </w:tcPr>
          <w:p w14:paraId="478090B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7</w:t>
            </w:r>
          </w:p>
        </w:tc>
        <w:tc>
          <w:tcPr>
            <w:tcW w:w="856" w:type="dxa"/>
            <w:tcBorders>
              <w:top w:val="single" w:sz="4" w:space="0" w:color="auto"/>
              <w:left w:val="nil"/>
              <w:bottom w:val="single" w:sz="4" w:space="0" w:color="auto"/>
              <w:right w:val="nil"/>
            </w:tcBorders>
            <w:tcMar>
              <w:top w:w="0" w:type="dxa"/>
              <w:left w:w="68" w:type="dxa"/>
              <w:bottom w:w="0" w:type="dxa"/>
              <w:right w:w="68" w:type="dxa"/>
            </w:tcMar>
            <w:hideMark/>
          </w:tcPr>
          <w:p w14:paraId="2A3D9D2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8</w:t>
            </w:r>
          </w:p>
        </w:tc>
      </w:tr>
      <w:tr w:rsidR="003D4821" w:rsidRPr="00525460" w14:paraId="7F716D2E" w14:textId="77777777" w:rsidTr="00907F81">
        <w:trPr>
          <w:trHeight w:val="255"/>
        </w:trPr>
        <w:tc>
          <w:tcPr>
            <w:tcW w:w="1720" w:type="dxa"/>
            <w:tcBorders>
              <w:top w:val="single" w:sz="4" w:space="0" w:color="auto"/>
              <w:left w:val="nil"/>
              <w:bottom w:val="nil"/>
              <w:right w:val="nil"/>
            </w:tcBorders>
            <w:noWrap/>
            <w:hideMark/>
          </w:tcPr>
          <w:p w14:paraId="187225B5" w14:textId="77777777" w:rsidR="003D4821" w:rsidRPr="00525460" w:rsidRDefault="003D4821" w:rsidP="00907F81">
            <w:pPr>
              <w:contextualSpacing/>
              <w:rPr>
                <w:rFonts w:eastAsia="Calibri"/>
                <w:i/>
                <w:szCs w:val="22"/>
                <w:lang w:val="en-GB"/>
              </w:rPr>
            </w:pPr>
            <w:r w:rsidRPr="00525460">
              <w:rPr>
                <w:rFonts w:eastAsia="Calibri"/>
                <w:szCs w:val="22"/>
                <w:lang w:val="en-GB"/>
              </w:rPr>
              <w:t>Initial</w:t>
            </w:r>
            <w:r w:rsidRPr="00525460">
              <w:rPr>
                <w:rFonts w:eastAsia="Calibri"/>
                <w:i/>
                <w:szCs w:val="22"/>
                <w:lang w:val="en-GB"/>
              </w:rPr>
              <w:t xml:space="preserve"> L</w:t>
            </w:r>
            <w:r w:rsidRPr="00525460">
              <w:rPr>
                <w:rFonts w:eastAsia="Calibri"/>
                <w:i/>
                <w:szCs w:val="22"/>
                <w:vertAlign w:val="subscript"/>
                <w:lang w:val="en-GB"/>
              </w:rPr>
              <w:t>i</w:t>
            </w:r>
            <w:r w:rsidRPr="00525460">
              <w:rPr>
                <w:rFonts w:eastAsia="Calibri"/>
                <w:i/>
                <w:szCs w:val="22"/>
                <w:lang w:val="en-GB"/>
              </w:rPr>
              <w:t xml:space="preserve"> </w:t>
            </w:r>
            <w:r w:rsidRPr="00525460">
              <w:rPr>
                <w:rFonts w:eastAsia="Calibri"/>
                <w:szCs w:val="22"/>
                <w:lang w:val="en-GB"/>
              </w:rPr>
              <w:t>(cm)</w:t>
            </w:r>
          </w:p>
        </w:tc>
        <w:tc>
          <w:tcPr>
            <w:tcW w:w="912" w:type="dxa"/>
            <w:tcBorders>
              <w:top w:val="single" w:sz="4" w:space="0" w:color="auto"/>
              <w:left w:val="nil"/>
              <w:bottom w:val="nil"/>
              <w:right w:val="nil"/>
            </w:tcBorders>
            <w:noWrap/>
            <w:tcMar>
              <w:top w:w="0" w:type="dxa"/>
              <w:left w:w="68" w:type="dxa"/>
              <w:bottom w:w="0" w:type="dxa"/>
              <w:right w:w="68" w:type="dxa"/>
            </w:tcMar>
            <w:hideMark/>
          </w:tcPr>
          <w:p w14:paraId="6E1D4281"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0.155</w:t>
            </w:r>
          </w:p>
          <w:p w14:paraId="738D4014"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0.220</w:t>
            </w:r>
          </w:p>
          <w:p w14:paraId="0CE02AC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0.312</w:t>
            </w:r>
          </w:p>
        </w:tc>
        <w:tc>
          <w:tcPr>
            <w:tcW w:w="856" w:type="dxa"/>
            <w:tcBorders>
              <w:top w:val="single" w:sz="4" w:space="0" w:color="auto"/>
              <w:left w:val="nil"/>
              <w:bottom w:val="nil"/>
              <w:right w:val="nil"/>
            </w:tcBorders>
            <w:noWrap/>
            <w:tcMar>
              <w:top w:w="0" w:type="dxa"/>
              <w:left w:w="68" w:type="dxa"/>
              <w:bottom w:w="0" w:type="dxa"/>
              <w:right w:w="68" w:type="dxa"/>
            </w:tcMar>
            <w:hideMark/>
          </w:tcPr>
          <w:p w14:paraId="0ED6540A"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0.352</w:t>
            </w:r>
          </w:p>
          <w:p w14:paraId="4F62B024"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0.500</w:t>
            </w:r>
          </w:p>
          <w:p w14:paraId="180C2AE0"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0.710</w:t>
            </w:r>
          </w:p>
        </w:tc>
        <w:tc>
          <w:tcPr>
            <w:tcW w:w="911" w:type="dxa"/>
            <w:tcBorders>
              <w:top w:val="single" w:sz="4" w:space="0" w:color="auto"/>
              <w:left w:val="nil"/>
              <w:bottom w:val="nil"/>
              <w:right w:val="nil"/>
            </w:tcBorders>
            <w:noWrap/>
            <w:tcMar>
              <w:top w:w="0" w:type="dxa"/>
              <w:left w:w="68" w:type="dxa"/>
              <w:bottom w:w="0" w:type="dxa"/>
              <w:right w:w="68" w:type="dxa"/>
            </w:tcMar>
            <w:hideMark/>
          </w:tcPr>
          <w:p w14:paraId="25D58607"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0.155</w:t>
            </w:r>
          </w:p>
          <w:p w14:paraId="0B838C4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0.220</w:t>
            </w:r>
          </w:p>
          <w:p w14:paraId="50A9D33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0.312</w:t>
            </w:r>
          </w:p>
        </w:tc>
        <w:tc>
          <w:tcPr>
            <w:tcW w:w="800" w:type="dxa"/>
            <w:tcBorders>
              <w:top w:val="single" w:sz="4" w:space="0" w:color="auto"/>
              <w:left w:val="nil"/>
              <w:bottom w:val="nil"/>
              <w:right w:val="nil"/>
            </w:tcBorders>
            <w:tcMar>
              <w:top w:w="0" w:type="dxa"/>
              <w:left w:w="68" w:type="dxa"/>
              <w:bottom w:w="0" w:type="dxa"/>
              <w:right w:w="68" w:type="dxa"/>
            </w:tcMar>
            <w:hideMark/>
          </w:tcPr>
          <w:p w14:paraId="1E19BBA1"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0.352</w:t>
            </w:r>
          </w:p>
          <w:p w14:paraId="5C3FDB9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0.500</w:t>
            </w:r>
          </w:p>
          <w:p w14:paraId="18D904D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0.710</w:t>
            </w:r>
          </w:p>
        </w:tc>
        <w:tc>
          <w:tcPr>
            <w:tcW w:w="856" w:type="dxa"/>
            <w:tcBorders>
              <w:top w:val="single" w:sz="4" w:space="0" w:color="auto"/>
              <w:left w:val="nil"/>
              <w:bottom w:val="nil"/>
              <w:right w:val="nil"/>
            </w:tcBorders>
            <w:tcMar>
              <w:top w:w="0" w:type="dxa"/>
              <w:left w:w="68" w:type="dxa"/>
              <w:bottom w:w="0" w:type="dxa"/>
              <w:right w:w="68" w:type="dxa"/>
            </w:tcMar>
            <w:hideMark/>
          </w:tcPr>
          <w:p w14:paraId="589C11D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0.155</w:t>
            </w:r>
          </w:p>
          <w:p w14:paraId="7665152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0.220</w:t>
            </w:r>
          </w:p>
          <w:p w14:paraId="1EE8A3C1"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0.312</w:t>
            </w:r>
          </w:p>
        </w:tc>
        <w:tc>
          <w:tcPr>
            <w:tcW w:w="855" w:type="dxa"/>
            <w:tcBorders>
              <w:top w:val="single" w:sz="4" w:space="0" w:color="auto"/>
              <w:left w:val="nil"/>
              <w:bottom w:val="nil"/>
              <w:right w:val="nil"/>
            </w:tcBorders>
            <w:tcMar>
              <w:top w:w="0" w:type="dxa"/>
              <w:left w:w="68" w:type="dxa"/>
              <w:bottom w:w="0" w:type="dxa"/>
              <w:right w:w="68" w:type="dxa"/>
            </w:tcMar>
            <w:hideMark/>
          </w:tcPr>
          <w:p w14:paraId="5DDED3E4"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0.352</w:t>
            </w:r>
          </w:p>
          <w:p w14:paraId="4873B52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0.500</w:t>
            </w:r>
          </w:p>
          <w:p w14:paraId="19FAA05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0.710</w:t>
            </w:r>
          </w:p>
        </w:tc>
        <w:tc>
          <w:tcPr>
            <w:tcW w:w="856" w:type="dxa"/>
            <w:tcBorders>
              <w:top w:val="single" w:sz="4" w:space="0" w:color="auto"/>
              <w:left w:val="nil"/>
              <w:bottom w:val="nil"/>
              <w:right w:val="nil"/>
            </w:tcBorders>
            <w:tcMar>
              <w:top w:w="0" w:type="dxa"/>
              <w:left w:w="68" w:type="dxa"/>
              <w:bottom w:w="0" w:type="dxa"/>
              <w:right w:w="68" w:type="dxa"/>
            </w:tcMar>
            <w:hideMark/>
          </w:tcPr>
          <w:p w14:paraId="3EE71D40"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0.155</w:t>
            </w:r>
          </w:p>
          <w:p w14:paraId="4359F7B1"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0.220</w:t>
            </w:r>
          </w:p>
          <w:p w14:paraId="6D801A2A"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0.312</w:t>
            </w:r>
          </w:p>
        </w:tc>
        <w:tc>
          <w:tcPr>
            <w:tcW w:w="856" w:type="dxa"/>
            <w:tcBorders>
              <w:top w:val="single" w:sz="4" w:space="0" w:color="auto"/>
              <w:left w:val="nil"/>
              <w:bottom w:val="nil"/>
              <w:right w:val="nil"/>
            </w:tcBorders>
            <w:tcMar>
              <w:top w:w="0" w:type="dxa"/>
              <w:left w:w="68" w:type="dxa"/>
              <w:bottom w:w="0" w:type="dxa"/>
              <w:right w:w="68" w:type="dxa"/>
            </w:tcMar>
            <w:hideMark/>
          </w:tcPr>
          <w:p w14:paraId="6678A76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0.352</w:t>
            </w:r>
          </w:p>
          <w:p w14:paraId="3DBC0FA3"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0.500</w:t>
            </w:r>
          </w:p>
          <w:p w14:paraId="72B0B08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0.710</w:t>
            </w:r>
          </w:p>
        </w:tc>
      </w:tr>
      <w:tr w:rsidR="003D4821" w:rsidRPr="00525460" w14:paraId="1801871D" w14:textId="77777777" w:rsidTr="00907F81">
        <w:trPr>
          <w:trHeight w:val="255"/>
        </w:trPr>
        <w:tc>
          <w:tcPr>
            <w:tcW w:w="1720" w:type="dxa"/>
            <w:noWrap/>
            <w:hideMark/>
          </w:tcPr>
          <w:p w14:paraId="3D766FD4" w14:textId="77777777" w:rsidR="003D4821" w:rsidRPr="00525460" w:rsidRDefault="003D4821" w:rsidP="00907F81">
            <w:pPr>
              <w:contextualSpacing/>
              <w:rPr>
                <w:rFonts w:eastAsia="Calibri"/>
                <w:szCs w:val="22"/>
                <w:lang w:val="en-GB"/>
              </w:rPr>
            </w:pPr>
            <w:r w:rsidRPr="00525460">
              <w:rPr>
                <w:rFonts w:eastAsia="Calibri"/>
                <w:szCs w:val="22"/>
                <w:lang w:val="en-GB"/>
              </w:rPr>
              <w:t>Initial</w:t>
            </w:r>
            <w:r w:rsidRPr="00525460">
              <w:rPr>
                <w:rFonts w:eastAsia="Calibri"/>
                <w:i/>
                <w:szCs w:val="22"/>
                <w:lang w:val="en-GB"/>
              </w:rPr>
              <w:t xml:space="preserve"> w</w:t>
            </w:r>
            <w:r w:rsidRPr="00525460">
              <w:rPr>
                <w:rFonts w:eastAsia="Calibri"/>
                <w:i/>
                <w:szCs w:val="22"/>
                <w:vertAlign w:val="subscript"/>
                <w:lang w:val="en-GB"/>
              </w:rPr>
              <w:t>i</w:t>
            </w:r>
            <w:r w:rsidRPr="00525460">
              <w:rPr>
                <w:rFonts w:eastAsia="Calibri"/>
                <w:szCs w:val="22"/>
                <w:lang w:val="en-GB"/>
              </w:rPr>
              <w:t xml:space="preserve"> (n/cm</w:t>
            </w:r>
            <w:r w:rsidRPr="00525460">
              <w:rPr>
                <w:rFonts w:eastAsia="Calibri"/>
                <w:szCs w:val="22"/>
                <w:vertAlign w:val="superscript"/>
                <w:lang w:val="en-GB"/>
              </w:rPr>
              <w:t>3</w:t>
            </w:r>
            <w:r w:rsidRPr="00525460">
              <w:rPr>
                <w:rFonts w:eastAsia="Calibri"/>
                <w:szCs w:val="22"/>
                <w:lang w:val="en-GB"/>
              </w:rPr>
              <w:t>)</w:t>
            </w:r>
          </w:p>
        </w:tc>
        <w:tc>
          <w:tcPr>
            <w:tcW w:w="912" w:type="dxa"/>
            <w:noWrap/>
            <w:tcMar>
              <w:top w:w="0" w:type="dxa"/>
              <w:left w:w="68" w:type="dxa"/>
              <w:bottom w:w="0" w:type="dxa"/>
              <w:right w:w="68" w:type="dxa"/>
            </w:tcMar>
            <w:hideMark/>
          </w:tcPr>
          <w:p w14:paraId="03ACE41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15.752</w:t>
            </w:r>
          </w:p>
          <w:p w14:paraId="1AB64807"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27.182</w:t>
            </w:r>
          </w:p>
          <w:p w14:paraId="5DF604F1"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2.731</w:t>
            </w:r>
          </w:p>
        </w:tc>
        <w:tc>
          <w:tcPr>
            <w:tcW w:w="856" w:type="dxa"/>
            <w:noWrap/>
            <w:tcMar>
              <w:top w:w="0" w:type="dxa"/>
              <w:left w:w="68" w:type="dxa"/>
              <w:bottom w:w="0" w:type="dxa"/>
              <w:right w:w="68" w:type="dxa"/>
            </w:tcMar>
            <w:hideMark/>
          </w:tcPr>
          <w:p w14:paraId="4228679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1.342</w:t>
            </w:r>
          </w:p>
          <w:p w14:paraId="231A139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2.315</w:t>
            </w:r>
          </w:p>
          <w:p w14:paraId="3A6E99F7"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0.233</w:t>
            </w:r>
          </w:p>
        </w:tc>
        <w:tc>
          <w:tcPr>
            <w:tcW w:w="911" w:type="dxa"/>
            <w:noWrap/>
            <w:tcMar>
              <w:top w:w="0" w:type="dxa"/>
              <w:left w:w="68" w:type="dxa"/>
              <w:bottom w:w="0" w:type="dxa"/>
              <w:right w:w="68" w:type="dxa"/>
            </w:tcMar>
            <w:hideMark/>
          </w:tcPr>
          <w:p w14:paraId="40157A3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15.752</w:t>
            </w:r>
          </w:p>
          <w:p w14:paraId="12FE4F8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27.182</w:t>
            </w:r>
          </w:p>
          <w:p w14:paraId="413D7C5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2.731</w:t>
            </w:r>
          </w:p>
        </w:tc>
        <w:tc>
          <w:tcPr>
            <w:tcW w:w="800" w:type="dxa"/>
            <w:tcMar>
              <w:top w:w="0" w:type="dxa"/>
              <w:left w:w="68" w:type="dxa"/>
              <w:bottom w:w="0" w:type="dxa"/>
              <w:right w:w="68" w:type="dxa"/>
            </w:tcMar>
            <w:hideMark/>
          </w:tcPr>
          <w:p w14:paraId="6ED87D2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1.342</w:t>
            </w:r>
          </w:p>
          <w:p w14:paraId="0245658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2.315</w:t>
            </w:r>
          </w:p>
          <w:p w14:paraId="3B54E6B4"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0.233</w:t>
            </w:r>
          </w:p>
        </w:tc>
        <w:tc>
          <w:tcPr>
            <w:tcW w:w="856" w:type="dxa"/>
            <w:tcMar>
              <w:top w:w="0" w:type="dxa"/>
              <w:left w:w="68" w:type="dxa"/>
              <w:bottom w:w="0" w:type="dxa"/>
              <w:right w:w="68" w:type="dxa"/>
            </w:tcMar>
            <w:hideMark/>
          </w:tcPr>
          <w:p w14:paraId="4323482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8.879</w:t>
            </w:r>
          </w:p>
          <w:p w14:paraId="3B93086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15.321</w:t>
            </w:r>
          </w:p>
          <w:p w14:paraId="12B75A20"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1.539</w:t>
            </w:r>
          </w:p>
        </w:tc>
        <w:tc>
          <w:tcPr>
            <w:tcW w:w="855" w:type="dxa"/>
            <w:tcMar>
              <w:top w:w="0" w:type="dxa"/>
              <w:left w:w="68" w:type="dxa"/>
              <w:bottom w:w="0" w:type="dxa"/>
              <w:right w:w="68" w:type="dxa"/>
            </w:tcMar>
            <w:hideMark/>
          </w:tcPr>
          <w:p w14:paraId="1F094243"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0.756</w:t>
            </w:r>
          </w:p>
          <w:p w14:paraId="413FC680"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1.305</w:t>
            </w:r>
          </w:p>
          <w:p w14:paraId="46AF0540"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0.131</w:t>
            </w:r>
          </w:p>
        </w:tc>
        <w:tc>
          <w:tcPr>
            <w:tcW w:w="856" w:type="dxa"/>
            <w:tcMar>
              <w:top w:w="0" w:type="dxa"/>
              <w:left w:w="68" w:type="dxa"/>
              <w:bottom w:w="0" w:type="dxa"/>
              <w:right w:w="68" w:type="dxa"/>
            </w:tcMar>
            <w:hideMark/>
          </w:tcPr>
          <w:p w14:paraId="43693F8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8.879</w:t>
            </w:r>
          </w:p>
          <w:p w14:paraId="37B7826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15.321</w:t>
            </w:r>
          </w:p>
          <w:p w14:paraId="16135BA7"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1.539</w:t>
            </w:r>
          </w:p>
        </w:tc>
        <w:tc>
          <w:tcPr>
            <w:tcW w:w="856" w:type="dxa"/>
            <w:tcMar>
              <w:top w:w="0" w:type="dxa"/>
              <w:left w:w="68" w:type="dxa"/>
              <w:bottom w:w="0" w:type="dxa"/>
              <w:right w:w="68" w:type="dxa"/>
            </w:tcMar>
            <w:hideMark/>
          </w:tcPr>
          <w:p w14:paraId="7FAFD727"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0.756</w:t>
            </w:r>
          </w:p>
          <w:p w14:paraId="17DDE9E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1.305</w:t>
            </w:r>
          </w:p>
          <w:p w14:paraId="3764258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0.131</w:t>
            </w:r>
          </w:p>
        </w:tc>
      </w:tr>
      <w:tr w:rsidR="003D4821" w:rsidRPr="00525460" w14:paraId="6FB4509D" w14:textId="77777777" w:rsidTr="00907F81">
        <w:trPr>
          <w:trHeight w:val="255"/>
        </w:trPr>
        <w:tc>
          <w:tcPr>
            <w:tcW w:w="1720" w:type="dxa"/>
            <w:noWrap/>
            <w:hideMark/>
          </w:tcPr>
          <w:p w14:paraId="0DA924CD" w14:textId="77777777" w:rsidR="003D4821" w:rsidRPr="00525460" w:rsidRDefault="003D4821" w:rsidP="00907F81">
            <w:pPr>
              <w:contextualSpacing/>
              <w:rPr>
                <w:rFonts w:eastAsia="Calibri"/>
                <w:szCs w:val="22"/>
                <w:lang w:val="en-GB"/>
              </w:rPr>
            </w:pPr>
            <w:r w:rsidRPr="00525460">
              <w:rPr>
                <w:rFonts w:eastAsia="Calibri"/>
                <w:i/>
                <w:szCs w:val="22"/>
                <w:lang w:val="en-GB"/>
              </w:rPr>
              <w:t>ε</w:t>
            </w:r>
            <w:r w:rsidRPr="00525460">
              <w:rPr>
                <w:rFonts w:eastAsia="Calibri"/>
                <w:szCs w:val="22"/>
                <w:lang w:val="en-GB"/>
              </w:rPr>
              <w:t xml:space="preserve"> (m</w:t>
            </w:r>
            <w:r w:rsidRPr="00525460">
              <w:rPr>
                <w:rFonts w:eastAsia="Calibri"/>
                <w:szCs w:val="22"/>
                <w:vertAlign w:val="superscript"/>
                <w:lang w:val="en-GB"/>
              </w:rPr>
              <w:t>2</w:t>
            </w:r>
            <w:r w:rsidRPr="00525460">
              <w:rPr>
                <w:rFonts w:eastAsia="Calibri"/>
                <w:szCs w:val="22"/>
                <w:lang w:val="en-GB"/>
              </w:rPr>
              <w:t>/s</w:t>
            </w:r>
            <w:r w:rsidRPr="00525460">
              <w:rPr>
                <w:rFonts w:eastAsia="Calibri"/>
                <w:szCs w:val="22"/>
                <w:vertAlign w:val="superscript"/>
                <w:lang w:val="en-GB"/>
              </w:rPr>
              <w:t>3</w:t>
            </w:r>
            <w:r w:rsidRPr="00525460">
              <w:rPr>
                <w:rFonts w:eastAsia="Calibri"/>
                <w:szCs w:val="22"/>
                <w:lang w:val="en-GB"/>
              </w:rPr>
              <w:t>)</w:t>
            </w:r>
          </w:p>
        </w:tc>
        <w:tc>
          <w:tcPr>
            <w:tcW w:w="912" w:type="dxa"/>
            <w:noWrap/>
            <w:tcMar>
              <w:top w:w="0" w:type="dxa"/>
              <w:left w:w="68" w:type="dxa"/>
              <w:bottom w:w="0" w:type="dxa"/>
              <w:right w:w="68" w:type="dxa"/>
            </w:tcMar>
            <w:vAlign w:val="center"/>
            <w:hideMark/>
          </w:tcPr>
          <w:p w14:paraId="2CF587F8"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1.18</w:t>
            </w:r>
          </w:p>
        </w:tc>
        <w:tc>
          <w:tcPr>
            <w:tcW w:w="856" w:type="dxa"/>
            <w:noWrap/>
            <w:tcMar>
              <w:top w:w="0" w:type="dxa"/>
              <w:left w:w="68" w:type="dxa"/>
              <w:bottom w:w="0" w:type="dxa"/>
              <w:right w:w="68" w:type="dxa"/>
            </w:tcMar>
            <w:vAlign w:val="center"/>
            <w:hideMark/>
          </w:tcPr>
          <w:p w14:paraId="626DF11C"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1.18</w:t>
            </w:r>
          </w:p>
        </w:tc>
        <w:tc>
          <w:tcPr>
            <w:tcW w:w="911" w:type="dxa"/>
            <w:noWrap/>
            <w:tcMar>
              <w:top w:w="0" w:type="dxa"/>
              <w:left w:w="68" w:type="dxa"/>
              <w:bottom w:w="0" w:type="dxa"/>
              <w:right w:w="68" w:type="dxa"/>
            </w:tcMar>
            <w:vAlign w:val="center"/>
            <w:hideMark/>
          </w:tcPr>
          <w:p w14:paraId="2EC7ABF8"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2.4</w:t>
            </w:r>
          </w:p>
        </w:tc>
        <w:tc>
          <w:tcPr>
            <w:tcW w:w="800" w:type="dxa"/>
            <w:tcMar>
              <w:top w:w="0" w:type="dxa"/>
              <w:left w:w="68" w:type="dxa"/>
              <w:bottom w:w="0" w:type="dxa"/>
              <w:right w:w="68" w:type="dxa"/>
            </w:tcMar>
            <w:vAlign w:val="center"/>
            <w:hideMark/>
          </w:tcPr>
          <w:p w14:paraId="3D1D190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2.4</w:t>
            </w:r>
          </w:p>
        </w:tc>
        <w:tc>
          <w:tcPr>
            <w:tcW w:w="856" w:type="dxa"/>
            <w:tcMar>
              <w:top w:w="0" w:type="dxa"/>
              <w:left w:w="68" w:type="dxa"/>
              <w:bottom w:w="0" w:type="dxa"/>
              <w:right w:w="68" w:type="dxa"/>
            </w:tcMar>
            <w:vAlign w:val="center"/>
            <w:hideMark/>
          </w:tcPr>
          <w:p w14:paraId="20568D9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1.18</w:t>
            </w:r>
          </w:p>
        </w:tc>
        <w:tc>
          <w:tcPr>
            <w:tcW w:w="855" w:type="dxa"/>
            <w:tcMar>
              <w:top w:w="0" w:type="dxa"/>
              <w:left w:w="68" w:type="dxa"/>
              <w:bottom w:w="0" w:type="dxa"/>
              <w:right w:w="68" w:type="dxa"/>
            </w:tcMar>
            <w:vAlign w:val="center"/>
            <w:hideMark/>
          </w:tcPr>
          <w:p w14:paraId="3381D3F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1.18</w:t>
            </w:r>
          </w:p>
        </w:tc>
        <w:tc>
          <w:tcPr>
            <w:tcW w:w="856" w:type="dxa"/>
            <w:tcMar>
              <w:top w:w="0" w:type="dxa"/>
              <w:left w:w="68" w:type="dxa"/>
              <w:bottom w:w="0" w:type="dxa"/>
              <w:right w:w="68" w:type="dxa"/>
            </w:tcMar>
            <w:vAlign w:val="center"/>
            <w:hideMark/>
          </w:tcPr>
          <w:p w14:paraId="16AD4781"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2.4</w:t>
            </w:r>
          </w:p>
        </w:tc>
        <w:tc>
          <w:tcPr>
            <w:tcW w:w="856" w:type="dxa"/>
            <w:tcMar>
              <w:top w:w="0" w:type="dxa"/>
              <w:left w:w="68" w:type="dxa"/>
              <w:bottom w:w="0" w:type="dxa"/>
              <w:right w:w="68" w:type="dxa"/>
            </w:tcMar>
            <w:vAlign w:val="center"/>
            <w:hideMark/>
          </w:tcPr>
          <w:p w14:paraId="109CF01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2.4</w:t>
            </w:r>
          </w:p>
        </w:tc>
      </w:tr>
      <w:tr w:rsidR="003D4821" w:rsidRPr="00525460" w14:paraId="08E3F07B" w14:textId="77777777" w:rsidTr="00907F81">
        <w:trPr>
          <w:trHeight w:val="255"/>
        </w:trPr>
        <w:tc>
          <w:tcPr>
            <w:tcW w:w="1720" w:type="dxa"/>
            <w:noWrap/>
            <w:hideMark/>
          </w:tcPr>
          <w:p w14:paraId="73858D32" w14:textId="77777777" w:rsidR="003D4821" w:rsidRPr="00525460" w:rsidRDefault="003D4821" w:rsidP="00907F81">
            <w:pPr>
              <w:contextualSpacing/>
              <w:rPr>
                <w:rFonts w:eastAsia="Calibri"/>
                <w:i/>
                <w:szCs w:val="22"/>
                <w:lang w:val="en-GB"/>
              </w:rPr>
            </w:pPr>
            <w:r w:rsidRPr="00525460">
              <w:rPr>
                <w:rFonts w:eastAsia="Calibri"/>
                <w:i/>
                <w:szCs w:val="22"/>
                <w:lang w:val="en-GB"/>
              </w:rPr>
              <w:t>α</w:t>
            </w:r>
            <w:r w:rsidRPr="00525460">
              <w:rPr>
                <w:rFonts w:eastAsia="Calibri"/>
                <w:i/>
                <w:szCs w:val="22"/>
                <w:vertAlign w:val="subscript"/>
                <w:lang w:val="en-GB"/>
              </w:rPr>
              <w:t>g</w:t>
            </w:r>
          </w:p>
        </w:tc>
        <w:tc>
          <w:tcPr>
            <w:tcW w:w="912" w:type="dxa"/>
            <w:noWrap/>
            <w:tcMar>
              <w:top w:w="0" w:type="dxa"/>
              <w:left w:w="68" w:type="dxa"/>
              <w:bottom w:w="0" w:type="dxa"/>
              <w:right w:w="68" w:type="dxa"/>
            </w:tcMar>
            <w:vAlign w:val="center"/>
            <w:hideMark/>
          </w:tcPr>
          <w:p w14:paraId="6586A23C"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0.23</w:t>
            </w:r>
          </w:p>
        </w:tc>
        <w:tc>
          <w:tcPr>
            <w:tcW w:w="856" w:type="dxa"/>
            <w:noWrap/>
            <w:tcMar>
              <w:top w:w="0" w:type="dxa"/>
              <w:left w:w="68" w:type="dxa"/>
              <w:bottom w:w="0" w:type="dxa"/>
              <w:right w:w="68" w:type="dxa"/>
            </w:tcMar>
            <w:vAlign w:val="center"/>
            <w:hideMark/>
          </w:tcPr>
          <w:p w14:paraId="790AC75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0.23</w:t>
            </w:r>
          </w:p>
        </w:tc>
        <w:tc>
          <w:tcPr>
            <w:tcW w:w="911" w:type="dxa"/>
            <w:noWrap/>
            <w:tcMar>
              <w:top w:w="0" w:type="dxa"/>
              <w:left w:w="68" w:type="dxa"/>
              <w:bottom w:w="0" w:type="dxa"/>
              <w:right w:w="68" w:type="dxa"/>
            </w:tcMar>
            <w:vAlign w:val="center"/>
            <w:hideMark/>
          </w:tcPr>
          <w:p w14:paraId="2D8F266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0.23</w:t>
            </w:r>
          </w:p>
        </w:tc>
        <w:tc>
          <w:tcPr>
            <w:tcW w:w="800" w:type="dxa"/>
            <w:tcMar>
              <w:top w:w="0" w:type="dxa"/>
              <w:left w:w="68" w:type="dxa"/>
              <w:bottom w:w="0" w:type="dxa"/>
              <w:right w:w="68" w:type="dxa"/>
            </w:tcMar>
            <w:vAlign w:val="center"/>
            <w:hideMark/>
          </w:tcPr>
          <w:p w14:paraId="67C0512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0.23</w:t>
            </w:r>
          </w:p>
        </w:tc>
        <w:tc>
          <w:tcPr>
            <w:tcW w:w="856" w:type="dxa"/>
            <w:tcMar>
              <w:top w:w="0" w:type="dxa"/>
              <w:left w:w="68" w:type="dxa"/>
              <w:bottom w:w="0" w:type="dxa"/>
              <w:right w:w="68" w:type="dxa"/>
            </w:tcMar>
            <w:vAlign w:val="center"/>
            <w:hideMark/>
          </w:tcPr>
          <w:p w14:paraId="57F5E69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0.11</w:t>
            </w:r>
          </w:p>
        </w:tc>
        <w:tc>
          <w:tcPr>
            <w:tcW w:w="855" w:type="dxa"/>
            <w:tcMar>
              <w:top w:w="0" w:type="dxa"/>
              <w:left w:w="68" w:type="dxa"/>
              <w:bottom w:w="0" w:type="dxa"/>
              <w:right w:w="68" w:type="dxa"/>
            </w:tcMar>
            <w:vAlign w:val="center"/>
            <w:hideMark/>
          </w:tcPr>
          <w:p w14:paraId="0F9BE2C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0.11</w:t>
            </w:r>
          </w:p>
        </w:tc>
        <w:tc>
          <w:tcPr>
            <w:tcW w:w="856" w:type="dxa"/>
            <w:tcMar>
              <w:top w:w="0" w:type="dxa"/>
              <w:left w:w="68" w:type="dxa"/>
              <w:bottom w:w="0" w:type="dxa"/>
              <w:right w:w="68" w:type="dxa"/>
            </w:tcMar>
            <w:vAlign w:val="center"/>
            <w:hideMark/>
          </w:tcPr>
          <w:p w14:paraId="6A57E7C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0.11</w:t>
            </w:r>
          </w:p>
        </w:tc>
        <w:tc>
          <w:tcPr>
            <w:tcW w:w="856" w:type="dxa"/>
            <w:tcMar>
              <w:top w:w="0" w:type="dxa"/>
              <w:left w:w="68" w:type="dxa"/>
              <w:bottom w:w="0" w:type="dxa"/>
              <w:right w:w="68" w:type="dxa"/>
            </w:tcMar>
            <w:vAlign w:val="center"/>
            <w:hideMark/>
          </w:tcPr>
          <w:p w14:paraId="49637DF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0.11</w:t>
            </w:r>
          </w:p>
        </w:tc>
      </w:tr>
      <w:tr w:rsidR="003D4821" w:rsidRPr="00525460" w14:paraId="047A56BE" w14:textId="77777777" w:rsidTr="00907F81">
        <w:trPr>
          <w:trHeight w:val="255"/>
        </w:trPr>
        <w:tc>
          <w:tcPr>
            <w:tcW w:w="1720" w:type="dxa"/>
            <w:noWrap/>
            <w:hideMark/>
          </w:tcPr>
          <w:p w14:paraId="2B8D554F" w14:textId="77777777" w:rsidR="003D4821" w:rsidRPr="00525460" w:rsidRDefault="003D4821" w:rsidP="00907F81">
            <w:pPr>
              <w:contextualSpacing/>
              <w:rPr>
                <w:rFonts w:eastAsia="Calibri"/>
                <w:szCs w:val="22"/>
                <w:lang w:val="en-GB"/>
              </w:rPr>
            </w:pPr>
            <w:r w:rsidRPr="00525460">
              <w:rPr>
                <w:rFonts w:eastAsia="Calibri"/>
                <w:i/>
                <w:szCs w:val="22"/>
                <w:lang w:val="en-GB"/>
              </w:rPr>
              <w:t>d</w:t>
            </w:r>
            <w:r w:rsidRPr="00525460">
              <w:rPr>
                <w:rFonts w:eastAsia="Calibri"/>
                <w:i/>
                <w:szCs w:val="22"/>
                <w:vertAlign w:val="subscript"/>
                <w:lang w:val="en-GB"/>
              </w:rPr>
              <w:t>mean</w:t>
            </w:r>
            <w:r w:rsidRPr="00525460">
              <w:rPr>
                <w:rFonts w:eastAsia="Calibri"/>
                <w:szCs w:val="22"/>
                <w:lang w:val="en-GB"/>
              </w:rPr>
              <w:t xml:space="preserve"> initial (cm)</w:t>
            </w:r>
          </w:p>
        </w:tc>
        <w:tc>
          <w:tcPr>
            <w:tcW w:w="912" w:type="dxa"/>
            <w:noWrap/>
            <w:tcMar>
              <w:top w:w="0" w:type="dxa"/>
              <w:left w:w="68" w:type="dxa"/>
              <w:bottom w:w="0" w:type="dxa"/>
              <w:right w:w="68" w:type="dxa"/>
            </w:tcMar>
            <w:vAlign w:val="center"/>
            <w:hideMark/>
          </w:tcPr>
          <w:p w14:paraId="680E7B2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0.22</w:t>
            </w:r>
          </w:p>
        </w:tc>
        <w:tc>
          <w:tcPr>
            <w:tcW w:w="856" w:type="dxa"/>
            <w:noWrap/>
            <w:tcMar>
              <w:top w:w="0" w:type="dxa"/>
              <w:left w:w="68" w:type="dxa"/>
              <w:bottom w:w="0" w:type="dxa"/>
              <w:right w:w="68" w:type="dxa"/>
            </w:tcMar>
            <w:vAlign w:val="center"/>
            <w:hideMark/>
          </w:tcPr>
          <w:p w14:paraId="0E96B37A"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w:t>
            </w:r>
          </w:p>
        </w:tc>
        <w:tc>
          <w:tcPr>
            <w:tcW w:w="911" w:type="dxa"/>
            <w:noWrap/>
            <w:tcMar>
              <w:top w:w="0" w:type="dxa"/>
              <w:left w:w="68" w:type="dxa"/>
              <w:bottom w:w="0" w:type="dxa"/>
              <w:right w:w="68" w:type="dxa"/>
            </w:tcMar>
            <w:vAlign w:val="center"/>
            <w:hideMark/>
          </w:tcPr>
          <w:p w14:paraId="467006E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0.22</w:t>
            </w:r>
          </w:p>
        </w:tc>
        <w:tc>
          <w:tcPr>
            <w:tcW w:w="800" w:type="dxa"/>
            <w:tcMar>
              <w:top w:w="0" w:type="dxa"/>
              <w:left w:w="68" w:type="dxa"/>
              <w:bottom w:w="0" w:type="dxa"/>
              <w:right w:w="68" w:type="dxa"/>
            </w:tcMar>
            <w:vAlign w:val="center"/>
            <w:hideMark/>
          </w:tcPr>
          <w:p w14:paraId="52C636A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w:t>
            </w:r>
          </w:p>
        </w:tc>
        <w:tc>
          <w:tcPr>
            <w:tcW w:w="856" w:type="dxa"/>
            <w:tcMar>
              <w:top w:w="0" w:type="dxa"/>
              <w:left w:w="68" w:type="dxa"/>
              <w:bottom w:w="0" w:type="dxa"/>
              <w:right w:w="68" w:type="dxa"/>
            </w:tcMar>
            <w:vAlign w:val="center"/>
            <w:hideMark/>
          </w:tcPr>
          <w:p w14:paraId="192C1B0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0.22</w:t>
            </w:r>
          </w:p>
        </w:tc>
        <w:tc>
          <w:tcPr>
            <w:tcW w:w="855" w:type="dxa"/>
            <w:tcMar>
              <w:top w:w="0" w:type="dxa"/>
              <w:left w:w="68" w:type="dxa"/>
              <w:bottom w:w="0" w:type="dxa"/>
              <w:right w:w="68" w:type="dxa"/>
            </w:tcMar>
            <w:vAlign w:val="center"/>
            <w:hideMark/>
          </w:tcPr>
          <w:p w14:paraId="4C15E4BC"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w:t>
            </w:r>
          </w:p>
        </w:tc>
        <w:tc>
          <w:tcPr>
            <w:tcW w:w="856" w:type="dxa"/>
            <w:tcMar>
              <w:top w:w="0" w:type="dxa"/>
              <w:left w:w="68" w:type="dxa"/>
              <w:bottom w:w="0" w:type="dxa"/>
              <w:right w:w="68" w:type="dxa"/>
            </w:tcMar>
            <w:vAlign w:val="center"/>
            <w:hideMark/>
          </w:tcPr>
          <w:p w14:paraId="7EF4F08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0.22</w:t>
            </w:r>
          </w:p>
        </w:tc>
        <w:tc>
          <w:tcPr>
            <w:tcW w:w="856" w:type="dxa"/>
            <w:tcMar>
              <w:top w:w="0" w:type="dxa"/>
              <w:left w:w="68" w:type="dxa"/>
              <w:bottom w:w="0" w:type="dxa"/>
              <w:right w:w="68" w:type="dxa"/>
            </w:tcMar>
            <w:vAlign w:val="center"/>
            <w:hideMark/>
          </w:tcPr>
          <w:p w14:paraId="15BCBBB9"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0.5</w:t>
            </w:r>
          </w:p>
        </w:tc>
      </w:tr>
      <w:tr w:rsidR="003D4821" w:rsidRPr="00525460" w14:paraId="05C19150" w14:textId="77777777" w:rsidTr="00907F81">
        <w:trPr>
          <w:trHeight w:val="255"/>
        </w:trPr>
        <w:tc>
          <w:tcPr>
            <w:tcW w:w="1720" w:type="dxa"/>
            <w:noWrap/>
            <w:hideMark/>
          </w:tcPr>
          <w:p w14:paraId="645E62C8" w14:textId="77777777" w:rsidR="003D4821" w:rsidRPr="00525460" w:rsidRDefault="003D4821" w:rsidP="00907F81">
            <w:pPr>
              <w:contextualSpacing/>
              <w:rPr>
                <w:rFonts w:eastAsia="Calibri"/>
                <w:szCs w:val="22"/>
                <w:lang w:val="en-GB"/>
              </w:rPr>
            </w:pPr>
            <w:r w:rsidRPr="00525460">
              <w:rPr>
                <w:rFonts w:eastAsia="Calibri"/>
                <w:i/>
                <w:szCs w:val="22"/>
                <w:lang w:val="en-GB"/>
              </w:rPr>
              <w:t>d</w:t>
            </w:r>
            <w:r w:rsidRPr="00525460">
              <w:rPr>
                <w:rFonts w:eastAsia="Calibri"/>
                <w:i/>
                <w:szCs w:val="22"/>
                <w:vertAlign w:val="subscript"/>
                <w:lang w:val="en-GB"/>
              </w:rPr>
              <w:t>32</w:t>
            </w:r>
            <w:r w:rsidRPr="00525460">
              <w:rPr>
                <w:rFonts w:eastAsia="Calibri"/>
                <w:szCs w:val="22"/>
                <w:lang w:val="en-GB"/>
              </w:rPr>
              <w:t xml:space="preserve"> (cm)</w:t>
            </w:r>
          </w:p>
        </w:tc>
        <w:tc>
          <w:tcPr>
            <w:tcW w:w="912" w:type="dxa"/>
            <w:noWrap/>
            <w:tcMar>
              <w:top w:w="0" w:type="dxa"/>
              <w:left w:w="68" w:type="dxa"/>
              <w:bottom w:w="0" w:type="dxa"/>
              <w:right w:w="68" w:type="dxa"/>
            </w:tcMar>
            <w:vAlign w:val="center"/>
            <w:hideMark/>
          </w:tcPr>
          <w:p w14:paraId="14006F7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0.41</w:t>
            </w:r>
          </w:p>
        </w:tc>
        <w:tc>
          <w:tcPr>
            <w:tcW w:w="856" w:type="dxa"/>
            <w:noWrap/>
            <w:tcMar>
              <w:top w:w="0" w:type="dxa"/>
              <w:left w:w="68" w:type="dxa"/>
              <w:bottom w:w="0" w:type="dxa"/>
              <w:right w:w="68" w:type="dxa"/>
            </w:tcMar>
            <w:vAlign w:val="center"/>
            <w:hideMark/>
          </w:tcPr>
          <w:p w14:paraId="6FC210A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0.41</w:t>
            </w:r>
          </w:p>
        </w:tc>
        <w:tc>
          <w:tcPr>
            <w:tcW w:w="911" w:type="dxa"/>
            <w:noWrap/>
            <w:tcMar>
              <w:top w:w="0" w:type="dxa"/>
              <w:left w:w="68" w:type="dxa"/>
              <w:bottom w:w="0" w:type="dxa"/>
              <w:right w:w="68" w:type="dxa"/>
            </w:tcMar>
            <w:vAlign w:val="center"/>
            <w:hideMark/>
          </w:tcPr>
          <w:p w14:paraId="03050B38"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0.30</w:t>
            </w:r>
          </w:p>
        </w:tc>
        <w:tc>
          <w:tcPr>
            <w:tcW w:w="800" w:type="dxa"/>
            <w:tcMar>
              <w:top w:w="0" w:type="dxa"/>
              <w:left w:w="68" w:type="dxa"/>
              <w:bottom w:w="0" w:type="dxa"/>
              <w:right w:w="68" w:type="dxa"/>
            </w:tcMar>
            <w:vAlign w:val="center"/>
            <w:hideMark/>
          </w:tcPr>
          <w:p w14:paraId="738C1A43"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0.30</w:t>
            </w:r>
          </w:p>
        </w:tc>
        <w:tc>
          <w:tcPr>
            <w:tcW w:w="856" w:type="dxa"/>
            <w:tcMar>
              <w:top w:w="0" w:type="dxa"/>
              <w:left w:w="68" w:type="dxa"/>
              <w:bottom w:w="0" w:type="dxa"/>
              <w:right w:w="68" w:type="dxa"/>
            </w:tcMar>
            <w:vAlign w:val="center"/>
            <w:hideMark/>
          </w:tcPr>
          <w:p w14:paraId="60D88203"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0.37</w:t>
            </w:r>
          </w:p>
        </w:tc>
        <w:tc>
          <w:tcPr>
            <w:tcW w:w="855" w:type="dxa"/>
            <w:tcMar>
              <w:top w:w="0" w:type="dxa"/>
              <w:left w:w="68" w:type="dxa"/>
              <w:bottom w:w="0" w:type="dxa"/>
              <w:right w:w="68" w:type="dxa"/>
            </w:tcMar>
            <w:vAlign w:val="center"/>
            <w:hideMark/>
          </w:tcPr>
          <w:p w14:paraId="6D009FC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0.37</w:t>
            </w:r>
          </w:p>
        </w:tc>
        <w:tc>
          <w:tcPr>
            <w:tcW w:w="856" w:type="dxa"/>
            <w:tcMar>
              <w:top w:w="0" w:type="dxa"/>
              <w:left w:w="68" w:type="dxa"/>
              <w:bottom w:w="0" w:type="dxa"/>
              <w:right w:w="68" w:type="dxa"/>
            </w:tcMar>
            <w:vAlign w:val="center"/>
            <w:hideMark/>
          </w:tcPr>
          <w:p w14:paraId="4BFF7F3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0.26</w:t>
            </w:r>
          </w:p>
        </w:tc>
        <w:tc>
          <w:tcPr>
            <w:tcW w:w="856" w:type="dxa"/>
            <w:tcMar>
              <w:top w:w="0" w:type="dxa"/>
              <w:left w:w="68" w:type="dxa"/>
              <w:bottom w:w="0" w:type="dxa"/>
              <w:right w:w="68" w:type="dxa"/>
            </w:tcMar>
            <w:vAlign w:val="center"/>
            <w:hideMark/>
          </w:tcPr>
          <w:p w14:paraId="23BF8798"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0.26</w:t>
            </w:r>
          </w:p>
        </w:tc>
      </w:tr>
      <w:tr w:rsidR="003D4821" w:rsidRPr="00525460" w14:paraId="4D52D22A" w14:textId="77777777" w:rsidTr="00907F81">
        <w:trPr>
          <w:trHeight w:val="255"/>
        </w:trPr>
        <w:tc>
          <w:tcPr>
            <w:tcW w:w="1720" w:type="dxa"/>
            <w:tcBorders>
              <w:top w:val="nil"/>
              <w:left w:val="nil"/>
              <w:bottom w:val="single" w:sz="4" w:space="0" w:color="auto"/>
              <w:right w:val="nil"/>
            </w:tcBorders>
            <w:noWrap/>
            <w:hideMark/>
          </w:tcPr>
          <w:p w14:paraId="6DF05B4A" w14:textId="77777777" w:rsidR="003D4821" w:rsidRPr="00525460" w:rsidRDefault="003D4821" w:rsidP="00907F81">
            <w:pPr>
              <w:contextualSpacing/>
              <w:rPr>
                <w:rFonts w:eastAsia="Calibri"/>
                <w:szCs w:val="22"/>
                <w:lang w:val="en-GB"/>
              </w:rPr>
            </w:pPr>
            <w:r w:rsidRPr="00525460">
              <w:rPr>
                <w:rFonts w:eastAsia="Calibri"/>
                <w:szCs w:val="22"/>
                <w:lang w:val="en-GB"/>
              </w:rPr>
              <w:t>CPU time (s)</w:t>
            </w:r>
          </w:p>
        </w:tc>
        <w:tc>
          <w:tcPr>
            <w:tcW w:w="912" w:type="dxa"/>
            <w:tcBorders>
              <w:top w:val="nil"/>
              <w:left w:val="nil"/>
              <w:bottom w:val="single" w:sz="4" w:space="0" w:color="auto"/>
              <w:right w:val="nil"/>
            </w:tcBorders>
            <w:noWrap/>
            <w:tcMar>
              <w:top w:w="0" w:type="dxa"/>
              <w:left w:w="68" w:type="dxa"/>
              <w:bottom w:w="0" w:type="dxa"/>
              <w:right w:w="68" w:type="dxa"/>
            </w:tcMar>
            <w:vAlign w:val="center"/>
            <w:hideMark/>
          </w:tcPr>
          <w:p w14:paraId="38EB0CA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16.54</w:t>
            </w:r>
          </w:p>
        </w:tc>
        <w:tc>
          <w:tcPr>
            <w:tcW w:w="856" w:type="dxa"/>
            <w:tcBorders>
              <w:top w:val="nil"/>
              <w:left w:val="nil"/>
              <w:bottom w:val="single" w:sz="4" w:space="0" w:color="auto"/>
              <w:right w:val="nil"/>
            </w:tcBorders>
            <w:noWrap/>
            <w:tcMar>
              <w:top w:w="0" w:type="dxa"/>
              <w:left w:w="68" w:type="dxa"/>
              <w:bottom w:w="0" w:type="dxa"/>
              <w:right w:w="68" w:type="dxa"/>
            </w:tcMar>
            <w:vAlign w:val="center"/>
            <w:hideMark/>
          </w:tcPr>
          <w:p w14:paraId="2C52778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16.30</w:t>
            </w:r>
          </w:p>
        </w:tc>
        <w:tc>
          <w:tcPr>
            <w:tcW w:w="911" w:type="dxa"/>
            <w:tcBorders>
              <w:top w:val="nil"/>
              <w:left w:val="nil"/>
              <w:bottom w:val="single" w:sz="4" w:space="0" w:color="auto"/>
              <w:right w:val="nil"/>
            </w:tcBorders>
            <w:noWrap/>
            <w:tcMar>
              <w:top w:w="0" w:type="dxa"/>
              <w:left w:w="68" w:type="dxa"/>
              <w:bottom w:w="0" w:type="dxa"/>
              <w:right w:w="68" w:type="dxa"/>
            </w:tcMar>
            <w:vAlign w:val="center"/>
            <w:hideMark/>
          </w:tcPr>
          <w:p w14:paraId="72BF793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26.15</w:t>
            </w:r>
          </w:p>
        </w:tc>
        <w:tc>
          <w:tcPr>
            <w:tcW w:w="800" w:type="dxa"/>
            <w:tcBorders>
              <w:top w:val="nil"/>
              <w:left w:val="nil"/>
              <w:bottom w:val="single" w:sz="4" w:space="0" w:color="auto"/>
              <w:right w:val="nil"/>
            </w:tcBorders>
            <w:tcMar>
              <w:top w:w="0" w:type="dxa"/>
              <w:left w:w="68" w:type="dxa"/>
              <w:bottom w:w="0" w:type="dxa"/>
              <w:right w:w="68" w:type="dxa"/>
            </w:tcMar>
            <w:vAlign w:val="center"/>
            <w:hideMark/>
          </w:tcPr>
          <w:p w14:paraId="3699F54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25.68</w:t>
            </w:r>
          </w:p>
        </w:tc>
        <w:tc>
          <w:tcPr>
            <w:tcW w:w="856" w:type="dxa"/>
            <w:tcBorders>
              <w:top w:val="nil"/>
              <w:left w:val="nil"/>
              <w:bottom w:val="single" w:sz="4" w:space="0" w:color="auto"/>
              <w:right w:val="nil"/>
            </w:tcBorders>
            <w:tcMar>
              <w:top w:w="0" w:type="dxa"/>
              <w:left w:w="68" w:type="dxa"/>
              <w:bottom w:w="0" w:type="dxa"/>
              <w:right w:w="68" w:type="dxa"/>
            </w:tcMar>
            <w:vAlign w:val="center"/>
            <w:hideMark/>
          </w:tcPr>
          <w:p w14:paraId="4B640EA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12.96</w:t>
            </w:r>
          </w:p>
        </w:tc>
        <w:tc>
          <w:tcPr>
            <w:tcW w:w="855" w:type="dxa"/>
            <w:tcBorders>
              <w:top w:val="nil"/>
              <w:left w:val="nil"/>
              <w:bottom w:val="single" w:sz="4" w:space="0" w:color="auto"/>
              <w:right w:val="nil"/>
            </w:tcBorders>
            <w:tcMar>
              <w:top w:w="0" w:type="dxa"/>
              <w:left w:w="68" w:type="dxa"/>
              <w:bottom w:w="0" w:type="dxa"/>
              <w:right w:w="68" w:type="dxa"/>
            </w:tcMar>
            <w:vAlign w:val="center"/>
            <w:hideMark/>
          </w:tcPr>
          <w:p w14:paraId="5892A5F5"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13.13</w:t>
            </w:r>
          </w:p>
        </w:tc>
        <w:tc>
          <w:tcPr>
            <w:tcW w:w="856" w:type="dxa"/>
            <w:tcBorders>
              <w:top w:val="nil"/>
              <w:left w:val="nil"/>
              <w:bottom w:val="single" w:sz="4" w:space="0" w:color="auto"/>
              <w:right w:val="nil"/>
            </w:tcBorders>
            <w:tcMar>
              <w:top w:w="0" w:type="dxa"/>
              <w:left w:w="68" w:type="dxa"/>
              <w:bottom w:w="0" w:type="dxa"/>
              <w:right w:w="68" w:type="dxa"/>
            </w:tcMar>
            <w:vAlign w:val="center"/>
            <w:hideMark/>
          </w:tcPr>
          <w:p w14:paraId="0CF595ED"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21.23</w:t>
            </w:r>
          </w:p>
        </w:tc>
        <w:tc>
          <w:tcPr>
            <w:tcW w:w="856" w:type="dxa"/>
            <w:tcBorders>
              <w:top w:val="nil"/>
              <w:left w:val="nil"/>
              <w:bottom w:val="single" w:sz="4" w:space="0" w:color="auto"/>
              <w:right w:val="nil"/>
            </w:tcBorders>
            <w:tcMar>
              <w:top w:w="0" w:type="dxa"/>
              <w:left w:w="68" w:type="dxa"/>
              <w:bottom w:w="0" w:type="dxa"/>
              <w:right w:w="68" w:type="dxa"/>
            </w:tcMar>
            <w:vAlign w:val="center"/>
            <w:hideMark/>
          </w:tcPr>
          <w:p w14:paraId="44856A7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21.21</w:t>
            </w:r>
          </w:p>
        </w:tc>
      </w:tr>
    </w:tbl>
    <w:p w14:paraId="7D557B28" w14:textId="77777777" w:rsidR="003D4821" w:rsidRPr="00525460" w:rsidRDefault="003D4821" w:rsidP="003D4821">
      <w:pPr>
        <w:contextualSpacing/>
        <w:jc w:val="both"/>
        <w:rPr>
          <w:szCs w:val="22"/>
          <w:lang w:val="en-GB"/>
        </w:rPr>
      </w:pPr>
    </w:p>
    <w:p w14:paraId="5362AEEE" w14:textId="77777777" w:rsidR="003D4821" w:rsidRPr="00525460" w:rsidRDefault="003D4821" w:rsidP="003D4821">
      <w:pPr>
        <w:contextualSpacing/>
        <w:jc w:val="both"/>
        <w:rPr>
          <w:szCs w:val="22"/>
          <w:lang w:val="en-GB"/>
        </w:rPr>
      </w:pPr>
      <w:r w:rsidRPr="00525460">
        <w:rPr>
          <w:szCs w:val="22"/>
          <w:lang w:val="en-GB"/>
        </w:rPr>
        <w:t xml:space="preserve">As expected, higher turbulence dissipation rate promotes breakage to be the dominant mechanism in the system thus resulting to smaller mean bubble size. Theoretically, steady-state bubble size should be independent of any influence from initial bubble distribution and only dependent on turbulence dissipation rate and gas-hold up. The result obtained proves this theory as the final bubble size converged to a similar value despite having different initial bubble size (i.e. compare case 1 and 2 or case 3 and 4 or case 5 and 6 or case 7 and 8). Meanwhile, the effect of gas hold-up on the final bubble size can be observed when turbulent dissipation rate was set to constant (i.e. </w:t>
      </w:r>
      <w:r w:rsidRPr="00525460">
        <w:rPr>
          <w:i/>
          <w:szCs w:val="22"/>
          <w:lang w:val="en-GB" w:eastAsia="en-SG"/>
        </w:rPr>
        <w:t>ɛ</w:t>
      </w:r>
      <w:r w:rsidRPr="00525460">
        <w:rPr>
          <w:szCs w:val="22"/>
          <w:lang w:val="en-GB"/>
        </w:rPr>
        <w:t xml:space="preserve"> = 1.18 m</w:t>
      </w:r>
      <w:r w:rsidRPr="00525460">
        <w:rPr>
          <w:szCs w:val="22"/>
          <w:vertAlign w:val="superscript"/>
          <w:lang w:val="en-GB"/>
        </w:rPr>
        <w:t>2</w:t>
      </w:r>
      <w:r w:rsidRPr="00525460">
        <w:rPr>
          <w:szCs w:val="22"/>
          <w:lang w:val="en-GB"/>
        </w:rPr>
        <w:t>/s</w:t>
      </w:r>
      <w:r w:rsidRPr="00525460">
        <w:rPr>
          <w:szCs w:val="22"/>
          <w:vertAlign w:val="superscript"/>
          <w:lang w:val="en-GB"/>
        </w:rPr>
        <w:t>3</w:t>
      </w:r>
      <w:r w:rsidRPr="00525460">
        <w:rPr>
          <w:szCs w:val="22"/>
          <w:lang w:val="en-GB"/>
        </w:rPr>
        <w:t xml:space="preserve"> for cases 1, 2, 5, and 6). It shows that the final stable bubble size increases with increasing gas-hold up. This is due to increment in bubble-bubble collisions at higher gas hold-up, </w:t>
      </w:r>
      <w:r w:rsidRPr="00525460">
        <w:rPr>
          <w:szCs w:val="22"/>
          <w:lang w:val="en-GB"/>
        </w:rPr>
        <w:lastRenderedPageBreak/>
        <w:t xml:space="preserve">resulting to more coalescence events to take place. Breakage driven bubble-eddy collisions may also increase with increasing gas hold-up, however the rate is much slower than coalescence processes since the break-up kernel depends upon </w:t>
      </w:r>
      <w:r w:rsidRPr="00525460">
        <w:rPr>
          <w:position w:val="-12"/>
          <w:szCs w:val="22"/>
          <w:lang w:val="en-GB"/>
        </w:rPr>
        <w:object w:dxaOrig="255" w:dyaOrig="360" w14:anchorId="49DBA929">
          <v:shape id="_x0000_i1033" type="#_x0000_t75" style="width:12pt;height:19.5pt" o:ole="">
            <v:imagedata r:id="rId24" o:title=""/>
          </v:shape>
          <o:OLEObject Type="Embed" ProgID="Equation.3" ShapeID="_x0000_i1033" DrawAspect="Content" ObjectID="_1523979437" r:id="rId25"/>
        </w:object>
      </w:r>
      <w:r w:rsidRPr="00525460">
        <w:rPr>
          <w:szCs w:val="22"/>
          <w:lang w:val="en-GB"/>
        </w:rPr>
        <w:t xml:space="preserve"> from Eq. 14 in comparison with </w:t>
      </w:r>
      <w:r w:rsidRPr="00525460">
        <w:rPr>
          <w:position w:val="-12"/>
          <w:szCs w:val="22"/>
          <w:lang w:val="en-GB"/>
        </w:rPr>
        <w:object w:dxaOrig="285" w:dyaOrig="375" w14:anchorId="0AF55D71">
          <v:shape id="_x0000_i1034" type="#_x0000_t75" style="width:14.25pt;height:19.5pt" o:ole="">
            <v:imagedata r:id="rId26" o:title=""/>
          </v:shape>
          <o:OLEObject Type="Embed" ProgID="Equation.3" ShapeID="_x0000_i1034" DrawAspect="Content" ObjectID="_1523979438" r:id="rId27"/>
        </w:object>
      </w:r>
      <w:r w:rsidRPr="00525460">
        <w:rPr>
          <w:szCs w:val="22"/>
          <w:lang w:val="en-GB"/>
        </w:rPr>
        <w:t xml:space="preserve"> in the coalescence kernel from Eq. 9. The combination of higher turbulence dissipation rate and lower gas hold-up produce even smaller bubbles as seen in case 7 and 8. This demonstrates that the present algorithm is capable of predicting qualitatively, the evolution of mean bubble size in gas-liquid dispersion, with respect to the variables.</w:t>
      </w:r>
    </w:p>
    <w:p w14:paraId="0BDDD4FA" w14:textId="77777777" w:rsidR="003D4821" w:rsidRPr="00525460" w:rsidRDefault="003D4821" w:rsidP="003D4821">
      <w:pPr>
        <w:contextualSpacing/>
        <w:jc w:val="both"/>
        <w:rPr>
          <w:szCs w:val="22"/>
          <w:lang w:val="en-GB"/>
        </w:rPr>
      </w:pPr>
    </w:p>
    <w:p w14:paraId="58403F9A" w14:textId="77777777" w:rsidR="003D4821" w:rsidRPr="00525460" w:rsidRDefault="003D4821" w:rsidP="003D4821">
      <w:pPr>
        <w:contextualSpacing/>
        <w:jc w:val="both"/>
        <w:rPr>
          <w:szCs w:val="22"/>
          <w:lang w:val="en-GB"/>
        </w:rPr>
      </w:pPr>
      <w:r w:rsidRPr="00525460">
        <w:rPr>
          <w:szCs w:val="22"/>
          <w:lang w:val="en-GB"/>
        </w:rPr>
        <w:t xml:space="preserve">A further comparison on the BSD was also evaluated between coalescence dominant mechanism and breakage dominant mechanism through the evolution of moments. By definition, the sum of QMOM weights is equivalent to the number of bubbles per unit volume. Assuming a spherical bubble, volume of gas, </w:t>
      </w:r>
      <w:r w:rsidRPr="00525460">
        <w:rPr>
          <w:position w:val="-14"/>
          <w:szCs w:val="22"/>
          <w:lang w:val="en-GB"/>
        </w:rPr>
        <w:object w:dxaOrig="279" w:dyaOrig="380" w14:anchorId="020E7FD6">
          <v:shape id="_x0000_i1035" type="#_x0000_t75" style="width:14.25pt;height:20.25pt" o:ole="">
            <v:imagedata r:id="rId28" o:title=""/>
          </v:shape>
          <o:OLEObject Type="Embed" ProgID="Equation.3" ShapeID="_x0000_i1035" DrawAspect="Content" ObjectID="_1523979439" r:id="rId29"/>
        </w:object>
      </w:r>
      <w:r w:rsidRPr="00525460">
        <w:rPr>
          <w:szCs w:val="22"/>
          <w:lang w:val="en-GB"/>
        </w:rPr>
        <w:t xml:space="preserve"> from the abscissas and weights may be estimated from:</w:t>
      </w:r>
    </w:p>
    <w:p w14:paraId="33D4ED68" w14:textId="77777777" w:rsidR="003D4821" w:rsidRPr="00525460" w:rsidRDefault="003D4821" w:rsidP="003D4821">
      <w:pPr>
        <w:contextualSpacing/>
        <w:jc w:val="both"/>
        <w:rPr>
          <w:szCs w:val="22"/>
          <w:lang w:val="en-GB"/>
        </w:rPr>
      </w:pPr>
    </w:p>
    <w:tbl>
      <w:tblPr>
        <w:tblW w:w="0" w:type="auto"/>
        <w:tblLook w:val="01E0" w:firstRow="1" w:lastRow="1" w:firstColumn="1" w:lastColumn="1" w:noHBand="0" w:noVBand="0"/>
      </w:tblPr>
      <w:tblGrid>
        <w:gridCol w:w="4216"/>
        <w:gridCol w:w="4424"/>
      </w:tblGrid>
      <w:tr w:rsidR="003D4821" w:rsidRPr="00525460" w14:paraId="09FD04FC" w14:textId="77777777" w:rsidTr="00907F81">
        <w:tc>
          <w:tcPr>
            <w:tcW w:w="4240" w:type="dxa"/>
            <w:hideMark/>
          </w:tcPr>
          <w:p w14:paraId="0AA48F4B" w14:textId="77777777" w:rsidR="003D4821" w:rsidRPr="00525460" w:rsidRDefault="003D4821" w:rsidP="00907F81">
            <w:pPr>
              <w:contextualSpacing/>
              <w:jc w:val="both"/>
              <w:rPr>
                <w:szCs w:val="22"/>
                <w:lang w:val="en-GB"/>
              </w:rPr>
            </w:pPr>
            <w:r w:rsidRPr="00525460">
              <w:rPr>
                <w:position w:val="-28"/>
                <w:szCs w:val="22"/>
                <w:lang w:val="en-GB"/>
              </w:rPr>
              <w:object w:dxaOrig="2320" w:dyaOrig="700" w14:anchorId="014AE8AC">
                <v:shape id="_x0000_i1036" type="#_x0000_t75" style="width:116.25pt;height:35.25pt" o:ole="">
                  <v:imagedata r:id="rId30" o:title=""/>
                </v:shape>
                <o:OLEObject Type="Embed" ProgID="Equation.3" ShapeID="_x0000_i1036" DrawAspect="Content" ObjectID="_1523979440" r:id="rId31"/>
              </w:object>
            </w:r>
          </w:p>
        </w:tc>
        <w:tc>
          <w:tcPr>
            <w:tcW w:w="4480" w:type="dxa"/>
            <w:hideMark/>
          </w:tcPr>
          <w:p w14:paraId="6619E1EC" w14:textId="2B935136" w:rsidR="003D4821" w:rsidRPr="00525460" w:rsidRDefault="00900C13" w:rsidP="00907F81">
            <w:pPr>
              <w:contextualSpacing/>
              <w:jc w:val="right"/>
              <w:rPr>
                <w:szCs w:val="22"/>
                <w:lang w:val="en-GB"/>
              </w:rPr>
            </w:pPr>
            <w:r>
              <w:rPr>
                <w:szCs w:val="22"/>
                <w:lang w:val="en-GB"/>
              </w:rPr>
              <w:t>(</w:t>
            </w:r>
            <w:r w:rsidR="00096AD6">
              <w:rPr>
                <w:szCs w:val="22"/>
                <w:lang w:val="en-GB"/>
              </w:rPr>
              <w:t>S3</w:t>
            </w:r>
            <w:r w:rsidR="003D4821" w:rsidRPr="00525460">
              <w:rPr>
                <w:szCs w:val="22"/>
                <w:lang w:val="en-GB"/>
              </w:rPr>
              <w:t>)</w:t>
            </w:r>
          </w:p>
        </w:tc>
      </w:tr>
    </w:tbl>
    <w:p w14:paraId="4AB500C0" w14:textId="77777777" w:rsidR="003D4821" w:rsidRPr="00525460" w:rsidRDefault="003D4821" w:rsidP="003D4821">
      <w:pPr>
        <w:contextualSpacing/>
        <w:jc w:val="both"/>
        <w:rPr>
          <w:szCs w:val="22"/>
          <w:lang w:val="en-GB"/>
        </w:rPr>
      </w:pPr>
    </w:p>
    <w:p w14:paraId="1CEAB159" w14:textId="77777777" w:rsidR="003D4821" w:rsidRPr="00525460" w:rsidRDefault="003D4821" w:rsidP="003D4821">
      <w:pPr>
        <w:contextualSpacing/>
        <w:jc w:val="both"/>
        <w:rPr>
          <w:szCs w:val="22"/>
          <w:lang w:val="en-GB"/>
        </w:rPr>
      </w:pPr>
      <w:r w:rsidRPr="00525460">
        <w:rPr>
          <w:szCs w:val="22"/>
          <w:lang w:val="en-GB"/>
        </w:rPr>
        <w:t xml:space="preserve">where </w:t>
      </w:r>
      <w:r w:rsidRPr="00525460">
        <w:rPr>
          <w:position w:val="-10"/>
          <w:szCs w:val="22"/>
          <w:lang w:val="en-GB"/>
        </w:rPr>
        <w:object w:dxaOrig="279" w:dyaOrig="340" w14:anchorId="31CCBD3E">
          <v:shape id="_x0000_i1037" type="#_x0000_t75" style="width:14.25pt;height:15.75pt" o:ole="">
            <v:imagedata r:id="rId32" o:title=""/>
          </v:shape>
          <o:OLEObject Type="Embed" ProgID="Equation.3" ShapeID="_x0000_i1037" DrawAspect="Content" ObjectID="_1523979441" r:id="rId33"/>
        </w:object>
      </w:r>
      <w:r w:rsidRPr="00525460">
        <w:rPr>
          <w:szCs w:val="22"/>
          <w:lang w:val="en-GB"/>
        </w:rPr>
        <w:t xml:space="preserve"> is the total dispersion volume. The gas volume in the whole system may also be obtained from:</w:t>
      </w:r>
    </w:p>
    <w:p w14:paraId="72A276E0" w14:textId="77777777" w:rsidR="003D4821" w:rsidRPr="00525460" w:rsidRDefault="003D4821" w:rsidP="003D4821">
      <w:pPr>
        <w:contextualSpacing/>
        <w:jc w:val="both"/>
        <w:rPr>
          <w:szCs w:val="22"/>
          <w:lang w:val="en-GB"/>
        </w:rPr>
      </w:pPr>
    </w:p>
    <w:tbl>
      <w:tblPr>
        <w:tblW w:w="0" w:type="auto"/>
        <w:tblLook w:val="01E0" w:firstRow="1" w:lastRow="1" w:firstColumn="1" w:lastColumn="1" w:noHBand="0" w:noVBand="0"/>
      </w:tblPr>
      <w:tblGrid>
        <w:gridCol w:w="4208"/>
        <w:gridCol w:w="4432"/>
      </w:tblGrid>
      <w:tr w:rsidR="003D4821" w:rsidRPr="00525460" w14:paraId="2B637C2C" w14:textId="77777777" w:rsidTr="00907F81">
        <w:tc>
          <w:tcPr>
            <w:tcW w:w="4240" w:type="dxa"/>
            <w:hideMark/>
          </w:tcPr>
          <w:p w14:paraId="5DB75D85" w14:textId="77777777" w:rsidR="003D4821" w:rsidRPr="00525460" w:rsidRDefault="003D4821" w:rsidP="00907F81">
            <w:pPr>
              <w:contextualSpacing/>
              <w:jc w:val="both"/>
              <w:rPr>
                <w:szCs w:val="22"/>
                <w:lang w:val="en-GB"/>
              </w:rPr>
            </w:pPr>
            <w:r w:rsidRPr="00525460">
              <w:rPr>
                <w:position w:val="-14"/>
                <w:szCs w:val="22"/>
                <w:lang w:val="en-GB"/>
              </w:rPr>
              <w:object w:dxaOrig="1500" w:dyaOrig="405" w14:anchorId="1684CB30">
                <v:shape id="_x0000_i1038" type="#_x0000_t75" style="width:73.5pt;height:20.25pt" o:ole="">
                  <v:imagedata r:id="rId34" o:title=""/>
                </v:shape>
                <o:OLEObject Type="Embed" ProgID="Equation.3" ShapeID="_x0000_i1038" DrawAspect="Content" ObjectID="_1523979442" r:id="rId35"/>
              </w:object>
            </w:r>
          </w:p>
        </w:tc>
        <w:tc>
          <w:tcPr>
            <w:tcW w:w="4480" w:type="dxa"/>
            <w:hideMark/>
          </w:tcPr>
          <w:p w14:paraId="5E8B91C1" w14:textId="686D5657" w:rsidR="003D4821" w:rsidRPr="00525460" w:rsidRDefault="00900C13" w:rsidP="00907F81">
            <w:pPr>
              <w:contextualSpacing/>
              <w:jc w:val="right"/>
              <w:rPr>
                <w:szCs w:val="22"/>
                <w:lang w:val="en-GB"/>
              </w:rPr>
            </w:pPr>
            <w:r>
              <w:rPr>
                <w:szCs w:val="22"/>
                <w:lang w:val="en-GB"/>
              </w:rPr>
              <w:t>(</w:t>
            </w:r>
            <w:r w:rsidR="00096AD6">
              <w:rPr>
                <w:szCs w:val="22"/>
                <w:lang w:val="en-GB"/>
              </w:rPr>
              <w:t>S4</w:t>
            </w:r>
            <w:r w:rsidR="003D4821" w:rsidRPr="00525460">
              <w:rPr>
                <w:szCs w:val="22"/>
                <w:lang w:val="en-GB"/>
              </w:rPr>
              <w:t>)</w:t>
            </w:r>
          </w:p>
        </w:tc>
      </w:tr>
    </w:tbl>
    <w:p w14:paraId="229F5C68" w14:textId="77777777" w:rsidR="003D4821" w:rsidRPr="00525460" w:rsidRDefault="003D4821" w:rsidP="003D4821">
      <w:pPr>
        <w:contextualSpacing/>
        <w:jc w:val="both"/>
        <w:rPr>
          <w:szCs w:val="22"/>
          <w:lang w:val="en-GB"/>
        </w:rPr>
      </w:pPr>
    </w:p>
    <w:p w14:paraId="56A8D301" w14:textId="77777777" w:rsidR="003D4821" w:rsidRPr="00525460" w:rsidRDefault="003D4821" w:rsidP="003D4821">
      <w:pPr>
        <w:contextualSpacing/>
        <w:jc w:val="both"/>
        <w:rPr>
          <w:szCs w:val="22"/>
          <w:lang w:val="en-GB"/>
        </w:rPr>
      </w:pPr>
      <w:r w:rsidRPr="00525460">
        <w:rPr>
          <w:szCs w:val="22"/>
          <w:lang w:val="en-GB"/>
        </w:rPr>
        <w:t xml:space="preserve">The third moment, </w:t>
      </w:r>
      <w:r w:rsidRPr="00525460">
        <w:rPr>
          <w:position w:val="-12"/>
          <w:szCs w:val="22"/>
          <w:lang w:val="en-GB"/>
        </w:rPr>
        <w:object w:dxaOrig="300" w:dyaOrig="360" w14:anchorId="7F73A4B2">
          <v:shape id="_x0000_i1039" type="#_x0000_t75" style="width:15pt;height:19.5pt" o:ole="">
            <v:imagedata r:id="rId36" o:title=""/>
          </v:shape>
          <o:OLEObject Type="Embed" ProgID="Equation.3" ShapeID="_x0000_i1039" DrawAspect="Content" ObjectID="_1523979443" r:id="rId37"/>
        </w:object>
      </w:r>
      <w:r w:rsidRPr="00525460">
        <w:rPr>
          <w:szCs w:val="22"/>
          <w:lang w:val="en-GB"/>
        </w:rPr>
        <w:t xml:space="preserve"> is related to </w:t>
      </w:r>
      <w:r w:rsidRPr="00525460">
        <w:rPr>
          <w:position w:val="-14"/>
          <w:szCs w:val="22"/>
          <w:lang w:val="en-GB"/>
        </w:rPr>
        <w:object w:dxaOrig="320" w:dyaOrig="380" w14:anchorId="12824853">
          <v:shape id="_x0000_i1040" type="#_x0000_t75" style="width:15.75pt;height:20.25pt" o:ole="">
            <v:imagedata r:id="rId38" o:title=""/>
          </v:shape>
          <o:OLEObject Type="Embed" ProgID="Equation.3" ShapeID="_x0000_i1040" DrawAspect="Content" ObjectID="_1523979444" r:id="rId39"/>
        </w:object>
      </w:r>
      <w:r w:rsidRPr="00525460">
        <w:rPr>
          <w:szCs w:val="22"/>
          <w:lang w:val="en-GB"/>
        </w:rPr>
        <w:t xml:space="preserve"> by the following relation:</w:t>
      </w:r>
    </w:p>
    <w:p w14:paraId="25B3A34F" w14:textId="77777777" w:rsidR="003D4821" w:rsidRPr="00525460" w:rsidRDefault="003D4821" w:rsidP="003D4821">
      <w:pPr>
        <w:contextualSpacing/>
        <w:jc w:val="both"/>
        <w:rPr>
          <w:szCs w:val="22"/>
          <w:lang w:val="en-GB"/>
        </w:rPr>
      </w:pPr>
    </w:p>
    <w:tbl>
      <w:tblPr>
        <w:tblW w:w="0" w:type="auto"/>
        <w:tblLook w:val="01E0" w:firstRow="1" w:lastRow="1" w:firstColumn="1" w:lastColumn="1" w:noHBand="0" w:noVBand="0"/>
      </w:tblPr>
      <w:tblGrid>
        <w:gridCol w:w="4216"/>
        <w:gridCol w:w="4424"/>
      </w:tblGrid>
      <w:tr w:rsidR="003D4821" w:rsidRPr="00525460" w14:paraId="01ABD527" w14:textId="77777777" w:rsidTr="00907F81">
        <w:tc>
          <w:tcPr>
            <w:tcW w:w="4240" w:type="dxa"/>
            <w:hideMark/>
          </w:tcPr>
          <w:p w14:paraId="778CCE49" w14:textId="2D709AE0" w:rsidR="003D4821" w:rsidRPr="00525460" w:rsidRDefault="003D4821" w:rsidP="00D36AF8">
            <w:pPr>
              <w:contextualSpacing/>
              <w:jc w:val="both"/>
              <w:rPr>
                <w:szCs w:val="22"/>
                <w:lang w:val="en-GB"/>
              </w:rPr>
            </w:pPr>
            <w:r w:rsidRPr="00525460">
              <w:rPr>
                <w:position w:val="-28"/>
                <w:szCs w:val="22"/>
                <w:lang w:val="en-GB"/>
              </w:rPr>
              <w:object w:dxaOrig="2299" w:dyaOrig="700" w14:anchorId="2B1D5991">
                <v:shape id="_x0000_i1041" type="#_x0000_t75" style="width:115.5pt;height:35.25pt" o:ole="">
                  <v:imagedata r:id="rId40" o:title=""/>
                </v:shape>
                <o:OLEObject Type="Embed" ProgID="Equation.3" ShapeID="_x0000_i1041" DrawAspect="Content" ObjectID="_1523979445" r:id="rId41"/>
              </w:object>
            </w:r>
          </w:p>
        </w:tc>
        <w:tc>
          <w:tcPr>
            <w:tcW w:w="4480" w:type="dxa"/>
            <w:hideMark/>
          </w:tcPr>
          <w:p w14:paraId="6FD2B663" w14:textId="774E74A5" w:rsidR="003D4821" w:rsidRPr="00525460" w:rsidRDefault="00900C13" w:rsidP="00907F81">
            <w:pPr>
              <w:contextualSpacing/>
              <w:jc w:val="right"/>
              <w:rPr>
                <w:szCs w:val="22"/>
                <w:lang w:val="en-GB"/>
              </w:rPr>
            </w:pPr>
            <w:r>
              <w:rPr>
                <w:szCs w:val="22"/>
                <w:lang w:val="en-GB"/>
              </w:rPr>
              <w:t>(</w:t>
            </w:r>
            <w:r w:rsidR="00096AD6">
              <w:rPr>
                <w:szCs w:val="22"/>
                <w:lang w:val="en-GB"/>
              </w:rPr>
              <w:t>S5</w:t>
            </w:r>
            <w:r w:rsidR="003D4821" w:rsidRPr="00525460">
              <w:rPr>
                <w:szCs w:val="22"/>
                <w:lang w:val="en-GB"/>
              </w:rPr>
              <w:t>)</w:t>
            </w:r>
          </w:p>
        </w:tc>
      </w:tr>
    </w:tbl>
    <w:p w14:paraId="381CDCE9" w14:textId="77777777" w:rsidR="003D4821" w:rsidRPr="00525460" w:rsidRDefault="003D4821" w:rsidP="003D4821">
      <w:pPr>
        <w:contextualSpacing/>
        <w:jc w:val="both"/>
        <w:rPr>
          <w:szCs w:val="22"/>
          <w:lang w:val="en-GB"/>
        </w:rPr>
      </w:pPr>
    </w:p>
    <w:p w14:paraId="4653A2C6" w14:textId="7903AA02" w:rsidR="003D4821" w:rsidRPr="00525460" w:rsidRDefault="003D4821" w:rsidP="003D4821">
      <w:pPr>
        <w:contextualSpacing/>
        <w:jc w:val="both"/>
        <w:rPr>
          <w:szCs w:val="22"/>
          <w:lang w:val="en-GB"/>
        </w:rPr>
      </w:pPr>
      <w:r w:rsidRPr="00525460">
        <w:rPr>
          <w:szCs w:val="22"/>
          <w:lang w:val="en-GB"/>
        </w:rPr>
        <w:t>Assuming an initial lognormal bubble distribution with mean bubble size of 2.2 mm and standard deviation of 0.2 mm, the initial BSD was obtained (re</w:t>
      </w:r>
      <w:r w:rsidR="001924A4">
        <w:rPr>
          <w:szCs w:val="22"/>
          <w:lang w:val="en-GB"/>
        </w:rPr>
        <w:t xml:space="preserve">fer supplementary data Figure </w:t>
      </w:r>
      <w:r w:rsidR="00900C13">
        <w:rPr>
          <w:szCs w:val="22"/>
          <w:lang w:val="en-GB"/>
        </w:rPr>
        <w:t>2</w:t>
      </w:r>
      <w:r w:rsidRPr="00525460">
        <w:rPr>
          <w:szCs w:val="22"/>
          <w:lang w:val="en-GB"/>
        </w:rPr>
        <w:t>A) using the following equation:</w:t>
      </w:r>
    </w:p>
    <w:p w14:paraId="11986564" w14:textId="77777777" w:rsidR="003D4821" w:rsidRPr="00525460" w:rsidRDefault="003D4821" w:rsidP="003D4821">
      <w:pPr>
        <w:contextualSpacing/>
        <w:jc w:val="both"/>
        <w:rPr>
          <w:szCs w:val="22"/>
          <w:lang w:val="en-GB"/>
        </w:rPr>
      </w:pPr>
    </w:p>
    <w:tbl>
      <w:tblPr>
        <w:tblW w:w="0" w:type="auto"/>
        <w:tblLook w:val="01E0" w:firstRow="1" w:lastRow="1" w:firstColumn="1" w:lastColumn="1" w:noHBand="0" w:noVBand="0"/>
      </w:tblPr>
      <w:tblGrid>
        <w:gridCol w:w="4215"/>
        <w:gridCol w:w="4425"/>
      </w:tblGrid>
      <w:tr w:rsidR="003D4821" w:rsidRPr="00525460" w14:paraId="5BB381A7" w14:textId="77777777" w:rsidTr="00907F81">
        <w:tc>
          <w:tcPr>
            <w:tcW w:w="4240" w:type="dxa"/>
            <w:hideMark/>
          </w:tcPr>
          <w:p w14:paraId="1E76708B" w14:textId="77777777" w:rsidR="003D4821" w:rsidRPr="00525460" w:rsidRDefault="003D4821" w:rsidP="00907F81">
            <w:pPr>
              <w:contextualSpacing/>
              <w:jc w:val="both"/>
              <w:rPr>
                <w:szCs w:val="22"/>
                <w:lang w:val="en-GB"/>
              </w:rPr>
            </w:pPr>
            <w:r w:rsidRPr="00525460">
              <w:rPr>
                <w:position w:val="-14"/>
                <w:szCs w:val="22"/>
                <w:lang w:val="en-GB"/>
              </w:rPr>
              <w:object w:dxaOrig="2260" w:dyaOrig="400" w14:anchorId="2001D91C">
                <v:shape id="_x0000_i1042" type="#_x0000_t75" style="width:114.75pt;height:20.25pt" o:ole="">
                  <v:imagedata r:id="rId42" o:title=""/>
                </v:shape>
                <o:OLEObject Type="Embed" ProgID="Equation.3" ShapeID="_x0000_i1042" DrawAspect="Content" ObjectID="_1523979446" r:id="rId43"/>
              </w:object>
            </w:r>
          </w:p>
        </w:tc>
        <w:tc>
          <w:tcPr>
            <w:tcW w:w="4480" w:type="dxa"/>
            <w:hideMark/>
          </w:tcPr>
          <w:p w14:paraId="40C8355A" w14:textId="2970E25D" w:rsidR="003D4821" w:rsidRPr="00525460" w:rsidRDefault="00900C13" w:rsidP="00907F81">
            <w:pPr>
              <w:contextualSpacing/>
              <w:jc w:val="right"/>
              <w:rPr>
                <w:szCs w:val="22"/>
                <w:lang w:val="en-GB"/>
              </w:rPr>
            </w:pPr>
            <w:r>
              <w:rPr>
                <w:szCs w:val="22"/>
                <w:lang w:val="en-GB"/>
              </w:rPr>
              <w:t>(</w:t>
            </w:r>
            <w:r w:rsidR="00096AD6">
              <w:rPr>
                <w:szCs w:val="22"/>
                <w:lang w:val="en-GB"/>
              </w:rPr>
              <w:t>S6</w:t>
            </w:r>
            <w:r w:rsidR="003D4821" w:rsidRPr="00525460">
              <w:rPr>
                <w:szCs w:val="22"/>
                <w:lang w:val="en-GB"/>
              </w:rPr>
              <w:t>)</w:t>
            </w:r>
          </w:p>
        </w:tc>
      </w:tr>
    </w:tbl>
    <w:p w14:paraId="1081DA35" w14:textId="77777777" w:rsidR="003D4821" w:rsidRPr="00525460" w:rsidRDefault="003D4821" w:rsidP="003D4821">
      <w:pPr>
        <w:contextualSpacing/>
        <w:jc w:val="both"/>
        <w:rPr>
          <w:szCs w:val="22"/>
          <w:lang w:val="en-GB"/>
        </w:rPr>
      </w:pPr>
    </w:p>
    <w:p w14:paraId="609CE45D" w14:textId="0B4593B1" w:rsidR="003D4821" w:rsidRPr="00525460" w:rsidRDefault="003D4821" w:rsidP="003D4821">
      <w:pPr>
        <w:contextualSpacing/>
        <w:jc w:val="both"/>
        <w:rPr>
          <w:szCs w:val="22"/>
          <w:lang w:val="en-GB"/>
        </w:rPr>
      </w:pPr>
      <w:r w:rsidRPr="00525460">
        <w:rPr>
          <w:szCs w:val="22"/>
          <w:lang w:val="en-GB"/>
        </w:rPr>
        <w:t xml:space="preserve">where </w:t>
      </w:r>
      <w:r w:rsidRPr="00525460">
        <w:rPr>
          <w:position w:val="-12"/>
          <w:szCs w:val="22"/>
        </w:rPr>
        <w:object w:dxaOrig="320" w:dyaOrig="380" w14:anchorId="01F2BAF4">
          <v:shape id="_x0000_i1043" type="#_x0000_t75" style="width:15.75pt;height:20.25pt" o:ole="">
            <v:imagedata r:id="rId44" o:title=""/>
          </v:shape>
          <o:OLEObject Type="Embed" ProgID="Equation.3" ShapeID="_x0000_i1043" DrawAspect="Content" ObjectID="_1523979447" r:id="rId45"/>
        </w:object>
      </w:r>
      <w:r w:rsidRPr="00525460">
        <w:rPr>
          <w:szCs w:val="22"/>
          <w:lang w:val="en-GB"/>
        </w:rPr>
        <w:t xml:space="preserve">, </w:t>
      </w:r>
      <w:r w:rsidRPr="00525460">
        <w:rPr>
          <w:i/>
          <w:szCs w:val="22"/>
          <w:lang w:val="en-GB"/>
        </w:rPr>
        <w:t>k</w:t>
      </w:r>
      <w:r w:rsidRPr="00525460">
        <w:rPr>
          <w:szCs w:val="22"/>
          <w:lang w:val="en-GB"/>
        </w:rPr>
        <w:t xml:space="preserve">, </w:t>
      </w:r>
      <w:r w:rsidRPr="00525460">
        <w:rPr>
          <w:i/>
          <w:szCs w:val="22"/>
          <w:lang w:val="en-GB"/>
        </w:rPr>
        <w:t>μ</w:t>
      </w:r>
      <w:r w:rsidRPr="00525460">
        <w:rPr>
          <w:szCs w:val="22"/>
          <w:lang w:val="en-GB"/>
        </w:rPr>
        <w:t xml:space="preserve"> and </w:t>
      </w:r>
      <w:r w:rsidRPr="00525460">
        <w:rPr>
          <w:i/>
          <w:szCs w:val="22"/>
          <w:lang w:val="en-GB"/>
        </w:rPr>
        <w:t>σ</w:t>
      </w:r>
      <w:r w:rsidRPr="00525460">
        <w:rPr>
          <w:szCs w:val="22"/>
          <w:lang w:val="en-GB"/>
        </w:rPr>
        <w:t xml:space="preserve"> are the moments, order of moments, arithmetic mean and arithmetic standard deviation, respectively. The moments are then used to obtain a set of abscissas and weights using PD algorithm (re</w:t>
      </w:r>
      <w:r w:rsidR="00F82107">
        <w:rPr>
          <w:szCs w:val="22"/>
          <w:lang w:val="en-GB"/>
        </w:rPr>
        <w:t xml:space="preserve">fer supplementary data Figure </w:t>
      </w:r>
      <w:r w:rsidR="00096AD6">
        <w:rPr>
          <w:szCs w:val="22"/>
          <w:lang w:val="en-GB"/>
        </w:rPr>
        <w:t>2</w:t>
      </w:r>
      <w:r w:rsidR="00F82107">
        <w:rPr>
          <w:szCs w:val="22"/>
          <w:lang w:val="en-GB"/>
        </w:rPr>
        <w:t>B</w:t>
      </w:r>
      <w:r w:rsidRPr="00525460">
        <w:rPr>
          <w:szCs w:val="22"/>
          <w:lang w:val="en-GB"/>
        </w:rPr>
        <w:t xml:space="preserve">). However, the initial weights obtained from lognormal distribution were normalised so that </w:t>
      </w:r>
      <w:r w:rsidRPr="00525460">
        <w:rPr>
          <w:i/>
          <w:szCs w:val="22"/>
          <w:lang w:val="en-GB"/>
        </w:rPr>
        <w:t>μ</w:t>
      </w:r>
      <w:r w:rsidRPr="00525460">
        <w:rPr>
          <w:i/>
          <w:szCs w:val="22"/>
          <w:vertAlign w:val="subscript"/>
          <w:lang w:val="en-GB"/>
        </w:rPr>
        <w:t>0</w:t>
      </w:r>
      <w:r w:rsidRPr="00525460">
        <w:rPr>
          <w:szCs w:val="22"/>
          <w:lang w:val="en-GB"/>
        </w:rPr>
        <w:t xml:space="preserve"> = </w:t>
      </w:r>
      <w:r w:rsidRPr="00525460">
        <w:rPr>
          <w:i/>
          <w:szCs w:val="22"/>
          <w:lang w:val="en-GB"/>
        </w:rPr>
        <w:t>∑w</w:t>
      </w:r>
      <w:r w:rsidRPr="00525460">
        <w:rPr>
          <w:i/>
          <w:szCs w:val="22"/>
          <w:vertAlign w:val="subscript"/>
          <w:lang w:val="en-GB"/>
        </w:rPr>
        <w:t>i</w:t>
      </w:r>
      <w:r w:rsidRPr="00525460">
        <w:rPr>
          <w:szCs w:val="22"/>
          <w:lang w:val="en-GB"/>
        </w:rPr>
        <w:t xml:space="preserve"> = 1, and thus have to be adjusted to match</w:t>
      </w:r>
      <w:r w:rsidR="00096AD6">
        <w:rPr>
          <w:szCs w:val="22"/>
          <w:lang w:val="en-GB"/>
        </w:rPr>
        <w:t xml:space="preserve"> the gas hold-up for both Eq. S4 and Eq. S5</w:t>
      </w:r>
      <w:r w:rsidRPr="00525460">
        <w:rPr>
          <w:szCs w:val="22"/>
          <w:lang w:val="en-GB"/>
        </w:rPr>
        <w:t xml:space="preserve"> as PBM calculations require </w:t>
      </w:r>
      <w:r w:rsidRPr="00525460">
        <w:rPr>
          <w:i/>
          <w:szCs w:val="22"/>
          <w:lang w:val="en-GB"/>
        </w:rPr>
        <w:t>μ</w:t>
      </w:r>
      <w:r w:rsidRPr="00525460">
        <w:rPr>
          <w:i/>
          <w:szCs w:val="22"/>
          <w:vertAlign w:val="subscript"/>
          <w:lang w:val="en-GB"/>
        </w:rPr>
        <w:t>0</w:t>
      </w:r>
      <w:r w:rsidRPr="00525460">
        <w:rPr>
          <w:szCs w:val="22"/>
          <w:lang w:val="en-GB"/>
        </w:rPr>
        <w:t xml:space="preserve"> to be equal to the number of bubbles per unit volume of dispersion. After the adjustments were made, gas volume obtained from moments matched exactly with the calc</w:t>
      </w:r>
      <w:r w:rsidR="00096AD6">
        <w:rPr>
          <w:szCs w:val="22"/>
          <w:lang w:val="en-GB"/>
        </w:rPr>
        <w:t>ulated value as shown in Table S3</w:t>
      </w:r>
      <w:r w:rsidRPr="00525460">
        <w:rPr>
          <w:szCs w:val="22"/>
          <w:lang w:val="en-GB"/>
        </w:rPr>
        <w:t>. This adjustment method was applied for all PBM calculations in this work.</w:t>
      </w:r>
    </w:p>
    <w:p w14:paraId="7DF1BE11" w14:textId="77777777" w:rsidR="003D4821" w:rsidRPr="00525460" w:rsidRDefault="003D4821" w:rsidP="003D4821">
      <w:pPr>
        <w:pStyle w:val="Caption"/>
        <w:contextualSpacing/>
        <w:rPr>
          <w:rFonts w:ascii="Times New Roman" w:hAnsi="Times New Roman" w:cs="Times New Roman"/>
          <w:b w:val="0"/>
          <w:sz w:val="22"/>
          <w:szCs w:val="22"/>
        </w:rPr>
      </w:pPr>
      <w:bookmarkStart w:id="2" w:name="_Toc223250831"/>
    </w:p>
    <w:bookmarkEnd w:id="2"/>
    <w:p w14:paraId="3E157CCD" w14:textId="0CB4FC1A" w:rsidR="003D4821" w:rsidRPr="00525460" w:rsidRDefault="003D4821" w:rsidP="003D4821">
      <w:pPr>
        <w:contextualSpacing/>
        <w:rPr>
          <w:bCs/>
          <w:szCs w:val="22"/>
          <w:lang w:val="en-GB"/>
        </w:rPr>
      </w:pPr>
      <w:r w:rsidRPr="00525460">
        <w:rPr>
          <w:bCs/>
          <w:szCs w:val="22"/>
          <w:lang w:val="en-GB"/>
        </w:rPr>
        <w:t xml:space="preserve">Table </w:t>
      </w:r>
      <w:r w:rsidR="00096AD6">
        <w:rPr>
          <w:bCs/>
          <w:szCs w:val="22"/>
          <w:lang w:val="en-GB"/>
        </w:rPr>
        <w:t>S3</w:t>
      </w:r>
      <w:r w:rsidRPr="00525460">
        <w:rPr>
          <w:bCs/>
          <w:szCs w:val="22"/>
          <w:lang w:val="en-GB"/>
        </w:rPr>
        <w:t>:</w:t>
      </w:r>
      <w:r w:rsidRPr="00525460">
        <w:rPr>
          <w:szCs w:val="22"/>
          <w:lang w:val="en-GB"/>
        </w:rPr>
        <w:t xml:space="preserve"> </w:t>
      </w:r>
      <w:r w:rsidRPr="00525460">
        <w:rPr>
          <w:bCs/>
          <w:szCs w:val="22"/>
          <w:lang w:val="en-GB"/>
        </w:rPr>
        <w:t>Scaling the QMOM weights according to gas volume fraction</w:t>
      </w:r>
      <w:r>
        <w:rPr>
          <w:bCs/>
          <w:szCs w:val="22"/>
          <w:lang w:val="en-GB"/>
        </w:rPr>
        <w:t>.</w:t>
      </w:r>
    </w:p>
    <w:tbl>
      <w:tblPr>
        <w:tblW w:w="0" w:type="auto"/>
        <w:tblBorders>
          <w:top w:val="single" w:sz="4" w:space="0" w:color="auto"/>
          <w:bottom w:val="single" w:sz="4" w:space="0" w:color="auto"/>
        </w:tblBorders>
        <w:tblCellMar>
          <w:left w:w="14" w:type="dxa"/>
          <w:right w:w="14" w:type="dxa"/>
        </w:tblCellMar>
        <w:tblLook w:val="01E0" w:firstRow="1" w:lastRow="1" w:firstColumn="1" w:lastColumn="1" w:noHBand="0" w:noVBand="0"/>
      </w:tblPr>
      <w:tblGrid>
        <w:gridCol w:w="601"/>
        <w:gridCol w:w="734"/>
        <w:gridCol w:w="1439"/>
        <w:gridCol w:w="1853"/>
        <w:gridCol w:w="1340"/>
        <w:gridCol w:w="953"/>
        <w:gridCol w:w="1720"/>
      </w:tblGrid>
      <w:tr w:rsidR="003D4821" w:rsidRPr="00525460" w14:paraId="69E2DBFE" w14:textId="77777777" w:rsidTr="00907F81">
        <w:tc>
          <w:tcPr>
            <w:tcW w:w="678" w:type="dxa"/>
            <w:tcBorders>
              <w:top w:val="single" w:sz="4" w:space="0" w:color="auto"/>
              <w:left w:val="nil"/>
              <w:bottom w:val="nil"/>
              <w:right w:val="nil"/>
            </w:tcBorders>
          </w:tcPr>
          <w:p w14:paraId="59618A3B" w14:textId="77777777" w:rsidR="003D4821" w:rsidRPr="00525460" w:rsidRDefault="003D4821" w:rsidP="00907F81">
            <w:pPr>
              <w:contextualSpacing/>
              <w:jc w:val="both"/>
              <w:rPr>
                <w:rFonts w:eastAsia="Calibri"/>
                <w:szCs w:val="22"/>
                <w:lang w:val="en-GB"/>
              </w:rPr>
            </w:pPr>
            <w:r w:rsidRPr="00525460">
              <w:rPr>
                <w:rFonts w:eastAsia="Calibri"/>
                <w:i/>
                <w:szCs w:val="22"/>
                <w:lang w:val="en-GB"/>
              </w:rPr>
              <w:lastRenderedPageBreak/>
              <w:t>L</w:t>
            </w:r>
            <w:r w:rsidRPr="00525460">
              <w:rPr>
                <w:rFonts w:eastAsia="Calibri"/>
                <w:i/>
                <w:szCs w:val="22"/>
                <w:vertAlign w:val="subscript"/>
                <w:lang w:val="en-GB"/>
              </w:rPr>
              <w:t>i</w:t>
            </w:r>
            <w:r w:rsidRPr="00525460">
              <w:rPr>
                <w:rFonts w:eastAsia="Calibri"/>
                <w:szCs w:val="22"/>
                <w:lang w:val="en-GB"/>
              </w:rPr>
              <w:t xml:space="preserve"> </w:t>
            </w:r>
          </w:p>
          <w:p w14:paraId="0E00D766" w14:textId="77777777" w:rsidR="003D4821" w:rsidRPr="00525460" w:rsidRDefault="003D4821" w:rsidP="00907F81">
            <w:pPr>
              <w:contextualSpacing/>
              <w:jc w:val="both"/>
              <w:rPr>
                <w:rFonts w:eastAsia="Calibri"/>
                <w:szCs w:val="22"/>
                <w:lang w:val="en-GB"/>
              </w:rPr>
            </w:pPr>
          </w:p>
        </w:tc>
        <w:tc>
          <w:tcPr>
            <w:tcW w:w="894" w:type="dxa"/>
            <w:tcBorders>
              <w:top w:val="single" w:sz="4" w:space="0" w:color="auto"/>
              <w:left w:val="nil"/>
              <w:bottom w:val="nil"/>
              <w:right w:val="nil"/>
            </w:tcBorders>
          </w:tcPr>
          <w:p w14:paraId="51540EFD" w14:textId="77777777" w:rsidR="003D4821" w:rsidRPr="00525460" w:rsidRDefault="003D4821" w:rsidP="00907F81">
            <w:pPr>
              <w:contextualSpacing/>
              <w:jc w:val="both"/>
              <w:rPr>
                <w:rFonts w:eastAsia="Calibri"/>
                <w:i/>
                <w:szCs w:val="22"/>
                <w:vertAlign w:val="subscript"/>
                <w:lang w:val="en-GB"/>
              </w:rPr>
            </w:pPr>
            <w:r w:rsidRPr="00525460">
              <w:rPr>
                <w:rFonts w:eastAsia="Calibri"/>
                <w:i/>
                <w:szCs w:val="22"/>
                <w:lang w:val="en-GB"/>
              </w:rPr>
              <w:t>w</w:t>
            </w:r>
            <w:r w:rsidRPr="00525460">
              <w:rPr>
                <w:rFonts w:eastAsia="Calibri"/>
                <w:i/>
                <w:szCs w:val="22"/>
                <w:vertAlign w:val="subscript"/>
                <w:lang w:val="en-GB"/>
              </w:rPr>
              <w:t>i</w:t>
            </w:r>
          </w:p>
          <w:p w14:paraId="20CFDCD3" w14:textId="77777777" w:rsidR="003D4821" w:rsidRPr="00525460" w:rsidRDefault="003D4821" w:rsidP="00907F81">
            <w:pPr>
              <w:contextualSpacing/>
              <w:jc w:val="both"/>
              <w:rPr>
                <w:rFonts w:eastAsia="Calibri"/>
                <w:i/>
                <w:szCs w:val="22"/>
                <w:lang w:val="en-GB"/>
              </w:rPr>
            </w:pPr>
          </w:p>
        </w:tc>
        <w:tc>
          <w:tcPr>
            <w:tcW w:w="1060" w:type="dxa"/>
            <w:tcBorders>
              <w:top w:val="single" w:sz="4" w:space="0" w:color="auto"/>
              <w:left w:val="nil"/>
              <w:bottom w:val="nil"/>
              <w:right w:val="nil"/>
            </w:tcBorders>
            <w:hideMark/>
          </w:tcPr>
          <w:p w14:paraId="6157471E" w14:textId="77777777" w:rsidR="003D4821" w:rsidRPr="00525460" w:rsidRDefault="003D4821" w:rsidP="00907F81">
            <w:pPr>
              <w:contextualSpacing/>
              <w:jc w:val="both"/>
              <w:rPr>
                <w:rFonts w:eastAsia="Calibri"/>
                <w:szCs w:val="22"/>
                <w:lang w:val="en-GB"/>
              </w:rPr>
            </w:pPr>
            <w:r w:rsidRPr="00525460">
              <w:rPr>
                <w:rFonts w:eastAsia="Calibri"/>
                <w:position w:val="-48"/>
                <w:szCs w:val="22"/>
                <w:lang w:val="en-GB"/>
              </w:rPr>
              <w:object w:dxaOrig="1365" w:dyaOrig="1080" w14:anchorId="57FAC375">
                <v:shape id="_x0000_i1044" type="#_x0000_t75" style="width:70.5pt;height:52.5pt" o:ole="">
                  <v:imagedata r:id="rId46" o:title=""/>
                </v:shape>
                <o:OLEObject Type="Embed" ProgID="Equation.3" ShapeID="_x0000_i1044" DrawAspect="Content" ObjectID="_1523979448" r:id="rId47"/>
              </w:object>
            </w:r>
          </w:p>
        </w:tc>
        <w:tc>
          <w:tcPr>
            <w:tcW w:w="1896" w:type="dxa"/>
            <w:tcBorders>
              <w:top w:val="single" w:sz="4" w:space="0" w:color="auto"/>
              <w:left w:val="nil"/>
              <w:bottom w:val="nil"/>
              <w:right w:val="nil"/>
            </w:tcBorders>
            <w:hideMark/>
          </w:tcPr>
          <w:p w14:paraId="6C503A23" w14:textId="77777777" w:rsidR="003D4821" w:rsidRPr="00525460" w:rsidRDefault="003D4821" w:rsidP="00907F81">
            <w:pPr>
              <w:contextualSpacing/>
              <w:jc w:val="both"/>
              <w:rPr>
                <w:rFonts w:eastAsia="Calibri"/>
                <w:szCs w:val="22"/>
                <w:lang w:val="en-GB"/>
              </w:rPr>
            </w:pPr>
            <w:r w:rsidRPr="00525460">
              <w:rPr>
                <w:rFonts w:eastAsia="Calibri"/>
                <w:position w:val="-56"/>
                <w:szCs w:val="22"/>
                <w:lang w:val="en-GB"/>
              </w:rPr>
              <w:object w:dxaOrig="1740" w:dyaOrig="975" w14:anchorId="4A294EC6">
                <v:shape id="_x0000_i1045" type="#_x0000_t75" style="width:87pt;height:48pt" o:ole="">
                  <v:imagedata r:id="rId48" o:title=""/>
                </v:shape>
                <o:OLEObject Type="Embed" ProgID="Equation.3" ShapeID="_x0000_i1045" DrawAspect="Content" ObjectID="_1523979449" r:id="rId49"/>
              </w:object>
            </w:r>
          </w:p>
        </w:tc>
        <w:tc>
          <w:tcPr>
            <w:tcW w:w="1396" w:type="dxa"/>
            <w:tcBorders>
              <w:top w:val="single" w:sz="4" w:space="0" w:color="auto"/>
              <w:left w:val="nil"/>
              <w:bottom w:val="nil"/>
              <w:right w:val="nil"/>
            </w:tcBorders>
          </w:tcPr>
          <w:p w14:paraId="5CD354AA" w14:textId="77777777" w:rsidR="003D4821" w:rsidRPr="00525460" w:rsidRDefault="003D4821" w:rsidP="00907F81">
            <w:pPr>
              <w:contextualSpacing/>
              <w:jc w:val="both"/>
              <w:rPr>
                <w:rFonts w:eastAsia="Calibri"/>
                <w:szCs w:val="22"/>
                <w:lang w:val="en-GB"/>
              </w:rPr>
            </w:pPr>
            <w:r w:rsidRPr="00525460">
              <w:rPr>
                <w:rFonts w:eastAsia="Calibri"/>
                <w:position w:val="-14"/>
                <w:szCs w:val="22"/>
                <w:lang w:val="en-GB"/>
              </w:rPr>
              <w:object w:dxaOrig="1200" w:dyaOrig="375" w14:anchorId="2DBFE8A8">
                <v:shape id="_x0000_i1046" type="#_x0000_t75" style="width:60pt;height:19.5pt" o:ole="">
                  <v:imagedata r:id="rId50" o:title=""/>
                </v:shape>
                <o:OLEObject Type="Embed" ProgID="Equation.3" ShapeID="_x0000_i1046" DrawAspect="Content" ObjectID="_1523979450" r:id="rId51"/>
              </w:object>
            </w:r>
          </w:p>
          <w:p w14:paraId="3263D2A7" w14:textId="77777777" w:rsidR="003D4821" w:rsidRPr="00525460" w:rsidRDefault="003D4821" w:rsidP="00907F81">
            <w:pPr>
              <w:contextualSpacing/>
              <w:jc w:val="both"/>
              <w:rPr>
                <w:rFonts w:eastAsia="Calibri"/>
                <w:szCs w:val="22"/>
                <w:lang w:val="en-GB"/>
              </w:rPr>
            </w:pPr>
          </w:p>
        </w:tc>
        <w:tc>
          <w:tcPr>
            <w:tcW w:w="1040" w:type="dxa"/>
            <w:tcBorders>
              <w:top w:val="single" w:sz="4" w:space="0" w:color="auto"/>
              <w:left w:val="nil"/>
              <w:bottom w:val="nil"/>
              <w:right w:val="nil"/>
            </w:tcBorders>
          </w:tcPr>
          <w:p w14:paraId="3A9522CA" w14:textId="77777777" w:rsidR="003D4821" w:rsidRPr="00525460" w:rsidRDefault="003D4821" w:rsidP="00907F81">
            <w:pPr>
              <w:contextualSpacing/>
              <w:jc w:val="both"/>
              <w:rPr>
                <w:rFonts w:eastAsia="Calibri"/>
                <w:szCs w:val="22"/>
                <w:lang w:val="en-GB"/>
              </w:rPr>
            </w:pPr>
            <w:r w:rsidRPr="00525460">
              <w:rPr>
                <w:rFonts w:eastAsia="Calibri"/>
                <w:position w:val="-34"/>
                <w:szCs w:val="22"/>
                <w:lang w:val="en-GB"/>
              </w:rPr>
              <w:object w:dxaOrig="765" w:dyaOrig="795" w14:anchorId="364D4FFF">
                <v:shape id="_x0000_i1047" type="#_x0000_t75" style="width:37.5pt;height:39pt" o:ole="">
                  <v:imagedata r:id="rId52" o:title=""/>
                </v:shape>
                <o:OLEObject Type="Embed" ProgID="Equation.3" ShapeID="_x0000_i1047" DrawAspect="Content" ObjectID="_1523979451" r:id="rId53"/>
              </w:object>
            </w:r>
          </w:p>
          <w:p w14:paraId="06647C39" w14:textId="77777777" w:rsidR="003D4821" w:rsidRPr="00525460" w:rsidRDefault="003D4821" w:rsidP="00907F81">
            <w:pPr>
              <w:contextualSpacing/>
              <w:jc w:val="both"/>
              <w:rPr>
                <w:rFonts w:eastAsia="Calibri"/>
                <w:szCs w:val="22"/>
                <w:lang w:val="en-GB"/>
              </w:rPr>
            </w:pPr>
          </w:p>
        </w:tc>
        <w:tc>
          <w:tcPr>
            <w:tcW w:w="1756" w:type="dxa"/>
            <w:tcBorders>
              <w:top w:val="single" w:sz="4" w:space="0" w:color="auto"/>
              <w:left w:val="nil"/>
              <w:bottom w:val="nil"/>
              <w:right w:val="nil"/>
            </w:tcBorders>
          </w:tcPr>
          <w:p w14:paraId="57FE4C34" w14:textId="77777777" w:rsidR="003D4821" w:rsidRPr="00525460" w:rsidRDefault="003D4821" w:rsidP="00907F81">
            <w:pPr>
              <w:contextualSpacing/>
              <w:jc w:val="both"/>
              <w:rPr>
                <w:rFonts w:eastAsia="Calibri"/>
                <w:i/>
                <w:szCs w:val="22"/>
                <w:lang w:val="en-GB"/>
              </w:rPr>
            </w:pPr>
            <w:r w:rsidRPr="00525460">
              <w:rPr>
                <w:rFonts w:eastAsia="Calibri"/>
                <w:i/>
                <w:szCs w:val="22"/>
                <w:lang w:val="en-GB"/>
              </w:rPr>
              <w:t>V</w:t>
            </w:r>
            <w:r w:rsidRPr="00525460">
              <w:rPr>
                <w:rFonts w:eastAsia="Calibri"/>
                <w:i/>
                <w:szCs w:val="22"/>
                <w:vertAlign w:val="subscript"/>
                <w:lang w:val="en-GB"/>
              </w:rPr>
              <w:t>g, QMOM</w:t>
            </w:r>
            <w:r w:rsidRPr="00525460">
              <w:rPr>
                <w:rFonts w:eastAsia="Calibri"/>
                <w:i/>
                <w:szCs w:val="22"/>
                <w:lang w:val="en-GB"/>
              </w:rPr>
              <w:t xml:space="preserve"> =</w:t>
            </w:r>
          </w:p>
          <w:p w14:paraId="51BE5B41" w14:textId="77777777" w:rsidR="003D4821" w:rsidRPr="00525460" w:rsidRDefault="003D4821" w:rsidP="00907F81">
            <w:pPr>
              <w:contextualSpacing/>
              <w:jc w:val="both"/>
              <w:rPr>
                <w:rFonts w:eastAsia="Calibri"/>
                <w:szCs w:val="22"/>
                <w:lang w:val="en-GB"/>
              </w:rPr>
            </w:pPr>
            <w:r w:rsidRPr="00525460">
              <w:rPr>
                <w:rFonts w:eastAsia="Calibri"/>
                <w:position w:val="-28"/>
                <w:szCs w:val="22"/>
                <w:lang w:val="en-GB"/>
              </w:rPr>
              <w:object w:dxaOrig="1620" w:dyaOrig="705" w14:anchorId="4F02B0BE">
                <v:shape id="_x0000_i1048" type="#_x0000_t75" style="width:81pt;height:35.25pt" o:ole="">
                  <v:imagedata r:id="rId54" o:title=""/>
                </v:shape>
                <o:OLEObject Type="Embed" ProgID="Equation.3" ShapeID="_x0000_i1048" DrawAspect="Content" ObjectID="_1523979452" r:id="rId55"/>
              </w:object>
            </w:r>
          </w:p>
          <w:p w14:paraId="0EBFA9D4" w14:textId="77777777" w:rsidR="003D4821" w:rsidRPr="00525460" w:rsidRDefault="003D4821" w:rsidP="00907F81">
            <w:pPr>
              <w:contextualSpacing/>
              <w:jc w:val="both"/>
              <w:rPr>
                <w:rFonts w:eastAsia="Calibri"/>
                <w:szCs w:val="22"/>
                <w:lang w:val="en-GB"/>
              </w:rPr>
            </w:pPr>
          </w:p>
        </w:tc>
      </w:tr>
      <w:tr w:rsidR="003D4821" w:rsidRPr="00525460" w14:paraId="4C266CB6" w14:textId="77777777" w:rsidTr="00907F81">
        <w:tc>
          <w:tcPr>
            <w:tcW w:w="678" w:type="dxa"/>
            <w:tcBorders>
              <w:top w:val="nil"/>
              <w:left w:val="nil"/>
              <w:bottom w:val="single" w:sz="4" w:space="0" w:color="auto"/>
              <w:right w:val="nil"/>
            </w:tcBorders>
            <w:hideMark/>
          </w:tcPr>
          <w:p w14:paraId="3F1E7F08" w14:textId="77777777" w:rsidR="003D4821" w:rsidRPr="00525460" w:rsidRDefault="003D4821" w:rsidP="00907F81">
            <w:pPr>
              <w:contextualSpacing/>
              <w:jc w:val="both"/>
              <w:rPr>
                <w:rFonts w:eastAsia="Calibri"/>
                <w:i/>
                <w:szCs w:val="22"/>
                <w:lang w:val="en-GB"/>
              </w:rPr>
            </w:pPr>
            <w:r w:rsidRPr="00525460">
              <w:rPr>
                <w:rFonts w:eastAsia="Calibri"/>
                <w:szCs w:val="22"/>
                <w:lang w:val="en-GB"/>
              </w:rPr>
              <w:t>(cm)</w:t>
            </w:r>
          </w:p>
        </w:tc>
        <w:tc>
          <w:tcPr>
            <w:tcW w:w="894" w:type="dxa"/>
            <w:tcBorders>
              <w:top w:val="nil"/>
              <w:left w:val="nil"/>
              <w:bottom w:val="single" w:sz="4" w:space="0" w:color="auto"/>
              <w:right w:val="nil"/>
            </w:tcBorders>
            <w:hideMark/>
          </w:tcPr>
          <w:p w14:paraId="0FFC34FE" w14:textId="77777777" w:rsidR="003D4821" w:rsidRPr="00525460" w:rsidRDefault="003D4821" w:rsidP="00907F81">
            <w:pPr>
              <w:contextualSpacing/>
              <w:jc w:val="both"/>
              <w:rPr>
                <w:rFonts w:eastAsia="Calibri"/>
                <w:i/>
                <w:szCs w:val="22"/>
                <w:lang w:val="en-GB"/>
              </w:rPr>
            </w:pPr>
            <w:r w:rsidRPr="00525460">
              <w:rPr>
                <w:rFonts w:eastAsia="Calibri"/>
                <w:szCs w:val="22"/>
                <w:lang w:val="en-GB"/>
              </w:rPr>
              <w:t>-</w:t>
            </w:r>
          </w:p>
        </w:tc>
        <w:tc>
          <w:tcPr>
            <w:tcW w:w="1060" w:type="dxa"/>
            <w:tcBorders>
              <w:top w:val="nil"/>
              <w:left w:val="nil"/>
              <w:bottom w:val="single" w:sz="4" w:space="0" w:color="auto"/>
              <w:right w:val="nil"/>
            </w:tcBorders>
            <w:hideMark/>
          </w:tcPr>
          <w:p w14:paraId="5989BB01"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(cm</w:t>
            </w:r>
            <w:r w:rsidRPr="00525460">
              <w:rPr>
                <w:rFonts w:eastAsia="Calibri"/>
                <w:szCs w:val="22"/>
                <w:vertAlign w:val="superscript"/>
                <w:lang w:val="en-GB"/>
              </w:rPr>
              <w:t>3</w:t>
            </w:r>
            <w:r w:rsidRPr="00525460">
              <w:rPr>
                <w:rFonts w:eastAsia="Calibri"/>
                <w:szCs w:val="22"/>
                <w:lang w:val="en-GB"/>
              </w:rPr>
              <w:t>)</w:t>
            </w:r>
          </w:p>
        </w:tc>
        <w:tc>
          <w:tcPr>
            <w:tcW w:w="1896" w:type="dxa"/>
            <w:tcBorders>
              <w:top w:val="nil"/>
              <w:left w:val="nil"/>
              <w:bottom w:val="single" w:sz="4" w:space="0" w:color="auto"/>
              <w:right w:val="nil"/>
            </w:tcBorders>
            <w:hideMark/>
          </w:tcPr>
          <w:p w14:paraId="13D80130"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w:t>
            </w:r>
          </w:p>
        </w:tc>
        <w:tc>
          <w:tcPr>
            <w:tcW w:w="1396" w:type="dxa"/>
            <w:tcBorders>
              <w:top w:val="nil"/>
              <w:left w:val="nil"/>
              <w:bottom w:val="single" w:sz="4" w:space="0" w:color="auto"/>
              <w:right w:val="nil"/>
            </w:tcBorders>
            <w:hideMark/>
          </w:tcPr>
          <w:p w14:paraId="60B2508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(n/cm</w:t>
            </w:r>
            <w:r w:rsidRPr="00525460">
              <w:rPr>
                <w:rFonts w:eastAsia="Calibri"/>
                <w:szCs w:val="22"/>
                <w:vertAlign w:val="superscript"/>
                <w:lang w:val="en-GB"/>
              </w:rPr>
              <w:t>3</w:t>
            </w:r>
            <w:r w:rsidRPr="00525460">
              <w:rPr>
                <w:rFonts w:eastAsia="Calibri"/>
                <w:szCs w:val="22"/>
                <w:lang w:val="en-GB"/>
              </w:rPr>
              <w:t>)</w:t>
            </w:r>
          </w:p>
        </w:tc>
        <w:tc>
          <w:tcPr>
            <w:tcW w:w="1040" w:type="dxa"/>
            <w:tcBorders>
              <w:top w:val="nil"/>
              <w:left w:val="nil"/>
              <w:bottom w:val="single" w:sz="4" w:space="0" w:color="auto"/>
              <w:right w:val="nil"/>
            </w:tcBorders>
            <w:hideMark/>
          </w:tcPr>
          <w:p w14:paraId="33C80676"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(cm</w:t>
            </w:r>
            <w:r w:rsidRPr="00525460">
              <w:rPr>
                <w:rFonts w:eastAsia="Calibri"/>
                <w:szCs w:val="22"/>
                <w:vertAlign w:val="superscript"/>
                <w:lang w:val="en-GB"/>
              </w:rPr>
              <w:t>3</w:t>
            </w:r>
            <w:r w:rsidRPr="00525460">
              <w:rPr>
                <w:rFonts w:eastAsia="Calibri"/>
                <w:szCs w:val="22"/>
                <w:lang w:val="en-GB"/>
              </w:rPr>
              <w:t>)</w:t>
            </w:r>
          </w:p>
        </w:tc>
        <w:tc>
          <w:tcPr>
            <w:tcW w:w="1756" w:type="dxa"/>
            <w:tcBorders>
              <w:top w:val="nil"/>
              <w:left w:val="nil"/>
              <w:bottom w:val="single" w:sz="4" w:space="0" w:color="auto"/>
              <w:right w:val="nil"/>
            </w:tcBorders>
            <w:hideMark/>
          </w:tcPr>
          <w:p w14:paraId="1BACB848" w14:textId="77777777" w:rsidR="003D4821" w:rsidRPr="00525460" w:rsidRDefault="003D4821" w:rsidP="00907F81">
            <w:pPr>
              <w:contextualSpacing/>
              <w:jc w:val="center"/>
              <w:rPr>
                <w:rFonts w:eastAsia="Calibri"/>
                <w:i/>
                <w:szCs w:val="22"/>
                <w:lang w:val="en-GB"/>
              </w:rPr>
            </w:pPr>
            <w:r w:rsidRPr="00525460">
              <w:rPr>
                <w:rFonts w:eastAsia="Calibri"/>
                <w:szCs w:val="22"/>
                <w:lang w:val="en-GB"/>
              </w:rPr>
              <w:t>(cm</w:t>
            </w:r>
            <w:r w:rsidRPr="00525460">
              <w:rPr>
                <w:rFonts w:eastAsia="Calibri"/>
                <w:szCs w:val="22"/>
                <w:vertAlign w:val="superscript"/>
                <w:lang w:val="en-GB"/>
              </w:rPr>
              <w:t>3</w:t>
            </w:r>
            <w:r w:rsidRPr="00525460">
              <w:rPr>
                <w:rFonts w:eastAsia="Calibri"/>
                <w:szCs w:val="22"/>
                <w:lang w:val="en-GB"/>
              </w:rPr>
              <w:t>)</w:t>
            </w:r>
          </w:p>
        </w:tc>
      </w:tr>
      <w:tr w:rsidR="003D4821" w:rsidRPr="00525460" w14:paraId="25E40C06" w14:textId="77777777" w:rsidTr="00907F81">
        <w:tc>
          <w:tcPr>
            <w:tcW w:w="678" w:type="dxa"/>
            <w:tcBorders>
              <w:top w:val="single" w:sz="4" w:space="0" w:color="auto"/>
              <w:left w:val="nil"/>
              <w:bottom w:val="nil"/>
              <w:right w:val="nil"/>
            </w:tcBorders>
            <w:hideMark/>
          </w:tcPr>
          <w:p w14:paraId="792551B0" w14:textId="77777777" w:rsidR="003D4821" w:rsidRPr="00525460" w:rsidRDefault="003D4821" w:rsidP="00907F81">
            <w:pPr>
              <w:contextualSpacing/>
              <w:jc w:val="both"/>
              <w:rPr>
                <w:rFonts w:eastAsia="Calibri"/>
                <w:szCs w:val="22"/>
                <w:lang w:val="en-GB"/>
              </w:rPr>
            </w:pPr>
            <w:r w:rsidRPr="00525460">
              <w:rPr>
                <w:rFonts w:eastAsia="Calibri"/>
                <w:szCs w:val="22"/>
                <w:lang w:val="en-GB"/>
              </w:rPr>
              <w:t>0.15</w:t>
            </w:r>
          </w:p>
        </w:tc>
        <w:tc>
          <w:tcPr>
            <w:tcW w:w="894" w:type="dxa"/>
            <w:tcBorders>
              <w:top w:val="single" w:sz="4" w:space="0" w:color="auto"/>
              <w:left w:val="nil"/>
              <w:bottom w:val="nil"/>
              <w:right w:val="nil"/>
            </w:tcBorders>
            <w:hideMark/>
          </w:tcPr>
          <w:p w14:paraId="27BBC965" w14:textId="77777777" w:rsidR="003D4821" w:rsidRPr="00525460" w:rsidRDefault="003D4821" w:rsidP="00907F81">
            <w:pPr>
              <w:contextualSpacing/>
              <w:jc w:val="both"/>
              <w:rPr>
                <w:rFonts w:eastAsia="Calibri"/>
                <w:szCs w:val="22"/>
                <w:lang w:val="en-GB"/>
              </w:rPr>
            </w:pPr>
            <w:r w:rsidRPr="00525460">
              <w:rPr>
                <w:rFonts w:eastAsia="Calibri"/>
                <w:szCs w:val="22"/>
                <w:lang w:val="en-GB"/>
              </w:rPr>
              <w:t>0.34</w:t>
            </w:r>
          </w:p>
        </w:tc>
        <w:tc>
          <w:tcPr>
            <w:tcW w:w="1060" w:type="dxa"/>
            <w:tcBorders>
              <w:top w:val="single" w:sz="4" w:space="0" w:color="auto"/>
              <w:left w:val="nil"/>
              <w:bottom w:val="nil"/>
              <w:right w:val="nil"/>
            </w:tcBorders>
            <w:hideMark/>
          </w:tcPr>
          <w:p w14:paraId="6A29F64A"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0.005</w:t>
            </w:r>
          </w:p>
        </w:tc>
        <w:tc>
          <w:tcPr>
            <w:tcW w:w="1896" w:type="dxa"/>
            <w:tcBorders>
              <w:top w:val="single" w:sz="4" w:space="0" w:color="auto"/>
              <w:left w:val="nil"/>
              <w:bottom w:val="nil"/>
              <w:right w:val="nil"/>
            </w:tcBorders>
            <w:hideMark/>
          </w:tcPr>
          <w:p w14:paraId="66DA637A"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45.66</w:t>
            </w:r>
          </w:p>
        </w:tc>
        <w:tc>
          <w:tcPr>
            <w:tcW w:w="1396" w:type="dxa"/>
            <w:tcBorders>
              <w:top w:val="single" w:sz="4" w:space="0" w:color="auto"/>
              <w:left w:val="nil"/>
              <w:bottom w:val="nil"/>
              <w:right w:val="nil"/>
            </w:tcBorders>
            <w:hideMark/>
          </w:tcPr>
          <w:p w14:paraId="63271D0E"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15.75</w:t>
            </w:r>
          </w:p>
        </w:tc>
        <w:tc>
          <w:tcPr>
            <w:tcW w:w="1040" w:type="dxa"/>
            <w:tcBorders>
              <w:top w:val="single" w:sz="4" w:space="0" w:color="auto"/>
              <w:left w:val="nil"/>
              <w:bottom w:val="nil"/>
              <w:right w:val="nil"/>
            </w:tcBorders>
            <w:hideMark/>
          </w:tcPr>
          <w:p w14:paraId="6E9284D7"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7938.80</w:t>
            </w:r>
          </w:p>
        </w:tc>
        <w:tc>
          <w:tcPr>
            <w:tcW w:w="1756" w:type="dxa"/>
            <w:tcBorders>
              <w:top w:val="single" w:sz="4" w:space="0" w:color="auto"/>
              <w:left w:val="nil"/>
              <w:bottom w:val="nil"/>
              <w:right w:val="nil"/>
            </w:tcBorders>
            <w:hideMark/>
          </w:tcPr>
          <w:p w14:paraId="05FF1562"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7938.80</w:t>
            </w:r>
          </w:p>
        </w:tc>
      </w:tr>
      <w:tr w:rsidR="003D4821" w:rsidRPr="00525460" w14:paraId="134D5B93" w14:textId="77777777" w:rsidTr="00907F81">
        <w:tc>
          <w:tcPr>
            <w:tcW w:w="678" w:type="dxa"/>
            <w:tcBorders>
              <w:top w:val="nil"/>
              <w:left w:val="nil"/>
              <w:bottom w:val="nil"/>
              <w:right w:val="nil"/>
            </w:tcBorders>
            <w:hideMark/>
          </w:tcPr>
          <w:p w14:paraId="38ADF73B" w14:textId="77777777" w:rsidR="003D4821" w:rsidRPr="00525460" w:rsidRDefault="003D4821" w:rsidP="00907F81">
            <w:pPr>
              <w:contextualSpacing/>
              <w:jc w:val="both"/>
              <w:rPr>
                <w:rFonts w:eastAsia="Calibri"/>
                <w:szCs w:val="22"/>
                <w:lang w:val="en-GB"/>
              </w:rPr>
            </w:pPr>
            <w:r w:rsidRPr="00525460">
              <w:rPr>
                <w:rFonts w:eastAsia="Calibri"/>
                <w:szCs w:val="22"/>
                <w:lang w:val="en-GB"/>
              </w:rPr>
              <w:t>0.22</w:t>
            </w:r>
          </w:p>
        </w:tc>
        <w:tc>
          <w:tcPr>
            <w:tcW w:w="894" w:type="dxa"/>
            <w:tcBorders>
              <w:top w:val="nil"/>
              <w:left w:val="nil"/>
              <w:bottom w:val="nil"/>
              <w:right w:val="nil"/>
            </w:tcBorders>
            <w:hideMark/>
          </w:tcPr>
          <w:p w14:paraId="04F25CFE" w14:textId="77777777" w:rsidR="003D4821" w:rsidRPr="00525460" w:rsidRDefault="003D4821" w:rsidP="00907F81">
            <w:pPr>
              <w:contextualSpacing/>
              <w:jc w:val="both"/>
              <w:rPr>
                <w:rFonts w:eastAsia="Calibri"/>
                <w:szCs w:val="22"/>
                <w:lang w:val="en-GB"/>
              </w:rPr>
            </w:pPr>
            <w:r w:rsidRPr="00525460">
              <w:rPr>
                <w:rFonts w:eastAsia="Calibri"/>
                <w:szCs w:val="22"/>
                <w:lang w:val="en-GB"/>
              </w:rPr>
              <w:t>0.60</w:t>
            </w:r>
          </w:p>
        </w:tc>
        <w:tc>
          <w:tcPr>
            <w:tcW w:w="1060" w:type="dxa"/>
            <w:tcBorders>
              <w:top w:val="nil"/>
              <w:left w:val="nil"/>
              <w:bottom w:val="nil"/>
              <w:right w:val="nil"/>
            </w:tcBorders>
          </w:tcPr>
          <w:p w14:paraId="60E6257B" w14:textId="77777777" w:rsidR="003D4821" w:rsidRPr="00525460" w:rsidRDefault="003D4821" w:rsidP="00907F81">
            <w:pPr>
              <w:contextualSpacing/>
              <w:jc w:val="center"/>
              <w:rPr>
                <w:rFonts w:eastAsia="Calibri"/>
                <w:szCs w:val="22"/>
                <w:lang w:val="en-GB"/>
              </w:rPr>
            </w:pPr>
          </w:p>
        </w:tc>
        <w:tc>
          <w:tcPr>
            <w:tcW w:w="1896" w:type="dxa"/>
            <w:tcBorders>
              <w:top w:val="nil"/>
              <w:left w:val="nil"/>
              <w:bottom w:val="nil"/>
              <w:right w:val="nil"/>
            </w:tcBorders>
          </w:tcPr>
          <w:p w14:paraId="7838DC23" w14:textId="77777777" w:rsidR="003D4821" w:rsidRPr="00525460" w:rsidRDefault="003D4821" w:rsidP="00907F81">
            <w:pPr>
              <w:contextualSpacing/>
              <w:jc w:val="center"/>
              <w:rPr>
                <w:rFonts w:eastAsia="Calibri"/>
                <w:szCs w:val="22"/>
                <w:lang w:val="en-GB"/>
              </w:rPr>
            </w:pPr>
          </w:p>
        </w:tc>
        <w:tc>
          <w:tcPr>
            <w:tcW w:w="1396" w:type="dxa"/>
            <w:tcBorders>
              <w:top w:val="nil"/>
              <w:left w:val="nil"/>
              <w:bottom w:val="nil"/>
              <w:right w:val="nil"/>
            </w:tcBorders>
            <w:hideMark/>
          </w:tcPr>
          <w:p w14:paraId="38621F9B"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27.18</w:t>
            </w:r>
          </w:p>
        </w:tc>
        <w:tc>
          <w:tcPr>
            <w:tcW w:w="1040" w:type="dxa"/>
            <w:tcBorders>
              <w:top w:val="nil"/>
              <w:left w:val="nil"/>
              <w:bottom w:val="nil"/>
              <w:right w:val="nil"/>
            </w:tcBorders>
          </w:tcPr>
          <w:p w14:paraId="27633E93" w14:textId="77777777" w:rsidR="003D4821" w:rsidRPr="00525460" w:rsidRDefault="003D4821" w:rsidP="00907F81">
            <w:pPr>
              <w:contextualSpacing/>
              <w:jc w:val="center"/>
              <w:rPr>
                <w:rFonts w:eastAsia="Calibri"/>
                <w:szCs w:val="22"/>
                <w:lang w:val="en-GB"/>
              </w:rPr>
            </w:pPr>
          </w:p>
        </w:tc>
        <w:tc>
          <w:tcPr>
            <w:tcW w:w="1756" w:type="dxa"/>
            <w:tcBorders>
              <w:top w:val="nil"/>
              <w:left w:val="nil"/>
              <w:bottom w:val="nil"/>
              <w:right w:val="nil"/>
            </w:tcBorders>
          </w:tcPr>
          <w:p w14:paraId="256448E6" w14:textId="77777777" w:rsidR="003D4821" w:rsidRPr="00525460" w:rsidRDefault="003D4821" w:rsidP="00907F81">
            <w:pPr>
              <w:contextualSpacing/>
              <w:jc w:val="center"/>
              <w:rPr>
                <w:rFonts w:eastAsia="Calibri"/>
                <w:szCs w:val="22"/>
                <w:lang w:val="en-GB"/>
              </w:rPr>
            </w:pPr>
          </w:p>
        </w:tc>
      </w:tr>
      <w:tr w:rsidR="003D4821" w:rsidRPr="00525460" w14:paraId="7EE11168" w14:textId="77777777" w:rsidTr="00907F81">
        <w:tc>
          <w:tcPr>
            <w:tcW w:w="678" w:type="dxa"/>
            <w:tcBorders>
              <w:top w:val="nil"/>
              <w:left w:val="nil"/>
              <w:bottom w:val="single" w:sz="4" w:space="0" w:color="auto"/>
              <w:right w:val="nil"/>
            </w:tcBorders>
            <w:hideMark/>
          </w:tcPr>
          <w:p w14:paraId="19BEDCD6" w14:textId="77777777" w:rsidR="003D4821" w:rsidRPr="00525460" w:rsidRDefault="003D4821" w:rsidP="00907F81">
            <w:pPr>
              <w:contextualSpacing/>
              <w:jc w:val="both"/>
              <w:rPr>
                <w:rFonts w:eastAsia="Calibri"/>
                <w:szCs w:val="22"/>
                <w:lang w:val="en-GB"/>
              </w:rPr>
            </w:pPr>
            <w:r w:rsidRPr="00525460">
              <w:rPr>
                <w:rFonts w:eastAsia="Calibri"/>
                <w:szCs w:val="22"/>
                <w:lang w:val="en-GB"/>
              </w:rPr>
              <w:t>0.31</w:t>
            </w:r>
          </w:p>
        </w:tc>
        <w:tc>
          <w:tcPr>
            <w:tcW w:w="894" w:type="dxa"/>
            <w:tcBorders>
              <w:top w:val="nil"/>
              <w:left w:val="nil"/>
              <w:bottom w:val="single" w:sz="4" w:space="0" w:color="auto"/>
              <w:right w:val="nil"/>
            </w:tcBorders>
            <w:hideMark/>
          </w:tcPr>
          <w:p w14:paraId="4A2ACDB1" w14:textId="77777777" w:rsidR="003D4821" w:rsidRPr="00525460" w:rsidRDefault="003D4821" w:rsidP="00907F81">
            <w:pPr>
              <w:contextualSpacing/>
              <w:jc w:val="both"/>
              <w:rPr>
                <w:rFonts w:eastAsia="Calibri"/>
                <w:szCs w:val="22"/>
                <w:lang w:val="en-GB"/>
              </w:rPr>
            </w:pPr>
            <w:r w:rsidRPr="00525460">
              <w:rPr>
                <w:rFonts w:eastAsia="Calibri"/>
                <w:szCs w:val="22"/>
                <w:lang w:val="en-GB"/>
              </w:rPr>
              <w:t>0.06</w:t>
            </w:r>
          </w:p>
        </w:tc>
        <w:tc>
          <w:tcPr>
            <w:tcW w:w="1060" w:type="dxa"/>
            <w:tcBorders>
              <w:top w:val="nil"/>
              <w:left w:val="nil"/>
              <w:bottom w:val="single" w:sz="4" w:space="0" w:color="auto"/>
              <w:right w:val="nil"/>
            </w:tcBorders>
          </w:tcPr>
          <w:p w14:paraId="6721D1DF" w14:textId="77777777" w:rsidR="003D4821" w:rsidRPr="00525460" w:rsidRDefault="003D4821" w:rsidP="00907F81">
            <w:pPr>
              <w:contextualSpacing/>
              <w:jc w:val="center"/>
              <w:rPr>
                <w:rFonts w:eastAsia="Calibri"/>
                <w:szCs w:val="22"/>
                <w:lang w:val="en-GB"/>
              </w:rPr>
            </w:pPr>
          </w:p>
        </w:tc>
        <w:tc>
          <w:tcPr>
            <w:tcW w:w="1896" w:type="dxa"/>
            <w:tcBorders>
              <w:top w:val="nil"/>
              <w:left w:val="nil"/>
              <w:bottom w:val="single" w:sz="4" w:space="0" w:color="auto"/>
              <w:right w:val="nil"/>
            </w:tcBorders>
          </w:tcPr>
          <w:p w14:paraId="177D384C" w14:textId="77777777" w:rsidR="003D4821" w:rsidRPr="00525460" w:rsidRDefault="003D4821" w:rsidP="00907F81">
            <w:pPr>
              <w:contextualSpacing/>
              <w:jc w:val="center"/>
              <w:rPr>
                <w:rFonts w:eastAsia="Calibri"/>
                <w:szCs w:val="22"/>
                <w:lang w:val="en-GB"/>
              </w:rPr>
            </w:pPr>
          </w:p>
        </w:tc>
        <w:tc>
          <w:tcPr>
            <w:tcW w:w="1396" w:type="dxa"/>
            <w:tcBorders>
              <w:top w:val="nil"/>
              <w:left w:val="nil"/>
              <w:bottom w:val="single" w:sz="4" w:space="0" w:color="auto"/>
              <w:right w:val="nil"/>
            </w:tcBorders>
            <w:hideMark/>
          </w:tcPr>
          <w:p w14:paraId="39E57EBF" w14:textId="77777777" w:rsidR="003D4821" w:rsidRPr="00525460" w:rsidRDefault="003D4821" w:rsidP="00907F81">
            <w:pPr>
              <w:contextualSpacing/>
              <w:jc w:val="center"/>
              <w:rPr>
                <w:rFonts w:eastAsia="Calibri"/>
                <w:szCs w:val="22"/>
                <w:lang w:val="en-GB"/>
              </w:rPr>
            </w:pPr>
            <w:r w:rsidRPr="00525460">
              <w:rPr>
                <w:rFonts w:eastAsia="Calibri"/>
                <w:szCs w:val="22"/>
                <w:lang w:val="en-GB"/>
              </w:rPr>
              <w:t>2.73</w:t>
            </w:r>
          </w:p>
        </w:tc>
        <w:tc>
          <w:tcPr>
            <w:tcW w:w="1040" w:type="dxa"/>
            <w:tcBorders>
              <w:top w:val="nil"/>
              <w:left w:val="nil"/>
              <w:bottom w:val="single" w:sz="4" w:space="0" w:color="auto"/>
              <w:right w:val="nil"/>
            </w:tcBorders>
          </w:tcPr>
          <w:p w14:paraId="343C35A3" w14:textId="77777777" w:rsidR="003D4821" w:rsidRPr="00525460" w:rsidRDefault="003D4821" w:rsidP="00907F81">
            <w:pPr>
              <w:contextualSpacing/>
              <w:jc w:val="center"/>
              <w:rPr>
                <w:rFonts w:eastAsia="Calibri"/>
                <w:szCs w:val="22"/>
                <w:lang w:val="en-GB"/>
              </w:rPr>
            </w:pPr>
          </w:p>
        </w:tc>
        <w:tc>
          <w:tcPr>
            <w:tcW w:w="1756" w:type="dxa"/>
            <w:tcBorders>
              <w:top w:val="nil"/>
              <w:left w:val="nil"/>
              <w:bottom w:val="single" w:sz="4" w:space="0" w:color="auto"/>
              <w:right w:val="nil"/>
            </w:tcBorders>
          </w:tcPr>
          <w:p w14:paraId="04E2764D" w14:textId="77777777" w:rsidR="003D4821" w:rsidRPr="00525460" w:rsidRDefault="003D4821" w:rsidP="00907F81">
            <w:pPr>
              <w:contextualSpacing/>
              <w:jc w:val="center"/>
              <w:rPr>
                <w:rFonts w:eastAsia="Calibri"/>
                <w:szCs w:val="22"/>
                <w:lang w:val="en-GB"/>
              </w:rPr>
            </w:pPr>
          </w:p>
        </w:tc>
      </w:tr>
    </w:tbl>
    <w:p w14:paraId="1B65ADC8" w14:textId="77777777" w:rsidR="003D4821" w:rsidRPr="00A5657F" w:rsidRDefault="003D4821" w:rsidP="003D4821"/>
    <w:p w14:paraId="26C893D2" w14:textId="4AD35342" w:rsidR="003D4821" w:rsidRPr="00525460" w:rsidRDefault="00900C13" w:rsidP="003D4821">
      <w:pPr>
        <w:contextualSpacing/>
        <w:jc w:val="both"/>
        <w:rPr>
          <w:szCs w:val="22"/>
          <w:lang w:val="en-GB"/>
        </w:rPr>
      </w:pPr>
      <w:r>
        <w:rPr>
          <w:szCs w:val="22"/>
          <w:lang w:val="en-GB"/>
        </w:rPr>
        <w:t>Figure S1</w:t>
      </w:r>
      <w:r w:rsidR="003D4821" w:rsidRPr="00525460">
        <w:rPr>
          <w:szCs w:val="22"/>
          <w:lang w:val="en-GB"/>
        </w:rPr>
        <w:t xml:space="preserve"> illustrates the evolution of moments obtained from the PD-QMOM algorithm for cases 1 and 2 with varying initial bubble size. The turbulence dissipation rate and gas hold-up were constant for both cases at </w:t>
      </w:r>
      <w:r w:rsidR="003D4821" w:rsidRPr="00525460">
        <w:rPr>
          <w:i/>
          <w:szCs w:val="22"/>
          <w:lang w:val="en-GB"/>
        </w:rPr>
        <w:t>ε</w:t>
      </w:r>
      <w:r w:rsidR="003D4821" w:rsidRPr="00525460">
        <w:rPr>
          <w:szCs w:val="22"/>
          <w:lang w:val="en-GB"/>
        </w:rPr>
        <w:t xml:space="preserve"> = 1.18 m</w:t>
      </w:r>
      <w:r w:rsidR="003D4821" w:rsidRPr="00525460">
        <w:rPr>
          <w:szCs w:val="22"/>
          <w:vertAlign w:val="superscript"/>
          <w:lang w:val="en-GB"/>
        </w:rPr>
        <w:t>2</w:t>
      </w:r>
      <w:r w:rsidR="003D4821" w:rsidRPr="00525460">
        <w:rPr>
          <w:szCs w:val="22"/>
          <w:lang w:val="en-GB"/>
        </w:rPr>
        <w:t>/s</w:t>
      </w:r>
      <w:r w:rsidR="003D4821" w:rsidRPr="00525460">
        <w:rPr>
          <w:szCs w:val="22"/>
          <w:vertAlign w:val="superscript"/>
          <w:lang w:val="en-GB"/>
        </w:rPr>
        <w:t>3</w:t>
      </w:r>
      <w:r w:rsidR="003D4821" w:rsidRPr="00525460">
        <w:rPr>
          <w:szCs w:val="22"/>
          <w:lang w:val="en-GB"/>
        </w:rPr>
        <w:t xml:space="preserve"> and </w:t>
      </w:r>
      <w:r w:rsidR="003D4821" w:rsidRPr="00525460">
        <w:rPr>
          <w:i/>
          <w:szCs w:val="22"/>
          <w:lang w:val="en-GB" w:eastAsia="en-SG"/>
        </w:rPr>
        <w:t>α</w:t>
      </w:r>
      <w:r w:rsidR="003D4821" w:rsidRPr="00525460">
        <w:rPr>
          <w:i/>
          <w:szCs w:val="22"/>
          <w:vertAlign w:val="subscript"/>
          <w:lang w:val="en-GB"/>
        </w:rPr>
        <w:t>g</w:t>
      </w:r>
      <w:r w:rsidR="003D4821" w:rsidRPr="00525460">
        <w:rPr>
          <w:i/>
          <w:szCs w:val="22"/>
          <w:lang w:val="en-GB"/>
        </w:rPr>
        <w:t xml:space="preserve"> </w:t>
      </w:r>
      <w:r w:rsidR="003D4821" w:rsidRPr="00525460">
        <w:rPr>
          <w:szCs w:val="22"/>
          <w:lang w:val="en-GB"/>
        </w:rPr>
        <w:t>= 0.23 respectively. The initial bubble siz</w:t>
      </w:r>
      <w:r>
        <w:rPr>
          <w:szCs w:val="22"/>
          <w:lang w:val="en-GB"/>
        </w:rPr>
        <w:t>e was set at 2.2 mm for Figure S1</w:t>
      </w:r>
      <w:r w:rsidR="003D4821" w:rsidRPr="00525460">
        <w:rPr>
          <w:szCs w:val="22"/>
          <w:lang w:val="en-GB"/>
        </w:rPr>
        <w:t>A and 5 mm for</w:t>
      </w:r>
      <w:r w:rsidR="003D4821" w:rsidRPr="00525460">
        <w:rPr>
          <w:color w:val="00B050"/>
          <w:szCs w:val="22"/>
          <w:lang w:val="en-GB"/>
        </w:rPr>
        <w:t xml:space="preserve"> </w:t>
      </w:r>
      <w:r>
        <w:rPr>
          <w:szCs w:val="22"/>
          <w:lang w:val="en-GB"/>
        </w:rPr>
        <w:t>Figure S1</w:t>
      </w:r>
      <w:r w:rsidR="003D4821" w:rsidRPr="00525460">
        <w:rPr>
          <w:szCs w:val="22"/>
          <w:lang w:val="en-GB"/>
        </w:rPr>
        <w:t xml:space="preserve">B. The third moment which is related to the total bubble volume was conserved for both cases, coalescence and breakage problems correspondingly. In Figure 2A, the first three moments (i.e. </w:t>
      </w:r>
      <w:r w:rsidR="003D4821" w:rsidRPr="00525460">
        <w:rPr>
          <w:position w:val="-12"/>
          <w:szCs w:val="22"/>
          <w:lang w:val="en-GB"/>
        </w:rPr>
        <w:object w:dxaOrig="320" w:dyaOrig="380" w14:anchorId="35435153">
          <v:shape id="_x0000_i1049" type="#_x0000_t75" style="width:15.75pt;height:20.25pt" o:ole="">
            <v:imagedata r:id="rId56" o:title=""/>
          </v:shape>
          <o:OLEObject Type="Embed" ProgID="Equation.3" ShapeID="_x0000_i1049" DrawAspect="Content" ObjectID="_1523979453" r:id="rId57"/>
        </w:object>
      </w:r>
      <w:r w:rsidR="003D4821" w:rsidRPr="00525460">
        <w:rPr>
          <w:szCs w:val="22"/>
          <w:lang w:val="en-GB"/>
        </w:rPr>
        <w:t xml:space="preserve">is the total number of bubbles, </w:t>
      </w:r>
      <w:r w:rsidR="003D4821" w:rsidRPr="00525460">
        <w:rPr>
          <w:position w:val="-10"/>
          <w:szCs w:val="22"/>
          <w:lang w:val="en-GB"/>
        </w:rPr>
        <w:object w:dxaOrig="320" w:dyaOrig="360" w14:anchorId="7293B0FF">
          <v:shape id="_x0000_i1050" type="#_x0000_t75" style="width:15.75pt;height:19.5pt" o:ole="">
            <v:imagedata r:id="rId58" o:title=""/>
          </v:shape>
          <o:OLEObject Type="Embed" ProgID="Equation.3" ShapeID="_x0000_i1050" DrawAspect="Content" ObjectID="_1523979454" r:id="rId59"/>
        </w:object>
      </w:r>
      <w:r w:rsidR="003D4821" w:rsidRPr="00525460">
        <w:rPr>
          <w:szCs w:val="22"/>
          <w:lang w:val="en-GB"/>
        </w:rPr>
        <w:t xml:space="preserve"> is the total bubble diameter and </w:t>
      </w:r>
      <w:r w:rsidR="003D4821" w:rsidRPr="00525460">
        <w:rPr>
          <w:position w:val="-10"/>
          <w:szCs w:val="22"/>
          <w:lang w:val="en-GB"/>
        </w:rPr>
        <w:object w:dxaOrig="320" w:dyaOrig="360" w14:anchorId="26FA0A4B">
          <v:shape id="_x0000_i1051" type="#_x0000_t75" style="width:15.75pt;height:19.5pt" o:ole="">
            <v:imagedata r:id="rId60" o:title=""/>
          </v:shape>
          <o:OLEObject Type="Embed" ProgID="Equation.3" ShapeID="_x0000_i1051" DrawAspect="Content" ObjectID="_1523979455" r:id="rId61"/>
        </w:object>
      </w:r>
      <w:r w:rsidR="003D4821" w:rsidRPr="00525460">
        <w:rPr>
          <w:szCs w:val="22"/>
          <w:lang w:val="en-GB"/>
        </w:rPr>
        <w:t>is the total bubble surface area) were observe to be decreasing because small initial bubble size tend to favour coalescence mechanism. The oppo</w:t>
      </w:r>
      <w:r>
        <w:rPr>
          <w:szCs w:val="22"/>
          <w:lang w:val="en-GB"/>
        </w:rPr>
        <w:t>site can be observed in Figure S1</w:t>
      </w:r>
      <w:r w:rsidR="003D4821" w:rsidRPr="00525460">
        <w:rPr>
          <w:szCs w:val="22"/>
          <w:lang w:val="en-GB"/>
        </w:rPr>
        <w:t>B where the initial bubble size is larger, thus creating a condition favourable for breakage.</w:t>
      </w:r>
    </w:p>
    <w:p w14:paraId="77DBA1AC" w14:textId="77777777" w:rsidR="003D4821" w:rsidRPr="00525460" w:rsidRDefault="003D4821" w:rsidP="003D4821">
      <w:pPr>
        <w:contextualSpacing/>
        <w:jc w:val="both"/>
        <w:rPr>
          <w:szCs w:val="22"/>
          <w:lang w:val="en-GB"/>
        </w:rPr>
      </w:pPr>
    </w:p>
    <w:p w14:paraId="3FD64124" w14:textId="77777777" w:rsidR="003D4821" w:rsidRPr="00525460" w:rsidRDefault="003D4821" w:rsidP="003D4821">
      <w:pPr>
        <w:contextualSpacing/>
        <w:jc w:val="both"/>
        <w:rPr>
          <w:szCs w:val="22"/>
          <w:lang w:val="en-GB"/>
        </w:rPr>
      </w:pPr>
      <w:r w:rsidRPr="00900C13">
        <w:rPr>
          <w:szCs w:val="22"/>
          <w:lang w:val="en-GB"/>
        </w:rPr>
        <w:t>Results from the single compartment simulation reflect that QMOM algorithm is capable of predicting the bubble Sauter mean diameter in good agreement with published correlations for the air-water system. The developed PBM algorithm is capable of responding well to various settings, representing either a coalescence or break-up dominating system. Therefore, the present algorithm was used as a basis for the development of multi-compartment PBM.</w:t>
      </w:r>
    </w:p>
    <w:p w14:paraId="4AACB036" w14:textId="77777777" w:rsidR="006F78EC" w:rsidRDefault="006F78EC" w:rsidP="006F78EC">
      <w:pPr>
        <w:jc w:val="both"/>
        <w:rPr>
          <w:bCs/>
          <w:szCs w:val="22"/>
          <w:lang w:val="en-GB"/>
        </w:rPr>
      </w:pPr>
    </w:p>
    <w:p w14:paraId="61673B1E" w14:textId="59657F8A" w:rsidR="006F78EC" w:rsidRPr="0075626E" w:rsidRDefault="00096AD6" w:rsidP="006F78EC">
      <w:pPr>
        <w:jc w:val="both"/>
        <w:rPr>
          <w:b/>
          <w:bCs/>
          <w:szCs w:val="22"/>
          <w:lang w:val="en-GB"/>
        </w:rPr>
      </w:pPr>
      <w:r>
        <w:rPr>
          <w:b/>
          <w:bCs/>
          <w:szCs w:val="22"/>
          <w:lang w:val="en-GB"/>
        </w:rPr>
        <w:t>Figure S2</w:t>
      </w:r>
    </w:p>
    <w:p w14:paraId="3D3E8000" w14:textId="3778B25A" w:rsidR="006F78EC" w:rsidRPr="0075626E" w:rsidRDefault="00096AD6" w:rsidP="006F78EC">
      <w:pPr>
        <w:jc w:val="both"/>
        <w:rPr>
          <w:b/>
          <w:bCs/>
          <w:szCs w:val="22"/>
          <w:lang w:val="en-GB"/>
        </w:rPr>
      </w:pPr>
      <w:r>
        <w:rPr>
          <w:b/>
          <w:bCs/>
          <w:szCs w:val="22"/>
          <w:lang w:val="en-GB"/>
        </w:rPr>
        <w:t>Figure S3</w:t>
      </w:r>
    </w:p>
    <w:p w14:paraId="2AC64C5A" w14:textId="1AB8788A" w:rsidR="00EB7556" w:rsidRPr="005759F6" w:rsidRDefault="00096AD6" w:rsidP="000F0353">
      <w:pPr>
        <w:rPr>
          <w:b/>
          <w:bCs/>
          <w:color w:val="0000FF"/>
          <w:szCs w:val="22"/>
          <w:lang w:val="en-GB"/>
        </w:rPr>
      </w:pPr>
      <w:r>
        <w:rPr>
          <w:b/>
          <w:bCs/>
          <w:szCs w:val="22"/>
          <w:lang w:val="en-GB"/>
        </w:rPr>
        <w:t>Figure S4</w:t>
      </w:r>
      <w:r w:rsidR="00D36AF8">
        <w:rPr>
          <w:b/>
          <w:bCs/>
          <w:szCs w:val="22"/>
          <w:lang w:val="en-GB"/>
        </w:rPr>
        <w:br/>
      </w:r>
      <w:r w:rsidR="00D36AF8" w:rsidRPr="005759F6">
        <w:rPr>
          <w:b/>
          <w:bCs/>
          <w:color w:val="0000FF"/>
          <w:szCs w:val="22"/>
          <w:lang w:val="en-GB"/>
        </w:rPr>
        <w:t>Figure S5</w:t>
      </w:r>
    </w:p>
    <w:p w14:paraId="55F7B3C5" w14:textId="7B1F2A0C" w:rsidR="00D36AF8" w:rsidRPr="005759F6" w:rsidRDefault="00D36AF8" w:rsidP="000F0353">
      <w:pPr>
        <w:rPr>
          <w:b/>
          <w:color w:val="0000FF"/>
          <w:szCs w:val="22"/>
          <w:lang w:val="en-GB"/>
        </w:rPr>
      </w:pPr>
      <w:r w:rsidRPr="005759F6">
        <w:rPr>
          <w:b/>
          <w:bCs/>
          <w:color w:val="0000FF"/>
          <w:szCs w:val="22"/>
          <w:lang w:val="en-GB"/>
        </w:rPr>
        <w:t>Figure S6</w:t>
      </w:r>
    </w:p>
    <w:p w14:paraId="5602E7FF" w14:textId="50A87833" w:rsidR="00D273E9" w:rsidRPr="00B234AB" w:rsidRDefault="00D273E9" w:rsidP="00B234AB">
      <w:pPr>
        <w:contextualSpacing/>
        <w:rPr>
          <w:b/>
          <w:szCs w:val="22"/>
          <w:lang w:val="en-GB"/>
        </w:rPr>
      </w:pPr>
      <w:bookmarkStart w:id="3" w:name="_Toc223250817"/>
      <w:bookmarkStart w:id="4" w:name="_GoBack"/>
      <w:bookmarkEnd w:id="4"/>
    </w:p>
    <w:p w14:paraId="5B180635" w14:textId="30F95254" w:rsidR="00D273E9" w:rsidRPr="00BE74B3" w:rsidRDefault="00D273E9" w:rsidP="00D273E9">
      <w:pPr>
        <w:ind w:left="567" w:hanging="567"/>
        <w:contextualSpacing/>
        <w:rPr>
          <w:b/>
          <w:szCs w:val="22"/>
          <w:lang w:val="en-GB"/>
        </w:rPr>
      </w:pPr>
      <w:r w:rsidRPr="00BE74B3">
        <w:rPr>
          <w:b/>
          <w:szCs w:val="22"/>
          <w:lang w:val="en-GB"/>
        </w:rPr>
        <w:t xml:space="preserve">List of </w:t>
      </w:r>
      <w:r>
        <w:rPr>
          <w:b/>
          <w:szCs w:val="22"/>
          <w:lang w:val="en-GB"/>
        </w:rPr>
        <w:t>Supplementary Data</w:t>
      </w:r>
    </w:p>
    <w:p w14:paraId="6944FD26" w14:textId="673FECC6" w:rsidR="00D273E9" w:rsidRPr="00FA4D69" w:rsidRDefault="00900C13" w:rsidP="00D273E9">
      <w:pPr>
        <w:jc w:val="both"/>
        <w:rPr>
          <w:szCs w:val="22"/>
          <w:lang w:val="en-GB"/>
        </w:rPr>
      </w:pPr>
      <w:r>
        <w:rPr>
          <w:szCs w:val="22"/>
          <w:lang w:val="en-GB"/>
        </w:rPr>
        <w:t>Figure S1</w:t>
      </w:r>
      <w:r w:rsidRPr="005F0ABF">
        <w:rPr>
          <w:szCs w:val="22"/>
          <w:lang w:val="en-GB"/>
        </w:rPr>
        <w:t>:</w:t>
      </w:r>
      <w:r w:rsidR="00FA4D69">
        <w:rPr>
          <w:szCs w:val="22"/>
          <w:lang w:val="en-GB"/>
        </w:rPr>
        <w:t xml:space="preserve"> </w:t>
      </w:r>
      <w:r w:rsidR="00D273E9" w:rsidRPr="00525460">
        <w:rPr>
          <w:bCs/>
          <w:szCs w:val="22"/>
          <w:lang w:val="en-GB"/>
        </w:rPr>
        <w:t xml:space="preserve">Example of initial bubble distribution for lognormal function with </w:t>
      </w:r>
      <w:r w:rsidR="00D273E9" w:rsidRPr="00525460">
        <w:rPr>
          <w:bCs/>
          <w:i/>
          <w:szCs w:val="22"/>
          <w:lang w:val="en-GB"/>
        </w:rPr>
        <w:t>d</w:t>
      </w:r>
      <w:r w:rsidR="00D273E9" w:rsidRPr="00525460">
        <w:rPr>
          <w:bCs/>
          <w:i/>
          <w:szCs w:val="22"/>
          <w:vertAlign w:val="subscript"/>
          <w:lang w:val="en-GB"/>
        </w:rPr>
        <w:t>mean</w:t>
      </w:r>
      <w:r w:rsidR="00D273E9" w:rsidRPr="00525460">
        <w:rPr>
          <w:bCs/>
          <w:szCs w:val="22"/>
          <w:lang w:val="en-GB"/>
        </w:rPr>
        <w:t xml:space="preserve"> = 2.2 mm, </w:t>
      </w:r>
      <w:r w:rsidR="00D273E9" w:rsidRPr="00525460">
        <w:rPr>
          <w:bCs/>
          <w:i/>
          <w:szCs w:val="22"/>
          <w:lang w:val="en-GB"/>
        </w:rPr>
        <w:t>σ</w:t>
      </w:r>
      <w:r w:rsidR="00D273E9" w:rsidRPr="00525460">
        <w:rPr>
          <w:bCs/>
          <w:i/>
          <w:szCs w:val="22"/>
          <w:vertAlign w:val="subscript"/>
          <w:lang w:val="en-GB"/>
        </w:rPr>
        <w:t>d</w:t>
      </w:r>
      <w:r w:rsidR="00D273E9" w:rsidRPr="00525460">
        <w:rPr>
          <w:bCs/>
          <w:szCs w:val="22"/>
          <w:lang w:val="en-GB"/>
        </w:rPr>
        <w:t xml:space="preserve"> = 0.2 mm), </w:t>
      </w:r>
      <w:r w:rsidR="00D273E9">
        <w:rPr>
          <w:bCs/>
          <w:szCs w:val="22"/>
          <w:lang w:val="en-GB"/>
        </w:rPr>
        <w:t>(</w:t>
      </w:r>
      <w:r w:rsidR="00D273E9" w:rsidRPr="00525460">
        <w:rPr>
          <w:bCs/>
          <w:szCs w:val="22"/>
          <w:lang w:val="en-GB"/>
        </w:rPr>
        <w:t xml:space="preserve">A) Bubble size distribution, </w:t>
      </w:r>
      <w:r w:rsidR="00D273E9">
        <w:rPr>
          <w:bCs/>
          <w:szCs w:val="22"/>
          <w:lang w:val="en-GB"/>
        </w:rPr>
        <w:t>(</w:t>
      </w:r>
      <w:r w:rsidR="00D273E9" w:rsidRPr="00525460">
        <w:rPr>
          <w:bCs/>
          <w:szCs w:val="22"/>
          <w:lang w:val="en-GB"/>
        </w:rPr>
        <w:t>B) Weights and abscissas obtained using PD algorithm</w:t>
      </w:r>
      <w:bookmarkEnd w:id="3"/>
      <w:r w:rsidR="00D273E9">
        <w:rPr>
          <w:bCs/>
          <w:szCs w:val="22"/>
          <w:lang w:val="en-GB"/>
        </w:rPr>
        <w:t>.</w:t>
      </w:r>
    </w:p>
    <w:p w14:paraId="10ADABDA" w14:textId="6BD48C10" w:rsidR="00D273E9" w:rsidRDefault="00FA4D69" w:rsidP="00FA4D69">
      <w:pPr>
        <w:rPr>
          <w:bCs/>
          <w:szCs w:val="22"/>
          <w:lang w:val="en-GB"/>
        </w:rPr>
      </w:pPr>
      <w:bookmarkStart w:id="5" w:name="_Toc350697592"/>
      <w:bookmarkStart w:id="6" w:name="_Toc223250820"/>
      <w:r>
        <w:rPr>
          <w:bCs/>
          <w:szCs w:val="22"/>
          <w:lang w:val="en-GB"/>
        </w:rPr>
        <w:t xml:space="preserve">Figure S2: </w:t>
      </w:r>
      <w:r w:rsidR="00D273E9" w:rsidRPr="00525460">
        <w:rPr>
          <w:bCs/>
          <w:szCs w:val="22"/>
          <w:lang w:val="en-GB"/>
        </w:rPr>
        <w:t xml:space="preserve">Computational grid showing tank wall and its internal for Laakkonen et al. (2007)’s geometry, </w:t>
      </w:r>
      <w:r w:rsidR="00D273E9">
        <w:rPr>
          <w:bCs/>
          <w:szCs w:val="22"/>
          <w:lang w:val="en-GB"/>
        </w:rPr>
        <w:t>(</w:t>
      </w:r>
      <w:r w:rsidR="00D273E9" w:rsidRPr="00525460">
        <w:rPr>
          <w:bCs/>
          <w:szCs w:val="22"/>
          <w:lang w:val="en-GB"/>
        </w:rPr>
        <w:t xml:space="preserve">A) coarse, </w:t>
      </w:r>
      <w:r w:rsidR="00D273E9">
        <w:rPr>
          <w:bCs/>
          <w:szCs w:val="22"/>
          <w:lang w:val="en-GB"/>
        </w:rPr>
        <w:t>(</w:t>
      </w:r>
      <w:r w:rsidR="00D273E9" w:rsidRPr="00525460">
        <w:rPr>
          <w:bCs/>
          <w:szCs w:val="22"/>
          <w:lang w:val="en-GB"/>
        </w:rPr>
        <w:t xml:space="preserve">B) intermediate, </w:t>
      </w:r>
      <w:r w:rsidR="00D273E9">
        <w:rPr>
          <w:bCs/>
          <w:szCs w:val="22"/>
          <w:lang w:val="en-GB"/>
        </w:rPr>
        <w:t>(</w:t>
      </w:r>
      <w:r w:rsidR="00D273E9" w:rsidRPr="00525460">
        <w:rPr>
          <w:bCs/>
          <w:szCs w:val="22"/>
          <w:lang w:val="en-GB"/>
        </w:rPr>
        <w:t>C) fine</w:t>
      </w:r>
      <w:bookmarkEnd w:id="5"/>
      <w:bookmarkEnd w:id="6"/>
      <w:r w:rsidR="00D273E9">
        <w:rPr>
          <w:bCs/>
          <w:szCs w:val="22"/>
          <w:lang w:val="en-GB"/>
        </w:rPr>
        <w:t>.</w:t>
      </w:r>
    </w:p>
    <w:p w14:paraId="74F33545" w14:textId="77777777" w:rsidR="00ED73A9" w:rsidRDefault="00FA4D69" w:rsidP="00ED73A9">
      <w:pPr>
        <w:rPr>
          <w:szCs w:val="22"/>
          <w:lang w:val="en-GB"/>
        </w:rPr>
      </w:pPr>
      <w:bookmarkStart w:id="7" w:name="_Toc350697595"/>
      <w:bookmarkStart w:id="8" w:name="_Toc223250824"/>
      <w:r w:rsidRPr="00ED73A9">
        <w:rPr>
          <w:color w:val="000000" w:themeColor="text1"/>
          <w:szCs w:val="22"/>
        </w:rPr>
        <w:t>Figure S3:</w:t>
      </w:r>
      <w:r w:rsidR="00ED73A9">
        <w:rPr>
          <w:b/>
          <w:color w:val="000000" w:themeColor="text1"/>
          <w:szCs w:val="22"/>
        </w:rPr>
        <w:t xml:space="preserve"> </w:t>
      </w:r>
      <w:r w:rsidR="00ED73A9" w:rsidRPr="00525460">
        <w:rPr>
          <w:szCs w:val="22"/>
          <w:lang w:val="en-GB"/>
        </w:rPr>
        <w:t>Result</w:t>
      </w:r>
      <w:r w:rsidR="00ED73A9">
        <w:rPr>
          <w:szCs w:val="22"/>
          <w:lang w:val="en-GB"/>
        </w:rPr>
        <w:t xml:space="preserve">s on </w:t>
      </w:r>
      <w:r w:rsidR="00ED73A9" w:rsidRPr="00525460">
        <w:rPr>
          <w:szCs w:val="22"/>
          <w:lang w:val="en-GB"/>
        </w:rPr>
        <w:t xml:space="preserve">grid analysis at z = 0 with respect to the impeller and   </w:t>
      </w:r>
      <w:r w:rsidR="00ED73A9" w:rsidRPr="00525460">
        <w:rPr>
          <w:i/>
          <w:szCs w:val="22"/>
          <w:lang w:val="en-GB"/>
        </w:rPr>
        <w:t>r/R</w:t>
      </w:r>
      <w:r w:rsidR="00ED73A9" w:rsidRPr="00525460">
        <w:rPr>
          <w:szCs w:val="22"/>
          <w:lang w:val="en-GB"/>
        </w:rPr>
        <w:t xml:space="preserve"> = 0.37 (</w:t>
      </w:r>
      <w:r w:rsidR="00ED73A9" w:rsidRPr="00525460">
        <w:rPr>
          <w:i/>
          <w:szCs w:val="22"/>
          <w:lang w:val="en-GB"/>
        </w:rPr>
        <w:t>N</w:t>
      </w:r>
      <w:r w:rsidR="00ED73A9" w:rsidRPr="00525460">
        <w:rPr>
          <w:szCs w:val="22"/>
          <w:lang w:val="en-GB"/>
        </w:rPr>
        <w:t xml:space="preserve"> = 513 rpm and </w:t>
      </w:r>
      <w:r w:rsidR="00ED73A9" w:rsidRPr="00525460">
        <w:rPr>
          <w:i/>
          <w:szCs w:val="22"/>
          <w:lang w:val="en-GB"/>
        </w:rPr>
        <w:t>Q</w:t>
      </w:r>
      <w:r w:rsidR="00ED73A9" w:rsidRPr="00525460">
        <w:rPr>
          <w:i/>
          <w:szCs w:val="22"/>
          <w:vertAlign w:val="subscript"/>
          <w:lang w:val="en-GB"/>
        </w:rPr>
        <w:t>g</w:t>
      </w:r>
      <w:r w:rsidR="00ED73A9" w:rsidRPr="00525460">
        <w:rPr>
          <w:szCs w:val="22"/>
          <w:lang w:val="en-GB"/>
        </w:rPr>
        <w:t xml:space="preserve"> = 0.7 </w:t>
      </w:r>
      <w:r w:rsidR="00ED73A9" w:rsidRPr="00525460">
        <w:rPr>
          <w:i/>
          <w:szCs w:val="22"/>
          <w:lang w:val="en-GB"/>
        </w:rPr>
        <w:t>VVM</w:t>
      </w:r>
      <w:r w:rsidR="00ED73A9" w:rsidRPr="00525460">
        <w:rPr>
          <w:szCs w:val="22"/>
          <w:lang w:val="en-GB"/>
        </w:rPr>
        <w:t xml:space="preserve">), </w:t>
      </w:r>
      <w:r w:rsidR="00ED73A9">
        <w:rPr>
          <w:szCs w:val="22"/>
          <w:lang w:val="en-GB"/>
        </w:rPr>
        <w:t>(A) L</w:t>
      </w:r>
      <w:r w:rsidR="00ED73A9" w:rsidRPr="00525460">
        <w:rPr>
          <w:szCs w:val="22"/>
          <w:lang w:val="en-GB"/>
        </w:rPr>
        <w:t xml:space="preserve">iquid tangential velocity, </w:t>
      </w:r>
      <w:r w:rsidR="00ED73A9">
        <w:rPr>
          <w:szCs w:val="22"/>
          <w:lang w:val="en-GB"/>
        </w:rPr>
        <w:t>(B) G</w:t>
      </w:r>
      <w:r w:rsidR="00ED73A9" w:rsidRPr="00525460">
        <w:rPr>
          <w:szCs w:val="22"/>
          <w:lang w:val="en-GB"/>
        </w:rPr>
        <w:t>as tangential velocity</w:t>
      </w:r>
      <w:r w:rsidR="00ED73A9" w:rsidRPr="00416BE8">
        <w:rPr>
          <w:color w:val="0000FF"/>
          <w:szCs w:val="22"/>
          <w:lang w:val="en-GB"/>
        </w:rPr>
        <w:t xml:space="preserve"> </w:t>
      </w:r>
      <w:r w:rsidR="00ED73A9">
        <w:rPr>
          <w:color w:val="0000FF"/>
          <w:szCs w:val="22"/>
          <w:lang w:val="en-GB"/>
        </w:rPr>
        <w:t xml:space="preserve">(Gimbun et al., </w:t>
      </w:r>
      <w:r w:rsidR="00ED73A9" w:rsidRPr="00CB346A">
        <w:rPr>
          <w:color w:val="0000FF"/>
          <w:szCs w:val="22"/>
          <w:lang w:val="en-GB"/>
        </w:rPr>
        <w:t>2009)</w:t>
      </w:r>
      <w:r w:rsidR="00ED73A9" w:rsidRPr="00525460">
        <w:rPr>
          <w:szCs w:val="22"/>
          <w:lang w:val="en-GB"/>
        </w:rPr>
        <w:t xml:space="preserve">, </w:t>
      </w:r>
      <w:r w:rsidR="00ED73A9">
        <w:rPr>
          <w:szCs w:val="22"/>
          <w:lang w:val="en-GB"/>
        </w:rPr>
        <w:t>(</w:t>
      </w:r>
      <w:r w:rsidR="00ED73A9" w:rsidRPr="00525460">
        <w:rPr>
          <w:szCs w:val="22"/>
          <w:lang w:val="en-GB"/>
        </w:rPr>
        <w:t xml:space="preserve">C) </w:t>
      </w:r>
      <w:r w:rsidR="00ED73A9" w:rsidRPr="00525460">
        <w:rPr>
          <w:i/>
          <w:szCs w:val="22"/>
          <w:lang w:val="en-GB"/>
        </w:rPr>
        <w:t>ε</w:t>
      </w:r>
      <w:r w:rsidR="00ED73A9" w:rsidRPr="00525460">
        <w:rPr>
          <w:szCs w:val="22"/>
          <w:lang w:val="en-GB"/>
        </w:rPr>
        <w:t xml:space="preserve"> of the liquid phase, D) </w:t>
      </w:r>
      <w:r w:rsidR="00ED73A9" w:rsidRPr="00525460">
        <w:rPr>
          <w:i/>
          <w:szCs w:val="22"/>
          <w:lang w:val="en-GB"/>
        </w:rPr>
        <w:t>k</w:t>
      </w:r>
      <w:r w:rsidR="00ED73A9" w:rsidRPr="00525460">
        <w:rPr>
          <w:szCs w:val="22"/>
          <w:lang w:val="en-GB"/>
        </w:rPr>
        <w:t xml:space="preserve"> of the liquid phase</w:t>
      </w:r>
      <w:r w:rsidR="00ED73A9">
        <w:rPr>
          <w:szCs w:val="22"/>
          <w:lang w:val="en-GB"/>
        </w:rPr>
        <w:t xml:space="preserve"> </w:t>
      </w:r>
      <w:r w:rsidR="00ED73A9">
        <w:rPr>
          <w:color w:val="0000FF"/>
          <w:szCs w:val="22"/>
          <w:lang w:val="en-GB"/>
        </w:rPr>
        <w:t xml:space="preserve">(Gimbun et al., </w:t>
      </w:r>
      <w:r w:rsidR="00ED73A9" w:rsidRPr="00CB346A">
        <w:rPr>
          <w:color w:val="0000FF"/>
          <w:szCs w:val="22"/>
          <w:lang w:val="en-GB"/>
        </w:rPr>
        <w:t>2009)</w:t>
      </w:r>
      <w:r w:rsidR="00ED73A9">
        <w:rPr>
          <w:szCs w:val="22"/>
          <w:lang w:val="en-GB"/>
        </w:rPr>
        <w:t>.</w:t>
      </w:r>
    </w:p>
    <w:bookmarkEnd w:id="7"/>
    <w:bookmarkEnd w:id="8"/>
    <w:p w14:paraId="4946101D" w14:textId="31FB7C19" w:rsidR="00CB346A" w:rsidRPr="00006562" w:rsidRDefault="00ED73A9" w:rsidP="00ED73A9">
      <w:pPr>
        <w:pStyle w:val="Caption"/>
        <w:rPr>
          <w:rFonts w:ascii="Times New Roman" w:hAnsi="Times New Roman" w:cs="Times New Roman"/>
          <w:b w:val="0"/>
          <w:color w:val="000000" w:themeColor="text1"/>
          <w:sz w:val="22"/>
          <w:szCs w:val="22"/>
        </w:rPr>
      </w:pPr>
      <w:r w:rsidRPr="00006562">
        <w:rPr>
          <w:rFonts w:ascii="Times New Roman" w:hAnsi="Times New Roman" w:cs="Times New Roman"/>
          <w:b w:val="0"/>
          <w:color w:val="0000FF"/>
          <w:sz w:val="22"/>
          <w:szCs w:val="22"/>
        </w:rPr>
        <w:t>Figure S4</w:t>
      </w:r>
      <w:r w:rsidR="00CB346A" w:rsidRPr="00006562">
        <w:rPr>
          <w:rFonts w:ascii="Times New Roman" w:hAnsi="Times New Roman" w:cs="Times New Roman"/>
          <w:b w:val="0"/>
          <w:color w:val="0000FF"/>
          <w:sz w:val="22"/>
          <w:szCs w:val="22"/>
        </w:rPr>
        <w:t>: Prediction of turbulence kinetic energy, (A) Single phase, (B)</w:t>
      </w:r>
      <w:r w:rsidR="00320E04" w:rsidRPr="00006562">
        <w:rPr>
          <w:rFonts w:ascii="Times New Roman" w:hAnsi="Times New Roman" w:cs="Times New Roman"/>
          <w:b w:val="0"/>
          <w:color w:val="0000FF"/>
          <w:sz w:val="22"/>
          <w:szCs w:val="22"/>
        </w:rPr>
        <w:t xml:space="preserve"> Gas-liquid system (gas phase). Experimental data obtained from Deen (2001).</w:t>
      </w:r>
    </w:p>
    <w:p w14:paraId="6E1616AC" w14:textId="0C31DC12" w:rsidR="00320E04" w:rsidRPr="00D36AF8" w:rsidRDefault="00320E04" w:rsidP="00D273E9">
      <w:pPr>
        <w:rPr>
          <w:color w:val="0000FF"/>
          <w:szCs w:val="22"/>
          <w:lang w:val="en-GB"/>
        </w:rPr>
      </w:pPr>
      <w:r w:rsidRPr="00D36AF8">
        <w:rPr>
          <w:color w:val="0000FF"/>
          <w:szCs w:val="22"/>
          <w:lang w:val="en-GB"/>
        </w:rPr>
        <w:t>F</w:t>
      </w:r>
      <w:r w:rsidR="00ED73A9">
        <w:rPr>
          <w:color w:val="0000FF"/>
          <w:szCs w:val="22"/>
          <w:lang w:val="en-GB"/>
        </w:rPr>
        <w:t>igure S5</w:t>
      </w:r>
      <w:r w:rsidRPr="00D36AF8">
        <w:rPr>
          <w:color w:val="0000FF"/>
          <w:szCs w:val="22"/>
          <w:lang w:val="en-GB"/>
        </w:rPr>
        <w:t xml:space="preserve">: Comparison between the turbulent dissipation rate for single phase and gas-liquid stirred tank. Data points estimated using Wu and Patterson (1989) </w:t>
      </w:r>
      <w:r w:rsidR="00D36AF8" w:rsidRPr="00D36AF8">
        <w:rPr>
          <w:color w:val="0000FF"/>
          <w:szCs w:val="22"/>
          <w:lang w:val="en-GB"/>
        </w:rPr>
        <w:t>equation</w:t>
      </w:r>
      <w:r w:rsidR="00A841B3" w:rsidRPr="00D36AF8">
        <w:rPr>
          <w:color w:val="0000FF"/>
          <w:szCs w:val="22"/>
          <w:lang w:val="en-GB"/>
        </w:rPr>
        <w:t xml:space="preserve"> on dissipation rate</w:t>
      </w:r>
      <w:r w:rsidR="0051390D">
        <w:rPr>
          <w:color w:val="0000FF"/>
          <w:szCs w:val="22"/>
          <w:lang w:val="en-GB"/>
        </w:rPr>
        <w:t xml:space="preserve">, </w:t>
      </w:r>
      <w:r w:rsidR="0075460A" w:rsidRPr="0075460A">
        <w:rPr>
          <w:color w:val="0000FF"/>
          <w:position w:val="-30"/>
          <w:sz w:val="19"/>
          <w:szCs w:val="19"/>
          <w:lang w:val="en-GB"/>
        </w:rPr>
        <w:object w:dxaOrig="1480" w:dyaOrig="780" w14:anchorId="42F6F7DB">
          <v:shape id="_x0000_i1052" type="#_x0000_t75" style="width:72.75pt;height:39pt" o:ole="">
            <v:imagedata r:id="rId62" o:title=""/>
          </v:shape>
          <o:OLEObject Type="Embed" ProgID="Equation.3" ShapeID="_x0000_i1052" DrawAspect="Content" ObjectID="_1523979456" r:id="rId63"/>
        </w:object>
      </w:r>
      <w:r w:rsidR="00724A90">
        <w:rPr>
          <w:color w:val="0000FF"/>
          <w:szCs w:val="22"/>
          <w:lang w:val="en-GB"/>
        </w:rPr>
        <w:t xml:space="preserve"> </w:t>
      </w:r>
      <w:r w:rsidRPr="00D36AF8">
        <w:rPr>
          <w:color w:val="0000FF"/>
          <w:szCs w:val="22"/>
          <w:lang w:val="en-GB"/>
        </w:rPr>
        <w:t>and Deen (2001)</w:t>
      </w:r>
      <w:r w:rsidR="00D36AF8" w:rsidRPr="00D36AF8">
        <w:rPr>
          <w:color w:val="0000FF"/>
          <w:szCs w:val="22"/>
          <w:lang w:val="en-GB"/>
        </w:rPr>
        <w:t>’s</w:t>
      </w:r>
      <w:r w:rsidRPr="00D36AF8">
        <w:rPr>
          <w:color w:val="0000FF"/>
          <w:szCs w:val="22"/>
          <w:lang w:val="en-GB"/>
        </w:rPr>
        <w:t xml:space="preserve"> measurement.</w:t>
      </w:r>
    </w:p>
    <w:sectPr w:rsidR="00320E04" w:rsidRPr="00D36AF8" w:rsidSect="00E750EB">
      <w:pgSz w:w="12240" w:h="15840"/>
      <w:pgMar w:top="1440" w:right="1800" w:bottom="1440" w:left="180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004C3" w14:textId="77777777" w:rsidR="000E23B2" w:rsidRDefault="000E23B2">
      <w:r>
        <w:separator/>
      </w:r>
    </w:p>
  </w:endnote>
  <w:endnote w:type="continuationSeparator" w:id="0">
    <w:p w14:paraId="70D02F63" w14:textId="77777777" w:rsidR="000E23B2" w:rsidRDefault="000E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448AF" w14:textId="77777777" w:rsidR="000E23B2" w:rsidRDefault="000E23B2">
      <w:r>
        <w:separator/>
      </w:r>
    </w:p>
  </w:footnote>
  <w:footnote w:type="continuationSeparator" w:id="0">
    <w:p w14:paraId="68558059" w14:textId="77777777" w:rsidR="000E23B2" w:rsidRDefault="000E23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528CB"/>
    <w:multiLevelType w:val="hybridMultilevel"/>
    <w:tmpl w:val="92507B94"/>
    <w:lvl w:ilvl="0" w:tplc="24BEDBDE">
      <w:start w:val="1"/>
      <w:numFmt w:val="decimal"/>
      <w:lvlText w:val="%1."/>
      <w:lvlJc w:val="left"/>
      <w:pPr>
        <w:ind w:left="720" w:hanging="360"/>
      </w:pPr>
      <w:rPr>
        <w:rFonts w:hint="default"/>
        <w:sz w:val="16"/>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110C3DB6"/>
    <w:multiLevelType w:val="multilevel"/>
    <w:tmpl w:val="67C0C5D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1703149B"/>
    <w:multiLevelType w:val="multilevel"/>
    <w:tmpl w:val="7E8051EC"/>
    <w:lvl w:ilvl="0">
      <w:start w:val="5"/>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0D07D77"/>
    <w:multiLevelType w:val="multilevel"/>
    <w:tmpl w:val="25B620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5F4490D"/>
    <w:multiLevelType w:val="hybridMultilevel"/>
    <w:tmpl w:val="F8DC95E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57035BF8"/>
    <w:multiLevelType w:val="multilevel"/>
    <w:tmpl w:val="67C0C5D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wNzcwMDY0NLSwNAKyDZV0lIJTi4sz8/NACgxrAe4zlHgsAAAA"/>
  </w:docVars>
  <w:rsids>
    <w:rsidRoot w:val="005E3CC5"/>
    <w:rsid w:val="00001399"/>
    <w:rsid w:val="00002482"/>
    <w:rsid w:val="0000633A"/>
    <w:rsid w:val="00006562"/>
    <w:rsid w:val="000124F3"/>
    <w:rsid w:val="00013811"/>
    <w:rsid w:val="000177B5"/>
    <w:rsid w:val="00022C99"/>
    <w:rsid w:val="0004757E"/>
    <w:rsid w:val="00062C99"/>
    <w:rsid w:val="00065A6E"/>
    <w:rsid w:val="00066C59"/>
    <w:rsid w:val="00072E6C"/>
    <w:rsid w:val="00075843"/>
    <w:rsid w:val="00080B33"/>
    <w:rsid w:val="00084332"/>
    <w:rsid w:val="0008444C"/>
    <w:rsid w:val="00087BB0"/>
    <w:rsid w:val="0009323A"/>
    <w:rsid w:val="000938F2"/>
    <w:rsid w:val="00096AD6"/>
    <w:rsid w:val="000A364B"/>
    <w:rsid w:val="000A6902"/>
    <w:rsid w:val="000B206B"/>
    <w:rsid w:val="000B2142"/>
    <w:rsid w:val="000B24FF"/>
    <w:rsid w:val="000C1B32"/>
    <w:rsid w:val="000C2429"/>
    <w:rsid w:val="000C456E"/>
    <w:rsid w:val="000C6A90"/>
    <w:rsid w:val="000D289E"/>
    <w:rsid w:val="000D44C5"/>
    <w:rsid w:val="000D6178"/>
    <w:rsid w:val="000D74A5"/>
    <w:rsid w:val="000E23B2"/>
    <w:rsid w:val="000E2D10"/>
    <w:rsid w:val="000E2F11"/>
    <w:rsid w:val="000E553C"/>
    <w:rsid w:val="000E6731"/>
    <w:rsid w:val="000F0353"/>
    <w:rsid w:val="000F08DC"/>
    <w:rsid w:val="00100594"/>
    <w:rsid w:val="0010376E"/>
    <w:rsid w:val="00105770"/>
    <w:rsid w:val="00106902"/>
    <w:rsid w:val="00107F71"/>
    <w:rsid w:val="00110089"/>
    <w:rsid w:val="00117ECB"/>
    <w:rsid w:val="001242A8"/>
    <w:rsid w:val="00124422"/>
    <w:rsid w:val="001303FA"/>
    <w:rsid w:val="001305C9"/>
    <w:rsid w:val="001317CF"/>
    <w:rsid w:val="00131F85"/>
    <w:rsid w:val="0013532D"/>
    <w:rsid w:val="00152A68"/>
    <w:rsid w:val="00164444"/>
    <w:rsid w:val="00166F81"/>
    <w:rsid w:val="00167F21"/>
    <w:rsid w:val="0017371B"/>
    <w:rsid w:val="00174602"/>
    <w:rsid w:val="00174F1D"/>
    <w:rsid w:val="001924A4"/>
    <w:rsid w:val="001960EA"/>
    <w:rsid w:val="0019621A"/>
    <w:rsid w:val="0019678F"/>
    <w:rsid w:val="001A00CA"/>
    <w:rsid w:val="001A1D3F"/>
    <w:rsid w:val="001B1ACD"/>
    <w:rsid w:val="001B6B82"/>
    <w:rsid w:val="001B6BDF"/>
    <w:rsid w:val="001C40E0"/>
    <w:rsid w:val="001D0C45"/>
    <w:rsid w:val="001D4506"/>
    <w:rsid w:val="001F3A10"/>
    <w:rsid w:val="001F54E0"/>
    <w:rsid w:val="00201345"/>
    <w:rsid w:val="00202BA9"/>
    <w:rsid w:val="00203182"/>
    <w:rsid w:val="00205CBE"/>
    <w:rsid w:val="00206B5A"/>
    <w:rsid w:val="00213F55"/>
    <w:rsid w:val="0021474D"/>
    <w:rsid w:val="002306A5"/>
    <w:rsid w:val="002336CA"/>
    <w:rsid w:val="00250ABE"/>
    <w:rsid w:val="00251A71"/>
    <w:rsid w:val="002541C3"/>
    <w:rsid w:val="00256976"/>
    <w:rsid w:val="00261423"/>
    <w:rsid w:val="002617C1"/>
    <w:rsid w:val="00263D39"/>
    <w:rsid w:val="002642AC"/>
    <w:rsid w:val="00264952"/>
    <w:rsid w:val="00267468"/>
    <w:rsid w:val="002752FD"/>
    <w:rsid w:val="00275F42"/>
    <w:rsid w:val="0027795E"/>
    <w:rsid w:val="002779BD"/>
    <w:rsid w:val="002839DD"/>
    <w:rsid w:val="00291011"/>
    <w:rsid w:val="002942C2"/>
    <w:rsid w:val="00295ED7"/>
    <w:rsid w:val="00296841"/>
    <w:rsid w:val="002A1A02"/>
    <w:rsid w:val="002A1EC8"/>
    <w:rsid w:val="002A2AED"/>
    <w:rsid w:val="002A7F45"/>
    <w:rsid w:val="002B4635"/>
    <w:rsid w:val="002B78AD"/>
    <w:rsid w:val="002D2E35"/>
    <w:rsid w:val="002D6E05"/>
    <w:rsid w:val="002D6FED"/>
    <w:rsid w:val="002D7E35"/>
    <w:rsid w:val="002E0804"/>
    <w:rsid w:val="002E2205"/>
    <w:rsid w:val="002E7643"/>
    <w:rsid w:val="002F1AA5"/>
    <w:rsid w:val="002F3562"/>
    <w:rsid w:val="002F50FC"/>
    <w:rsid w:val="003004CA"/>
    <w:rsid w:val="003019DC"/>
    <w:rsid w:val="00316E95"/>
    <w:rsid w:val="00320E04"/>
    <w:rsid w:val="003216EA"/>
    <w:rsid w:val="0032280E"/>
    <w:rsid w:val="00325D72"/>
    <w:rsid w:val="00332C20"/>
    <w:rsid w:val="00333D53"/>
    <w:rsid w:val="0033415B"/>
    <w:rsid w:val="003363E1"/>
    <w:rsid w:val="003471B8"/>
    <w:rsid w:val="003505C6"/>
    <w:rsid w:val="00352DF9"/>
    <w:rsid w:val="00354F0B"/>
    <w:rsid w:val="00357D5E"/>
    <w:rsid w:val="00365A0F"/>
    <w:rsid w:val="00366905"/>
    <w:rsid w:val="00366CA5"/>
    <w:rsid w:val="00370268"/>
    <w:rsid w:val="00372258"/>
    <w:rsid w:val="003770FF"/>
    <w:rsid w:val="003810CF"/>
    <w:rsid w:val="003826B1"/>
    <w:rsid w:val="00383422"/>
    <w:rsid w:val="00383ECA"/>
    <w:rsid w:val="00387114"/>
    <w:rsid w:val="003941EC"/>
    <w:rsid w:val="00396ECB"/>
    <w:rsid w:val="0039705F"/>
    <w:rsid w:val="003A0472"/>
    <w:rsid w:val="003A30D2"/>
    <w:rsid w:val="003A46B0"/>
    <w:rsid w:val="003A5878"/>
    <w:rsid w:val="003B4FAD"/>
    <w:rsid w:val="003B5020"/>
    <w:rsid w:val="003B7EA4"/>
    <w:rsid w:val="003D1D37"/>
    <w:rsid w:val="003D4821"/>
    <w:rsid w:val="003D5153"/>
    <w:rsid w:val="003E5B1F"/>
    <w:rsid w:val="003F2F09"/>
    <w:rsid w:val="003F590B"/>
    <w:rsid w:val="003F5B40"/>
    <w:rsid w:val="003F612A"/>
    <w:rsid w:val="00407A62"/>
    <w:rsid w:val="004102EB"/>
    <w:rsid w:val="004115A3"/>
    <w:rsid w:val="00411D0C"/>
    <w:rsid w:val="00416BE8"/>
    <w:rsid w:val="00416D7D"/>
    <w:rsid w:val="00433D1B"/>
    <w:rsid w:val="00436463"/>
    <w:rsid w:val="00441B0B"/>
    <w:rsid w:val="004420BE"/>
    <w:rsid w:val="00445A69"/>
    <w:rsid w:val="00451672"/>
    <w:rsid w:val="004547D6"/>
    <w:rsid w:val="0045561F"/>
    <w:rsid w:val="004639EC"/>
    <w:rsid w:val="00465C83"/>
    <w:rsid w:val="004662E6"/>
    <w:rsid w:val="004677B3"/>
    <w:rsid w:val="00473DDC"/>
    <w:rsid w:val="00474DB3"/>
    <w:rsid w:val="00476597"/>
    <w:rsid w:val="00480F9A"/>
    <w:rsid w:val="00482428"/>
    <w:rsid w:val="00482ACF"/>
    <w:rsid w:val="00482DA6"/>
    <w:rsid w:val="00482FA3"/>
    <w:rsid w:val="0048586B"/>
    <w:rsid w:val="004865E3"/>
    <w:rsid w:val="00487F40"/>
    <w:rsid w:val="00490864"/>
    <w:rsid w:val="004919EE"/>
    <w:rsid w:val="00494A3B"/>
    <w:rsid w:val="0049717D"/>
    <w:rsid w:val="004A2122"/>
    <w:rsid w:val="004A2F19"/>
    <w:rsid w:val="004A4291"/>
    <w:rsid w:val="004A4E48"/>
    <w:rsid w:val="004B052E"/>
    <w:rsid w:val="004B1CF2"/>
    <w:rsid w:val="004B212E"/>
    <w:rsid w:val="004B6B64"/>
    <w:rsid w:val="004B7EAE"/>
    <w:rsid w:val="004C1E39"/>
    <w:rsid w:val="004C2059"/>
    <w:rsid w:val="004D06F0"/>
    <w:rsid w:val="004D0763"/>
    <w:rsid w:val="004D128C"/>
    <w:rsid w:val="004D2510"/>
    <w:rsid w:val="004D3653"/>
    <w:rsid w:val="004D3D7F"/>
    <w:rsid w:val="004D7A60"/>
    <w:rsid w:val="004E10A2"/>
    <w:rsid w:val="004E24AE"/>
    <w:rsid w:val="004E6103"/>
    <w:rsid w:val="004E777D"/>
    <w:rsid w:val="004E7840"/>
    <w:rsid w:val="004F4174"/>
    <w:rsid w:val="005000AD"/>
    <w:rsid w:val="00503286"/>
    <w:rsid w:val="00504F2F"/>
    <w:rsid w:val="005138F2"/>
    <w:rsid w:val="0051390D"/>
    <w:rsid w:val="00522CFC"/>
    <w:rsid w:val="00525460"/>
    <w:rsid w:val="0053387A"/>
    <w:rsid w:val="00550CF0"/>
    <w:rsid w:val="005536D6"/>
    <w:rsid w:val="00555112"/>
    <w:rsid w:val="00555ADE"/>
    <w:rsid w:val="0056111F"/>
    <w:rsid w:val="00562462"/>
    <w:rsid w:val="00562F5E"/>
    <w:rsid w:val="00563CD2"/>
    <w:rsid w:val="005650D6"/>
    <w:rsid w:val="005717AD"/>
    <w:rsid w:val="00572BD1"/>
    <w:rsid w:val="005759F6"/>
    <w:rsid w:val="0058648F"/>
    <w:rsid w:val="005901CB"/>
    <w:rsid w:val="00594F94"/>
    <w:rsid w:val="00595708"/>
    <w:rsid w:val="00596381"/>
    <w:rsid w:val="00596DAC"/>
    <w:rsid w:val="005A4714"/>
    <w:rsid w:val="005A7E01"/>
    <w:rsid w:val="005B3131"/>
    <w:rsid w:val="005B33EE"/>
    <w:rsid w:val="005B62BB"/>
    <w:rsid w:val="005B7296"/>
    <w:rsid w:val="005B7E8A"/>
    <w:rsid w:val="005C3679"/>
    <w:rsid w:val="005C5CEF"/>
    <w:rsid w:val="005D17D0"/>
    <w:rsid w:val="005D3B82"/>
    <w:rsid w:val="005D562A"/>
    <w:rsid w:val="005E3CC5"/>
    <w:rsid w:val="005E6FD5"/>
    <w:rsid w:val="005E7A75"/>
    <w:rsid w:val="005F0ABF"/>
    <w:rsid w:val="005F0E0C"/>
    <w:rsid w:val="005F100F"/>
    <w:rsid w:val="005F1AB8"/>
    <w:rsid w:val="005F286C"/>
    <w:rsid w:val="005F2F76"/>
    <w:rsid w:val="005F63CA"/>
    <w:rsid w:val="00600110"/>
    <w:rsid w:val="0060590B"/>
    <w:rsid w:val="00605C39"/>
    <w:rsid w:val="00605D59"/>
    <w:rsid w:val="006072DE"/>
    <w:rsid w:val="0060735F"/>
    <w:rsid w:val="00611016"/>
    <w:rsid w:val="00620E25"/>
    <w:rsid w:val="00626FE9"/>
    <w:rsid w:val="006340F6"/>
    <w:rsid w:val="0064161B"/>
    <w:rsid w:val="00642093"/>
    <w:rsid w:val="00643692"/>
    <w:rsid w:val="00645C56"/>
    <w:rsid w:val="00653916"/>
    <w:rsid w:val="00653FDD"/>
    <w:rsid w:val="006664B4"/>
    <w:rsid w:val="00666AA6"/>
    <w:rsid w:val="0066786A"/>
    <w:rsid w:val="0068236E"/>
    <w:rsid w:val="00697B81"/>
    <w:rsid w:val="006B78B4"/>
    <w:rsid w:val="006C647C"/>
    <w:rsid w:val="006C7381"/>
    <w:rsid w:val="006D6B97"/>
    <w:rsid w:val="006E1721"/>
    <w:rsid w:val="006F4021"/>
    <w:rsid w:val="006F4C42"/>
    <w:rsid w:val="006F5127"/>
    <w:rsid w:val="006F65F2"/>
    <w:rsid w:val="006F7872"/>
    <w:rsid w:val="006F78EC"/>
    <w:rsid w:val="006F7D9B"/>
    <w:rsid w:val="007027C3"/>
    <w:rsid w:val="0071122A"/>
    <w:rsid w:val="00712A12"/>
    <w:rsid w:val="00715D7E"/>
    <w:rsid w:val="00720EC9"/>
    <w:rsid w:val="00724A90"/>
    <w:rsid w:val="007310DA"/>
    <w:rsid w:val="00735602"/>
    <w:rsid w:val="0073791B"/>
    <w:rsid w:val="00741342"/>
    <w:rsid w:val="00741AE5"/>
    <w:rsid w:val="0075460A"/>
    <w:rsid w:val="0075626E"/>
    <w:rsid w:val="007728C8"/>
    <w:rsid w:val="00774283"/>
    <w:rsid w:val="00774819"/>
    <w:rsid w:val="0077691C"/>
    <w:rsid w:val="00784B48"/>
    <w:rsid w:val="00787E2F"/>
    <w:rsid w:val="007908B4"/>
    <w:rsid w:val="00790E3C"/>
    <w:rsid w:val="0079106A"/>
    <w:rsid w:val="007925F8"/>
    <w:rsid w:val="00796F98"/>
    <w:rsid w:val="00797885"/>
    <w:rsid w:val="007A23CE"/>
    <w:rsid w:val="007A2922"/>
    <w:rsid w:val="007B767C"/>
    <w:rsid w:val="007C07C3"/>
    <w:rsid w:val="007C0AEC"/>
    <w:rsid w:val="007C0F5D"/>
    <w:rsid w:val="007C1236"/>
    <w:rsid w:val="007C29EF"/>
    <w:rsid w:val="007D284D"/>
    <w:rsid w:val="007D3AC5"/>
    <w:rsid w:val="007D5016"/>
    <w:rsid w:val="007E0423"/>
    <w:rsid w:val="007E10AC"/>
    <w:rsid w:val="007E4D6E"/>
    <w:rsid w:val="007F2DEE"/>
    <w:rsid w:val="007F51B9"/>
    <w:rsid w:val="0080271B"/>
    <w:rsid w:val="00804B79"/>
    <w:rsid w:val="00805830"/>
    <w:rsid w:val="008169D1"/>
    <w:rsid w:val="00825138"/>
    <w:rsid w:val="00826A22"/>
    <w:rsid w:val="00831DA8"/>
    <w:rsid w:val="00836ABD"/>
    <w:rsid w:val="008431CF"/>
    <w:rsid w:val="00843825"/>
    <w:rsid w:val="008452B6"/>
    <w:rsid w:val="00851A2E"/>
    <w:rsid w:val="008525AF"/>
    <w:rsid w:val="00852A3A"/>
    <w:rsid w:val="00853C02"/>
    <w:rsid w:val="00855B8E"/>
    <w:rsid w:val="0086042B"/>
    <w:rsid w:val="008622C2"/>
    <w:rsid w:val="00865397"/>
    <w:rsid w:val="00874144"/>
    <w:rsid w:val="00875B00"/>
    <w:rsid w:val="00877114"/>
    <w:rsid w:val="0088434C"/>
    <w:rsid w:val="00885009"/>
    <w:rsid w:val="00886D70"/>
    <w:rsid w:val="00893A9C"/>
    <w:rsid w:val="00895CFF"/>
    <w:rsid w:val="00897750"/>
    <w:rsid w:val="008A0B79"/>
    <w:rsid w:val="008A751C"/>
    <w:rsid w:val="008A7D17"/>
    <w:rsid w:val="008A7FB4"/>
    <w:rsid w:val="008B4A6A"/>
    <w:rsid w:val="008C4668"/>
    <w:rsid w:val="008C6065"/>
    <w:rsid w:val="008D0091"/>
    <w:rsid w:val="008E076E"/>
    <w:rsid w:val="008E290A"/>
    <w:rsid w:val="008E4AF2"/>
    <w:rsid w:val="008E7523"/>
    <w:rsid w:val="008F1C3A"/>
    <w:rsid w:val="008F4E62"/>
    <w:rsid w:val="008F6B82"/>
    <w:rsid w:val="009008C2"/>
    <w:rsid w:val="00900C13"/>
    <w:rsid w:val="00902638"/>
    <w:rsid w:val="00907F81"/>
    <w:rsid w:val="00913D18"/>
    <w:rsid w:val="00920EFC"/>
    <w:rsid w:val="009349A2"/>
    <w:rsid w:val="00942571"/>
    <w:rsid w:val="00944545"/>
    <w:rsid w:val="00944940"/>
    <w:rsid w:val="00952BE4"/>
    <w:rsid w:val="00952C91"/>
    <w:rsid w:val="009573C4"/>
    <w:rsid w:val="009613B0"/>
    <w:rsid w:val="0096316D"/>
    <w:rsid w:val="009635DF"/>
    <w:rsid w:val="0097667C"/>
    <w:rsid w:val="00976775"/>
    <w:rsid w:val="00976967"/>
    <w:rsid w:val="0098528F"/>
    <w:rsid w:val="00992242"/>
    <w:rsid w:val="0099298E"/>
    <w:rsid w:val="00993674"/>
    <w:rsid w:val="009939CD"/>
    <w:rsid w:val="00995A36"/>
    <w:rsid w:val="009A12EC"/>
    <w:rsid w:val="009A7283"/>
    <w:rsid w:val="009B16E2"/>
    <w:rsid w:val="009B5ED5"/>
    <w:rsid w:val="009B68CE"/>
    <w:rsid w:val="009C0AC7"/>
    <w:rsid w:val="009C157F"/>
    <w:rsid w:val="009C48FA"/>
    <w:rsid w:val="009D0289"/>
    <w:rsid w:val="009D0B2D"/>
    <w:rsid w:val="009D1196"/>
    <w:rsid w:val="009D5AD5"/>
    <w:rsid w:val="009D66A0"/>
    <w:rsid w:val="009D6F5A"/>
    <w:rsid w:val="009E2B11"/>
    <w:rsid w:val="009E3B30"/>
    <w:rsid w:val="009E5D15"/>
    <w:rsid w:val="009F0DE7"/>
    <w:rsid w:val="009F314E"/>
    <w:rsid w:val="00A00F24"/>
    <w:rsid w:val="00A01DDC"/>
    <w:rsid w:val="00A0217D"/>
    <w:rsid w:val="00A03434"/>
    <w:rsid w:val="00A111EE"/>
    <w:rsid w:val="00A12E5C"/>
    <w:rsid w:val="00A15FA5"/>
    <w:rsid w:val="00A17BB9"/>
    <w:rsid w:val="00A2103B"/>
    <w:rsid w:val="00A21876"/>
    <w:rsid w:val="00A23B38"/>
    <w:rsid w:val="00A30F4C"/>
    <w:rsid w:val="00A3249B"/>
    <w:rsid w:val="00A328C8"/>
    <w:rsid w:val="00A32E05"/>
    <w:rsid w:val="00A32F1E"/>
    <w:rsid w:val="00A35189"/>
    <w:rsid w:val="00A37EAB"/>
    <w:rsid w:val="00A4052A"/>
    <w:rsid w:val="00A40AE4"/>
    <w:rsid w:val="00A40D7E"/>
    <w:rsid w:val="00A43146"/>
    <w:rsid w:val="00A43293"/>
    <w:rsid w:val="00A54147"/>
    <w:rsid w:val="00A56DA1"/>
    <w:rsid w:val="00A60ED5"/>
    <w:rsid w:val="00A61442"/>
    <w:rsid w:val="00A624BE"/>
    <w:rsid w:val="00A635B6"/>
    <w:rsid w:val="00A6552C"/>
    <w:rsid w:val="00A6797A"/>
    <w:rsid w:val="00A71D9F"/>
    <w:rsid w:val="00A7437E"/>
    <w:rsid w:val="00A7491A"/>
    <w:rsid w:val="00A7687C"/>
    <w:rsid w:val="00A806D8"/>
    <w:rsid w:val="00A841B3"/>
    <w:rsid w:val="00A879E7"/>
    <w:rsid w:val="00A9064A"/>
    <w:rsid w:val="00AA2773"/>
    <w:rsid w:val="00AA33D2"/>
    <w:rsid w:val="00AA6B96"/>
    <w:rsid w:val="00AA7B9B"/>
    <w:rsid w:val="00AB1C4A"/>
    <w:rsid w:val="00AB1CDB"/>
    <w:rsid w:val="00AB3961"/>
    <w:rsid w:val="00AB4873"/>
    <w:rsid w:val="00AB4A14"/>
    <w:rsid w:val="00AB77DC"/>
    <w:rsid w:val="00AC3040"/>
    <w:rsid w:val="00AC33D9"/>
    <w:rsid w:val="00AD5394"/>
    <w:rsid w:val="00AE6E35"/>
    <w:rsid w:val="00AF0E30"/>
    <w:rsid w:val="00AF4B1B"/>
    <w:rsid w:val="00AF60F7"/>
    <w:rsid w:val="00AF6A70"/>
    <w:rsid w:val="00AF6E15"/>
    <w:rsid w:val="00B01F82"/>
    <w:rsid w:val="00B054AC"/>
    <w:rsid w:val="00B06415"/>
    <w:rsid w:val="00B07EDC"/>
    <w:rsid w:val="00B11D05"/>
    <w:rsid w:val="00B14919"/>
    <w:rsid w:val="00B167D7"/>
    <w:rsid w:val="00B20510"/>
    <w:rsid w:val="00B234AB"/>
    <w:rsid w:val="00B23F03"/>
    <w:rsid w:val="00B256E9"/>
    <w:rsid w:val="00B30CAC"/>
    <w:rsid w:val="00B33172"/>
    <w:rsid w:val="00B34F0E"/>
    <w:rsid w:val="00B35CF4"/>
    <w:rsid w:val="00B60EBA"/>
    <w:rsid w:val="00B754F5"/>
    <w:rsid w:val="00B8020A"/>
    <w:rsid w:val="00B85359"/>
    <w:rsid w:val="00B86AE3"/>
    <w:rsid w:val="00B91824"/>
    <w:rsid w:val="00B9241A"/>
    <w:rsid w:val="00B94350"/>
    <w:rsid w:val="00B95EB3"/>
    <w:rsid w:val="00B96603"/>
    <w:rsid w:val="00BA2387"/>
    <w:rsid w:val="00BA286D"/>
    <w:rsid w:val="00BA6C5A"/>
    <w:rsid w:val="00BB23C3"/>
    <w:rsid w:val="00BB58E5"/>
    <w:rsid w:val="00BB7E94"/>
    <w:rsid w:val="00BC3B58"/>
    <w:rsid w:val="00BC59AB"/>
    <w:rsid w:val="00BD530C"/>
    <w:rsid w:val="00BE0710"/>
    <w:rsid w:val="00BE74B3"/>
    <w:rsid w:val="00BF00F5"/>
    <w:rsid w:val="00BF568C"/>
    <w:rsid w:val="00BF6397"/>
    <w:rsid w:val="00C14083"/>
    <w:rsid w:val="00C16A5F"/>
    <w:rsid w:val="00C17A76"/>
    <w:rsid w:val="00C210BC"/>
    <w:rsid w:val="00C225BD"/>
    <w:rsid w:val="00C25E46"/>
    <w:rsid w:val="00C330DB"/>
    <w:rsid w:val="00C354FD"/>
    <w:rsid w:val="00C36722"/>
    <w:rsid w:val="00C41020"/>
    <w:rsid w:val="00C432DD"/>
    <w:rsid w:val="00C45E6A"/>
    <w:rsid w:val="00C50169"/>
    <w:rsid w:val="00C5323D"/>
    <w:rsid w:val="00C66EA9"/>
    <w:rsid w:val="00C72515"/>
    <w:rsid w:val="00C74061"/>
    <w:rsid w:val="00C75291"/>
    <w:rsid w:val="00C75CAD"/>
    <w:rsid w:val="00C77153"/>
    <w:rsid w:val="00C813AF"/>
    <w:rsid w:val="00C84671"/>
    <w:rsid w:val="00C91B40"/>
    <w:rsid w:val="00CA2B03"/>
    <w:rsid w:val="00CA59FD"/>
    <w:rsid w:val="00CA6A22"/>
    <w:rsid w:val="00CB19D5"/>
    <w:rsid w:val="00CB346A"/>
    <w:rsid w:val="00CB4970"/>
    <w:rsid w:val="00CB5825"/>
    <w:rsid w:val="00CB5A30"/>
    <w:rsid w:val="00CC083F"/>
    <w:rsid w:val="00CC25E3"/>
    <w:rsid w:val="00CC7F54"/>
    <w:rsid w:val="00CD0BF9"/>
    <w:rsid w:val="00CD3A36"/>
    <w:rsid w:val="00CD3D9A"/>
    <w:rsid w:val="00CD532C"/>
    <w:rsid w:val="00CE23E4"/>
    <w:rsid w:val="00CE5B39"/>
    <w:rsid w:val="00CF0446"/>
    <w:rsid w:val="00CF26E3"/>
    <w:rsid w:val="00CF39BC"/>
    <w:rsid w:val="00CF7FC1"/>
    <w:rsid w:val="00D03CBE"/>
    <w:rsid w:val="00D03EAE"/>
    <w:rsid w:val="00D05A64"/>
    <w:rsid w:val="00D07754"/>
    <w:rsid w:val="00D11FF9"/>
    <w:rsid w:val="00D13700"/>
    <w:rsid w:val="00D273E9"/>
    <w:rsid w:val="00D36AF8"/>
    <w:rsid w:val="00D37EBC"/>
    <w:rsid w:val="00D43EEF"/>
    <w:rsid w:val="00D474BD"/>
    <w:rsid w:val="00D501F9"/>
    <w:rsid w:val="00D535F8"/>
    <w:rsid w:val="00D5569E"/>
    <w:rsid w:val="00D72116"/>
    <w:rsid w:val="00D758D9"/>
    <w:rsid w:val="00D8569E"/>
    <w:rsid w:val="00D90326"/>
    <w:rsid w:val="00D921EA"/>
    <w:rsid w:val="00DB08BA"/>
    <w:rsid w:val="00DB08DE"/>
    <w:rsid w:val="00DB1F19"/>
    <w:rsid w:val="00DB4C76"/>
    <w:rsid w:val="00DB6040"/>
    <w:rsid w:val="00DD134C"/>
    <w:rsid w:val="00DD3FBC"/>
    <w:rsid w:val="00DE00A2"/>
    <w:rsid w:val="00DE0B33"/>
    <w:rsid w:val="00DE2E22"/>
    <w:rsid w:val="00DE6D77"/>
    <w:rsid w:val="00DF4BAC"/>
    <w:rsid w:val="00DF6D10"/>
    <w:rsid w:val="00DF73FC"/>
    <w:rsid w:val="00E02E6A"/>
    <w:rsid w:val="00E108CB"/>
    <w:rsid w:val="00E11E55"/>
    <w:rsid w:val="00E1334B"/>
    <w:rsid w:val="00E26F08"/>
    <w:rsid w:val="00E27929"/>
    <w:rsid w:val="00E35686"/>
    <w:rsid w:val="00E40180"/>
    <w:rsid w:val="00E43DF9"/>
    <w:rsid w:val="00E472F9"/>
    <w:rsid w:val="00E53D0C"/>
    <w:rsid w:val="00E55559"/>
    <w:rsid w:val="00E610FB"/>
    <w:rsid w:val="00E6358D"/>
    <w:rsid w:val="00E65272"/>
    <w:rsid w:val="00E70F45"/>
    <w:rsid w:val="00E750EB"/>
    <w:rsid w:val="00E9060E"/>
    <w:rsid w:val="00E95CFB"/>
    <w:rsid w:val="00EA2571"/>
    <w:rsid w:val="00EA4D65"/>
    <w:rsid w:val="00EA63A8"/>
    <w:rsid w:val="00EB1C72"/>
    <w:rsid w:val="00EB2D26"/>
    <w:rsid w:val="00EB44CE"/>
    <w:rsid w:val="00EB6823"/>
    <w:rsid w:val="00EB7556"/>
    <w:rsid w:val="00EC6712"/>
    <w:rsid w:val="00EC73C6"/>
    <w:rsid w:val="00ED3922"/>
    <w:rsid w:val="00ED73A9"/>
    <w:rsid w:val="00EE201E"/>
    <w:rsid w:val="00EE4140"/>
    <w:rsid w:val="00EE7EE6"/>
    <w:rsid w:val="00EF1A61"/>
    <w:rsid w:val="00EF28E0"/>
    <w:rsid w:val="00EF3CAB"/>
    <w:rsid w:val="00EF5854"/>
    <w:rsid w:val="00F01090"/>
    <w:rsid w:val="00F0294A"/>
    <w:rsid w:val="00F11CDD"/>
    <w:rsid w:val="00F13E7F"/>
    <w:rsid w:val="00F144AD"/>
    <w:rsid w:val="00F14C2F"/>
    <w:rsid w:val="00F1507D"/>
    <w:rsid w:val="00F201B0"/>
    <w:rsid w:val="00F2133B"/>
    <w:rsid w:val="00F27283"/>
    <w:rsid w:val="00F375F0"/>
    <w:rsid w:val="00F37AD5"/>
    <w:rsid w:val="00F40406"/>
    <w:rsid w:val="00F46E14"/>
    <w:rsid w:val="00F54B39"/>
    <w:rsid w:val="00F571BE"/>
    <w:rsid w:val="00F608F0"/>
    <w:rsid w:val="00F6205B"/>
    <w:rsid w:val="00F714FC"/>
    <w:rsid w:val="00F72E7B"/>
    <w:rsid w:val="00F7301D"/>
    <w:rsid w:val="00F76210"/>
    <w:rsid w:val="00F812C8"/>
    <w:rsid w:val="00F82107"/>
    <w:rsid w:val="00F84F96"/>
    <w:rsid w:val="00F9537F"/>
    <w:rsid w:val="00F9571D"/>
    <w:rsid w:val="00F9652F"/>
    <w:rsid w:val="00FA4D69"/>
    <w:rsid w:val="00FB2ACF"/>
    <w:rsid w:val="00FC111A"/>
    <w:rsid w:val="00FC626A"/>
    <w:rsid w:val="00FD249C"/>
    <w:rsid w:val="00FD4E19"/>
    <w:rsid w:val="00FE2393"/>
    <w:rsid w:val="00FE5D58"/>
    <w:rsid w:val="00FE654D"/>
    <w:rsid w:val="00FF13B8"/>
    <w:rsid w:val="00FF6DEA"/>
    <w:rsid w:val="00FF7677"/>
    <w:rsid w:val="00FF7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0E4B54"/>
  <w15:docId w15:val="{C46B4B1A-618A-4CA4-A49B-4265CF461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SG" w:eastAsia="en-S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B0B"/>
    <w:rPr>
      <w:sz w:val="22"/>
      <w:szCs w:val="24"/>
      <w:lang w:val="en-US" w:eastAsia="en-US"/>
    </w:rPr>
  </w:style>
  <w:style w:type="paragraph" w:styleId="Heading1">
    <w:name w:val="heading 1"/>
    <w:basedOn w:val="Normal"/>
    <w:next w:val="Normal"/>
    <w:qFormat/>
    <w:rsid w:val="00A43293"/>
    <w:pPr>
      <w:keepNext/>
      <w:numPr>
        <w:numId w:val="1"/>
      </w:numPr>
      <w:spacing w:before="240" w:after="60"/>
      <w:outlineLvl w:val="0"/>
    </w:pPr>
    <w:rPr>
      <w:rFonts w:cs="Arial"/>
      <w:b/>
      <w:bCs/>
      <w:kern w:val="32"/>
      <w:szCs w:val="32"/>
      <w:lang w:val="en-GB"/>
    </w:rPr>
  </w:style>
  <w:style w:type="paragraph" w:styleId="Heading2">
    <w:name w:val="heading 2"/>
    <w:basedOn w:val="Normal"/>
    <w:next w:val="Normal"/>
    <w:qFormat/>
    <w:rsid w:val="00A43293"/>
    <w:pPr>
      <w:keepNext/>
      <w:numPr>
        <w:ilvl w:val="1"/>
        <w:numId w:val="1"/>
      </w:numPr>
      <w:spacing w:before="240" w:after="60"/>
      <w:outlineLvl w:val="1"/>
    </w:pPr>
    <w:rPr>
      <w:rFonts w:cs="Arial"/>
      <w:b/>
      <w:bCs/>
      <w:iCs/>
      <w:szCs w:val="28"/>
      <w:lang w:val="en-GB"/>
    </w:rPr>
  </w:style>
  <w:style w:type="paragraph" w:styleId="Heading3">
    <w:name w:val="heading 3"/>
    <w:basedOn w:val="Normal"/>
    <w:next w:val="Normal"/>
    <w:qFormat/>
    <w:rsid w:val="00436463"/>
    <w:pPr>
      <w:keepNext/>
      <w:numPr>
        <w:ilvl w:val="2"/>
        <w:numId w:val="1"/>
      </w:numPr>
      <w:spacing w:before="240" w:after="60"/>
      <w:outlineLvl w:val="2"/>
    </w:pPr>
    <w:rPr>
      <w:rFonts w:cs="Arial"/>
      <w:b/>
      <w:bCs/>
      <w:szCs w:val="26"/>
      <w:lang w:val="en-GB"/>
    </w:rPr>
  </w:style>
  <w:style w:type="paragraph" w:styleId="Heading4">
    <w:name w:val="heading 4"/>
    <w:basedOn w:val="Normal"/>
    <w:next w:val="Normal"/>
    <w:qFormat/>
    <w:rsid w:val="005E3CC5"/>
    <w:pPr>
      <w:keepNext/>
      <w:numPr>
        <w:ilvl w:val="3"/>
        <w:numId w:val="1"/>
      </w:numPr>
      <w:spacing w:before="240" w:after="60"/>
      <w:outlineLvl w:val="3"/>
    </w:pPr>
    <w:rPr>
      <w:rFonts w:ascii="Arial" w:hAnsi="Arial" w:cs="Arial"/>
      <w:b/>
      <w:bCs/>
      <w:sz w:val="28"/>
      <w:szCs w:val="28"/>
      <w:lang w:val="en-GB"/>
    </w:rPr>
  </w:style>
  <w:style w:type="paragraph" w:styleId="Heading5">
    <w:name w:val="heading 5"/>
    <w:basedOn w:val="Normal"/>
    <w:next w:val="Normal"/>
    <w:qFormat/>
    <w:rsid w:val="005E3CC5"/>
    <w:pPr>
      <w:numPr>
        <w:ilvl w:val="4"/>
        <w:numId w:val="1"/>
      </w:numPr>
      <w:spacing w:before="240" w:after="60"/>
      <w:outlineLvl w:val="4"/>
    </w:pPr>
    <w:rPr>
      <w:rFonts w:ascii="Arial" w:hAnsi="Arial" w:cs="Arial"/>
      <w:b/>
      <w:bCs/>
      <w:i/>
      <w:iCs/>
      <w:sz w:val="26"/>
      <w:szCs w:val="26"/>
      <w:lang w:val="en-GB"/>
    </w:rPr>
  </w:style>
  <w:style w:type="paragraph" w:styleId="Heading6">
    <w:name w:val="heading 6"/>
    <w:basedOn w:val="Normal"/>
    <w:next w:val="Normal"/>
    <w:qFormat/>
    <w:rsid w:val="005E3CC5"/>
    <w:pPr>
      <w:numPr>
        <w:ilvl w:val="5"/>
        <w:numId w:val="1"/>
      </w:numPr>
      <w:spacing w:before="240" w:after="60"/>
      <w:outlineLvl w:val="5"/>
    </w:pPr>
    <w:rPr>
      <w:rFonts w:ascii="Arial" w:hAnsi="Arial" w:cs="Arial"/>
      <w:b/>
      <w:bCs/>
      <w:szCs w:val="22"/>
      <w:lang w:val="en-GB"/>
    </w:rPr>
  </w:style>
  <w:style w:type="paragraph" w:styleId="Heading7">
    <w:name w:val="heading 7"/>
    <w:basedOn w:val="Normal"/>
    <w:next w:val="Normal"/>
    <w:qFormat/>
    <w:rsid w:val="005E3CC5"/>
    <w:pPr>
      <w:numPr>
        <w:ilvl w:val="6"/>
        <w:numId w:val="1"/>
      </w:numPr>
      <w:spacing w:before="240" w:after="60"/>
      <w:outlineLvl w:val="6"/>
    </w:pPr>
    <w:rPr>
      <w:rFonts w:ascii="Arial" w:hAnsi="Arial" w:cs="Arial"/>
      <w:lang w:val="en-GB"/>
    </w:rPr>
  </w:style>
  <w:style w:type="paragraph" w:styleId="Heading8">
    <w:name w:val="heading 8"/>
    <w:basedOn w:val="Normal"/>
    <w:next w:val="Normal"/>
    <w:qFormat/>
    <w:rsid w:val="005E3CC5"/>
    <w:pPr>
      <w:numPr>
        <w:ilvl w:val="7"/>
        <w:numId w:val="1"/>
      </w:numPr>
      <w:spacing w:before="240" w:after="60"/>
      <w:outlineLvl w:val="7"/>
    </w:pPr>
    <w:rPr>
      <w:rFonts w:ascii="Arial" w:hAnsi="Arial" w:cs="Arial"/>
      <w:i/>
      <w:iCs/>
      <w:lang w:val="en-GB"/>
    </w:rPr>
  </w:style>
  <w:style w:type="paragraph" w:styleId="Heading9">
    <w:name w:val="heading 9"/>
    <w:basedOn w:val="Normal"/>
    <w:next w:val="Normal"/>
    <w:qFormat/>
    <w:rsid w:val="005E3CC5"/>
    <w:pPr>
      <w:numPr>
        <w:ilvl w:val="8"/>
        <w:numId w:val="1"/>
      </w:numPr>
      <w:spacing w:before="240" w:after="60"/>
      <w:outlineLvl w:val="8"/>
    </w:pPr>
    <w:rPr>
      <w:rFonts w:ascii="Arial" w:hAnsi="Arial" w:cs="Arial"/>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5E3CC5"/>
    <w:rPr>
      <w:rFonts w:ascii="Arial" w:hAnsi="Arial" w:cs="Arial"/>
      <w:sz w:val="20"/>
      <w:szCs w:val="20"/>
      <w:lang w:val="en-GB"/>
    </w:rPr>
  </w:style>
  <w:style w:type="character" w:styleId="FootnoteReference">
    <w:name w:val="footnote reference"/>
    <w:semiHidden/>
    <w:rsid w:val="005E3CC5"/>
    <w:rPr>
      <w:vertAlign w:val="superscript"/>
    </w:rPr>
  </w:style>
  <w:style w:type="table" w:styleId="TableGrid">
    <w:name w:val="Table Grid"/>
    <w:basedOn w:val="TableNormal"/>
    <w:rsid w:val="005E3C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0E553C"/>
    <w:rPr>
      <w:rFonts w:ascii="Arial" w:hAnsi="Arial" w:cs="Arial"/>
      <w:b/>
      <w:bCs/>
      <w:sz w:val="20"/>
      <w:szCs w:val="20"/>
      <w:lang w:val="en-GB"/>
    </w:rPr>
  </w:style>
  <w:style w:type="character" w:styleId="CommentReference">
    <w:name w:val="annotation reference"/>
    <w:rsid w:val="00EC6712"/>
    <w:rPr>
      <w:sz w:val="16"/>
      <w:szCs w:val="16"/>
    </w:rPr>
  </w:style>
  <w:style w:type="paragraph" w:styleId="CommentText">
    <w:name w:val="annotation text"/>
    <w:basedOn w:val="Normal"/>
    <w:link w:val="CommentTextChar"/>
    <w:rsid w:val="00EC6712"/>
    <w:rPr>
      <w:sz w:val="20"/>
      <w:szCs w:val="20"/>
    </w:rPr>
  </w:style>
  <w:style w:type="character" w:customStyle="1" w:styleId="CommentTextChar">
    <w:name w:val="Comment Text Char"/>
    <w:link w:val="CommentText"/>
    <w:rsid w:val="00EC6712"/>
    <w:rPr>
      <w:lang w:val="en-US" w:eastAsia="en-US"/>
    </w:rPr>
  </w:style>
  <w:style w:type="paragraph" w:styleId="CommentSubject">
    <w:name w:val="annotation subject"/>
    <w:basedOn w:val="CommentText"/>
    <w:next w:val="CommentText"/>
    <w:link w:val="CommentSubjectChar"/>
    <w:rsid w:val="00EC6712"/>
    <w:rPr>
      <w:b/>
      <w:bCs/>
    </w:rPr>
  </w:style>
  <w:style w:type="character" w:customStyle="1" w:styleId="CommentSubjectChar">
    <w:name w:val="Comment Subject Char"/>
    <w:link w:val="CommentSubject"/>
    <w:rsid w:val="00EC6712"/>
    <w:rPr>
      <w:b/>
      <w:bCs/>
      <w:lang w:val="en-US" w:eastAsia="en-US"/>
    </w:rPr>
  </w:style>
  <w:style w:type="paragraph" w:styleId="BalloonText">
    <w:name w:val="Balloon Text"/>
    <w:basedOn w:val="Normal"/>
    <w:link w:val="BalloonTextChar"/>
    <w:rsid w:val="00EC6712"/>
    <w:rPr>
      <w:rFonts w:ascii="Tahoma" w:hAnsi="Tahoma" w:cs="Tahoma"/>
      <w:sz w:val="16"/>
      <w:szCs w:val="16"/>
    </w:rPr>
  </w:style>
  <w:style w:type="character" w:customStyle="1" w:styleId="BalloonTextChar">
    <w:name w:val="Balloon Text Char"/>
    <w:link w:val="BalloonText"/>
    <w:rsid w:val="00EC6712"/>
    <w:rPr>
      <w:rFonts w:ascii="Tahoma" w:hAnsi="Tahoma" w:cs="Tahoma"/>
      <w:sz w:val="16"/>
      <w:szCs w:val="16"/>
      <w:lang w:val="en-US" w:eastAsia="en-US"/>
    </w:rPr>
  </w:style>
  <w:style w:type="character" w:styleId="LineNumber">
    <w:name w:val="line number"/>
    <w:basedOn w:val="DefaultParagraphFont"/>
    <w:rsid w:val="00E750EB"/>
  </w:style>
  <w:style w:type="character" w:styleId="Hyperlink">
    <w:name w:val="Hyperlink"/>
    <w:rsid w:val="00877114"/>
    <w:rPr>
      <w:color w:val="0000FF"/>
      <w:u w:val="single"/>
    </w:rPr>
  </w:style>
  <w:style w:type="paragraph" w:styleId="Revision">
    <w:name w:val="Revision"/>
    <w:hidden/>
    <w:uiPriority w:val="99"/>
    <w:semiHidden/>
    <w:rsid w:val="00441B0B"/>
    <w:rPr>
      <w:sz w:val="24"/>
      <w:szCs w:val="24"/>
      <w:lang w:val="en-US" w:eastAsia="en-US"/>
    </w:rPr>
  </w:style>
  <w:style w:type="character" w:customStyle="1" w:styleId="apple-converted-space">
    <w:name w:val="apple-converted-space"/>
    <w:basedOn w:val="DefaultParagraphFont"/>
    <w:rsid w:val="009D1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4088">
      <w:bodyDiv w:val="1"/>
      <w:marLeft w:val="0"/>
      <w:marRight w:val="0"/>
      <w:marTop w:val="0"/>
      <w:marBottom w:val="0"/>
      <w:divBdr>
        <w:top w:val="none" w:sz="0" w:space="0" w:color="auto"/>
        <w:left w:val="none" w:sz="0" w:space="0" w:color="auto"/>
        <w:bottom w:val="none" w:sz="0" w:space="0" w:color="auto"/>
        <w:right w:val="none" w:sz="0" w:space="0" w:color="auto"/>
      </w:divBdr>
    </w:div>
    <w:div w:id="153499866">
      <w:bodyDiv w:val="1"/>
      <w:marLeft w:val="0"/>
      <w:marRight w:val="0"/>
      <w:marTop w:val="0"/>
      <w:marBottom w:val="0"/>
      <w:divBdr>
        <w:top w:val="none" w:sz="0" w:space="0" w:color="auto"/>
        <w:left w:val="none" w:sz="0" w:space="0" w:color="auto"/>
        <w:bottom w:val="none" w:sz="0" w:space="0" w:color="auto"/>
        <w:right w:val="none" w:sz="0" w:space="0" w:color="auto"/>
      </w:divBdr>
    </w:div>
    <w:div w:id="172113566">
      <w:bodyDiv w:val="1"/>
      <w:marLeft w:val="0"/>
      <w:marRight w:val="0"/>
      <w:marTop w:val="0"/>
      <w:marBottom w:val="0"/>
      <w:divBdr>
        <w:top w:val="none" w:sz="0" w:space="0" w:color="auto"/>
        <w:left w:val="none" w:sz="0" w:space="0" w:color="auto"/>
        <w:bottom w:val="none" w:sz="0" w:space="0" w:color="auto"/>
        <w:right w:val="none" w:sz="0" w:space="0" w:color="auto"/>
      </w:divBdr>
    </w:div>
    <w:div w:id="203100640">
      <w:bodyDiv w:val="1"/>
      <w:marLeft w:val="0"/>
      <w:marRight w:val="0"/>
      <w:marTop w:val="0"/>
      <w:marBottom w:val="0"/>
      <w:divBdr>
        <w:top w:val="none" w:sz="0" w:space="0" w:color="auto"/>
        <w:left w:val="none" w:sz="0" w:space="0" w:color="auto"/>
        <w:bottom w:val="none" w:sz="0" w:space="0" w:color="auto"/>
        <w:right w:val="none" w:sz="0" w:space="0" w:color="auto"/>
      </w:divBdr>
    </w:div>
    <w:div w:id="270163368">
      <w:bodyDiv w:val="1"/>
      <w:marLeft w:val="0"/>
      <w:marRight w:val="0"/>
      <w:marTop w:val="0"/>
      <w:marBottom w:val="0"/>
      <w:divBdr>
        <w:top w:val="none" w:sz="0" w:space="0" w:color="auto"/>
        <w:left w:val="none" w:sz="0" w:space="0" w:color="auto"/>
        <w:bottom w:val="none" w:sz="0" w:space="0" w:color="auto"/>
        <w:right w:val="none" w:sz="0" w:space="0" w:color="auto"/>
      </w:divBdr>
    </w:div>
    <w:div w:id="288172569">
      <w:bodyDiv w:val="1"/>
      <w:marLeft w:val="0"/>
      <w:marRight w:val="0"/>
      <w:marTop w:val="0"/>
      <w:marBottom w:val="0"/>
      <w:divBdr>
        <w:top w:val="none" w:sz="0" w:space="0" w:color="auto"/>
        <w:left w:val="none" w:sz="0" w:space="0" w:color="auto"/>
        <w:bottom w:val="none" w:sz="0" w:space="0" w:color="auto"/>
        <w:right w:val="none" w:sz="0" w:space="0" w:color="auto"/>
      </w:divBdr>
    </w:div>
    <w:div w:id="517425003">
      <w:bodyDiv w:val="1"/>
      <w:marLeft w:val="0"/>
      <w:marRight w:val="0"/>
      <w:marTop w:val="0"/>
      <w:marBottom w:val="0"/>
      <w:divBdr>
        <w:top w:val="none" w:sz="0" w:space="0" w:color="auto"/>
        <w:left w:val="none" w:sz="0" w:space="0" w:color="auto"/>
        <w:bottom w:val="none" w:sz="0" w:space="0" w:color="auto"/>
        <w:right w:val="none" w:sz="0" w:space="0" w:color="auto"/>
      </w:divBdr>
    </w:div>
    <w:div w:id="526522293">
      <w:bodyDiv w:val="1"/>
      <w:marLeft w:val="0"/>
      <w:marRight w:val="0"/>
      <w:marTop w:val="0"/>
      <w:marBottom w:val="0"/>
      <w:divBdr>
        <w:top w:val="none" w:sz="0" w:space="0" w:color="auto"/>
        <w:left w:val="none" w:sz="0" w:space="0" w:color="auto"/>
        <w:bottom w:val="none" w:sz="0" w:space="0" w:color="auto"/>
        <w:right w:val="none" w:sz="0" w:space="0" w:color="auto"/>
      </w:divBdr>
    </w:div>
    <w:div w:id="556597778">
      <w:bodyDiv w:val="1"/>
      <w:marLeft w:val="0"/>
      <w:marRight w:val="0"/>
      <w:marTop w:val="0"/>
      <w:marBottom w:val="0"/>
      <w:divBdr>
        <w:top w:val="none" w:sz="0" w:space="0" w:color="auto"/>
        <w:left w:val="none" w:sz="0" w:space="0" w:color="auto"/>
        <w:bottom w:val="none" w:sz="0" w:space="0" w:color="auto"/>
        <w:right w:val="none" w:sz="0" w:space="0" w:color="auto"/>
      </w:divBdr>
    </w:div>
    <w:div w:id="567963745">
      <w:bodyDiv w:val="1"/>
      <w:marLeft w:val="0"/>
      <w:marRight w:val="0"/>
      <w:marTop w:val="0"/>
      <w:marBottom w:val="0"/>
      <w:divBdr>
        <w:top w:val="none" w:sz="0" w:space="0" w:color="auto"/>
        <w:left w:val="none" w:sz="0" w:space="0" w:color="auto"/>
        <w:bottom w:val="none" w:sz="0" w:space="0" w:color="auto"/>
        <w:right w:val="none" w:sz="0" w:space="0" w:color="auto"/>
      </w:divBdr>
    </w:div>
    <w:div w:id="588659542">
      <w:bodyDiv w:val="1"/>
      <w:marLeft w:val="0"/>
      <w:marRight w:val="0"/>
      <w:marTop w:val="0"/>
      <w:marBottom w:val="0"/>
      <w:divBdr>
        <w:top w:val="none" w:sz="0" w:space="0" w:color="auto"/>
        <w:left w:val="none" w:sz="0" w:space="0" w:color="auto"/>
        <w:bottom w:val="none" w:sz="0" w:space="0" w:color="auto"/>
        <w:right w:val="none" w:sz="0" w:space="0" w:color="auto"/>
      </w:divBdr>
    </w:div>
    <w:div w:id="610405397">
      <w:bodyDiv w:val="1"/>
      <w:marLeft w:val="0"/>
      <w:marRight w:val="0"/>
      <w:marTop w:val="0"/>
      <w:marBottom w:val="0"/>
      <w:divBdr>
        <w:top w:val="none" w:sz="0" w:space="0" w:color="auto"/>
        <w:left w:val="none" w:sz="0" w:space="0" w:color="auto"/>
        <w:bottom w:val="none" w:sz="0" w:space="0" w:color="auto"/>
        <w:right w:val="none" w:sz="0" w:space="0" w:color="auto"/>
      </w:divBdr>
    </w:div>
    <w:div w:id="622468222">
      <w:bodyDiv w:val="1"/>
      <w:marLeft w:val="0"/>
      <w:marRight w:val="0"/>
      <w:marTop w:val="0"/>
      <w:marBottom w:val="0"/>
      <w:divBdr>
        <w:top w:val="none" w:sz="0" w:space="0" w:color="auto"/>
        <w:left w:val="none" w:sz="0" w:space="0" w:color="auto"/>
        <w:bottom w:val="none" w:sz="0" w:space="0" w:color="auto"/>
        <w:right w:val="none" w:sz="0" w:space="0" w:color="auto"/>
      </w:divBdr>
    </w:div>
    <w:div w:id="675111766">
      <w:bodyDiv w:val="1"/>
      <w:marLeft w:val="0"/>
      <w:marRight w:val="0"/>
      <w:marTop w:val="0"/>
      <w:marBottom w:val="0"/>
      <w:divBdr>
        <w:top w:val="none" w:sz="0" w:space="0" w:color="auto"/>
        <w:left w:val="none" w:sz="0" w:space="0" w:color="auto"/>
        <w:bottom w:val="none" w:sz="0" w:space="0" w:color="auto"/>
        <w:right w:val="none" w:sz="0" w:space="0" w:color="auto"/>
      </w:divBdr>
    </w:div>
    <w:div w:id="713769104">
      <w:bodyDiv w:val="1"/>
      <w:marLeft w:val="0"/>
      <w:marRight w:val="0"/>
      <w:marTop w:val="0"/>
      <w:marBottom w:val="0"/>
      <w:divBdr>
        <w:top w:val="none" w:sz="0" w:space="0" w:color="auto"/>
        <w:left w:val="none" w:sz="0" w:space="0" w:color="auto"/>
        <w:bottom w:val="none" w:sz="0" w:space="0" w:color="auto"/>
        <w:right w:val="none" w:sz="0" w:space="0" w:color="auto"/>
      </w:divBdr>
    </w:div>
    <w:div w:id="718823642">
      <w:bodyDiv w:val="1"/>
      <w:marLeft w:val="0"/>
      <w:marRight w:val="0"/>
      <w:marTop w:val="0"/>
      <w:marBottom w:val="0"/>
      <w:divBdr>
        <w:top w:val="none" w:sz="0" w:space="0" w:color="auto"/>
        <w:left w:val="none" w:sz="0" w:space="0" w:color="auto"/>
        <w:bottom w:val="none" w:sz="0" w:space="0" w:color="auto"/>
        <w:right w:val="none" w:sz="0" w:space="0" w:color="auto"/>
      </w:divBdr>
    </w:div>
    <w:div w:id="752122073">
      <w:bodyDiv w:val="1"/>
      <w:marLeft w:val="0"/>
      <w:marRight w:val="0"/>
      <w:marTop w:val="0"/>
      <w:marBottom w:val="0"/>
      <w:divBdr>
        <w:top w:val="none" w:sz="0" w:space="0" w:color="auto"/>
        <w:left w:val="none" w:sz="0" w:space="0" w:color="auto"/>
        <w:bottom w:val="none" w:sz="0" w:space="0" w:color="auto"/>
        <w:right w:val="none" w:sz="0" w:space="0" w:color="auto"/>
      </w:divBdr>
    </w:div>
    <w:div w:id="977491061">
      <w:bodyDiv w:val="1"/>
      <w:marLeft w:val="0"/>
      <w:marRight w:val="0"/>
      <w:marTop w:val="0"/>
      <w:marBottom w:val="0"/>
      <w:divBdr>
        <w:top w:val="none" w:sz="0" w:space="0" w:color="auto"/>
        <w:left w:val="none" w:sz="0" w:space="0" w:color="auto"/>
        <w:bottom w:val="none" w:sz="0" w:space="0" w:color="auto"/>
        <w:right w:val="none" w:sz="0" w:space="0" w:color="auto"/>
      </w:divBdr>
    </w:div>
    <w:div w:id="1132482216">
      <w:bodyDiv w:val="1"/>
      <w:marLeft w:val="0"/>
      <w:marRight w:val="0"/>
      <w:marTop w:val="0"/>
      <w:marBottom w:val="0"/>
      <w:divBdr>
        <w:top w:val="none" w:sz="0" w:space="0" w:color="auto"/>
        <w:left w:val="none" w:sz="0" w:space="0" w:color="auto"/>
        <w:bottom w:val="none" w:sz="0" w:space="0" w:color="auto"/>
        <w:right w:val="none" w:sz="0" w:space="0" w:color="auto"/>
      </w:divBdr>
    </w:div>
    <w:div w:id="1147674475">
      <w:bodyDiv w:val="1"/>
      <w:marLeft w:val="0"/>
      <w:marRight w:val="0"/>
      <w:marTop w:val="0"/>
      <w:marBottom w:val="0"/>
      <w:divBdr>
        <w:top w:val="none" w:sz="0" w:space="0" w:color="auto"/>
        <w:left w:val="none" w:sz="0" w:space="0" w:color="auto"/>
        <w:bottom w:val="none" w:sz="0" w:space="0" w:color="auto"/>
        <w:right w:val="none" w:sz="0" w:space="0" w:color="auto"/>
      </w:divBdr>
    </w:div>
    <w:div w:id="1220826156">
      <w:bodyDiv w:val="1"/>
      <w:marLeft w:val="0"/>
      <w:marRight w:val="0"/>
      <w:marTop w:val="0"/>
      <w:marBottom w:val="0"/>
      <w:divBdr>
        <w:top w:val="none" w:sz="0" w:space="0" w:color="auto"/>
        <w:left w:val="none" w:sz="0" w:space="0" w:color="auto"/>
        <w:bottom w:val="none" w:sz="0" w:space="0" w:color="auto"/>
        <w:right w:val="none" w:sz="0" w:space="0" w:color="auto"/>
      </w:divBdr>
    </w:div>
    <w:div w:id="1250845785">
      <w:bodyDiv w:val="1"/>
      <w:marLeft w:val="0"/>
      <w:marRight w:val="0"/>
      <w:marTop w:val="0"/>
      <w:marBottom w:val="0"/>
      <w:divBdr>
        <w:top w:val="none" w:sz="0" w:space="0" w:color="auto"/>
        <w:left w:val="none" w:sz="0" w:space="0" w:color="auto"/>
        <w:bottom w:val="none" w:sz="0" w:space="0" w:color="auto"/>
        <w:right w:val="none" w:sz="0" w:space="0" w:color="auto"/>
      </w:divBdr>
    </w:div>
    <w:div w:id="1291135751">
      <w:bodyDiv w:val="1"/>
      <w:marLeft w:val="0"/>
      <w:marRight w:val="0"/>
      <w:marTop w:val="0"/>
      <w:marBottom w:val="0"/>
      <w:divBdr>
        <w:top w:val="none" w:sz="0" w:space="0" w:color="auto"/>
        <w:left w:val="none" w:sz="0" w:space="0" w:color="auto"/>
        <w:bottom w:val="none" w:sz="0" w:space="0" w:color="auto"/>
        <w:right w:val="none" w:sz="0" w:space="0" w:color="auto"/>
      </w:divBdr>
    </w:div>
    <w:div w:id="1296058764">
      <w:bodyDiv w:val="1"/>
      <w:marLeft w:val="0"/>
      <w:marRight w:val="0"/>
      <w:marTop w:val="0"/>
      <w:marBottom w:val="0"/>
      <w:divBdr>
        <w:top w:val="none" w:sz="0" w:space="0" w:color="auto"/>
        <w:left w:val="none" w:sz="0" w:space="0" w:color="auto"/>
        <w:bottom w:val="none" w:sz="0" w:space="0" w:color="auto"/>
        <w:right w:val="none" w:sz="0" w:space="0" w:color="auto"/>
      </w:divBdr>
    </w:div>
    <w:div w:id="1315066951">
      <w:bodyDiv w:val="1"/>
      <w:marLeft w:val="0"/>
      <w:marRight w:val="0"/>
      <w:marTop w:val="0"/>
      <w:marBottom w:val="0"/>
      <w:divBdr>
        <w:top w:val="none" w:sz="0" w:space="0" w:color="auto"/>
        <w:left w:val="none" w:sz="0" w:space="0" w:color="auto"/>
        <w:bottom w:val="none" w:sz="0" w:space="0" w:color="auto"/>
        <w:right w:val="none" w:sz="0" w:space="0" w:color="auto"/>
      </w:divBdr>
    </w:div>
    <w:div w:id="1436486701">
      <w:bodyDiv w:val="1"/>
      <w:marLeft w:val="0"/>
      <w:marRight w:val="0"/>
      <w:marTop w:val="0"/>
      <w:marBottom w:val="0"/>
      <w:divBdr>
        <w:top w:val="none" w:sz="0" w:space="0" w:color="auto"/>
        <w:left w:val="none" w:sz="0" w:space="0" w:color="auto"/>
        <w:bottom w:val="none" w:sz="0" w:space="0" w:color="auto"/>
        <w:right w:val="none" w:sz="0" w:space="0" w:color="auto"/>
      </w:divBdr>
    </w:div>
    <w:div w:id="1450203738">
      <w:bodyDiv w:val="1"/>
      <w:marLeft w:val="0"/>
      <w:marRight w:val="0"/>
      <w:marTop w:val="0"/>
      <w:marBottom w:val="0"/>
      <w:divBdr>
        <w:top w:val="none" w:sz="0" w:space="0" w:color="auto"/>
        <w:left w:val="none" w:sz="0" w:space="0" w:color="auto"/>
        <w:bottom w:val="none" w:sz="0" w:space="0" w:color="auto"/>
        <w:right w:val="none" w:sz="0" w:space="0" w:color="auto"/>
      </w:divBdr>
    </w:div>
    <w:div w:id="1573278176">
      <w:bodyDiv w:val="1"/>
      <w:marLeft w:val="0"/>
      <w:marRight w:val="0"/>
      <w:marTop w:val="0"/>
      <w:marBottom w:val="0"/>
      <w:divBdr>
        <w:top w:val="none" w:sz="0" w:space="0" w:color="auto"/>
        <w:left w:val="none" w:sz="0" w:space="0" w:color="auto"/>
        <w:bottom w:val="none" w:sz="0" w:space="0" w:color="auto"/>
        <w:right w:val="none" w:sz="0" w:space="0" w:color="auto"/>
      </w:divBdr>
    </w:div>
    <w:div w:id="1625624217">
      <w:bodyDiv w:val="1"/>
      <w:marLeft w:val="0"/>
      <w:marRight w:val="0"/>
      <w:marTop w:val="0"/>
      <w:marBottom w:val="0"/>
      <w:divBdr>
        <w:top w:val="none" w:sz="0" w:space="0" w:color="auto"/>
        <w:left w:val="none" w:sz="0" w:space="0" w:color="auto"/>
        <w:bottom w:val="none" w:sz="0" w:space="0" w:color="auto"/>
        <w:right w:val="none" w:sz="0" w:space="0" w:color="auto"/>
      </w:divBdr>
    </w:div>
    <w:div w:id="1655596999">
      <w:bodyDiv w:val="1"/>
      <w:marLeft w:val="0"/>
      <w:marRight w:val="0"/>
      <w:marTop w:val="0"/>
      <w:marBottom w:val="0"/>
      <w:divBdr>
        <w:top w:val="none" w:sz="0" w:space="0" w:color="auto"/>
        <w:left w:val="none" w:sz="0" w:space="0" w:color="auto"/>
        <w:bottom w:val="none" w:sz="0" w:space="0" w:color="auto"/>
        <w:right w:val="none" w:sz="0" w:space="0" w:color="auto"/>
      </w:divBdr>
    </w:div>
    <w:div w:id="1690791413">
      <w:bodyDiv w:val="1"/>
      <w:marLeft w:val="0"/>
      <w:marRight w:val="0"/>
      <w:marTop w:val="0"/>
      <w:marBottom w:val="0"/>
      <w:divBdr>
        <w:top w:val="none" w:sz="0" w:space="0" w:color="auto"/>
        <w:left w:val="none" w:sz="0" w:space="0" w:color="auto"/>
        <w:bottom w:val="none" w:sz="0" w:space="0" w:color="auto"/>
        <w:right w:val="none" w:sz="0" w:space="0" w:color="auto"/>
      </w:divBdr>
    </w:div>
    <w:div w:id="1809518271">
      <w:bodyDiv w:val="1"/>
      <w:marLeft w:val="0"/>
      <w:marRight w:val="0"/>
      <w:marTop w:val="0"/>
      <w:marBottom w:val="0"/>
      <w:divBdr>
        <w:top w:val="none" w:sz="0" w:space="0" w:color="auto"/>
        <w:left w:val="none" w:sz="0" w:space="0" w:color="auto"/>
        <w:bottom w:val="none" w:sz="0" w:space="0" w:color="auto"/>
        <w:right w:val="none" w:sz="0" w:space="0" w:color="auto"/>
      </w:divBdr>
    </w:div>
    <w:div w:id="1829445332">
      <w:bodyDiv w:val="1"/>
      <w:marLeft w:val="0"/>
      <w:marRight w:val="0"/>
      <w:marTop w:val="0"/>
      <w:marBottom w:val="0"/>
      <w:divBdr>
        <w:top w:val="none" w:sz="0" w:space="0" w:color="auto"/>
        <w:left w:val="none" w:sz="0" w:space="0" w:color="auto"/>
        <w:bottom w:val="none" w:sz="0" w:space="0" w:color="auto"/>
        <w:right w:val="none" w:sz="0" w:space="0" w:color="auto"/>
      </w:divBdr>
    </w:div>
    <w:div w:id="1933662594">
      <w:bodyDiv w:val="1"/>
      <w:marLeft w:val="0"/>
      <w:marRight w:val="0"/>
      <w:marTop w:val="0"/>
      <w:marBottom w:val="0"/>
      <w:divBdr>
        <w:top w:val="none" w:sz="0" w:space="0" w:color="auto"/>
        <w:left w:val="none" w:sz="0" w:space="0" w:color="auto"/>
        <w:bottom w:val="none" w:sz="0" w:space="0" w:color="auto"/>
        <w:right w:val="none" w:sz="0" w:space="0" w:color="auto"/>
      </w:divBdr>
    </w:div>
    <w:div w:id="2019498791">
      <w:bodyDiv w:val="1"/>
      <w:marLeft w:val="0"/>
      <w:marRight w:val="0"/>
      <w:marTop w:val="0"/>
      <w:marBottom w:val="0"/>
      <w:divBdr>
        <w:top w:val="none" w:sz="0" w:space="0" w:color="auto"/>
        <w:left w:val="none" w:sz="0" w:space="0" w:color="auto"/>
        <w:bottom w:val="none" w:sz="0" w:space="0" w:color="auto"/>
        <w:right w:val="none" w:sz="0" w:space="0" w:color="auto"/>
      </w:divBdr>
    </w:div>
    <w:div w:id="207935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63" Type="http://schemas.openxmlformats.org/officeDocument/2006/relationships/oleObject" Target="embeddings/oleObject28.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6.wmf"/><Relationship Id="rId5" Type="http://schemas.openxmlformats.org/officeDocument/2006/relationships/webSettings" Target="webSettings.xml"/><Relationship Id="rId61" Type="http://schemas.openxmlformats.org/officeDocument/2006/relationships/oleObject" Target="embeddings/oleObject27.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22.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6.bin"/><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62" Type="http://schemas.openxmlformats.org/officeDocument/2006/relationships/image" Target="media/image28.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1522D-9994-43C3-A3F1-6E02743D8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1677</Words>
  <Characters>9563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THREE-WAY COUPLING SIMULATION OF A GAS-LIQUID STIRRED TANK USING A MULTI-COMPARTMENT POPULATION BALANCE MODEL</vt:lpstr>
    </vt:vector>
  </TitlesOfParts>
  <Company>Microsoft</Company>
  <LinksUpToDate>false</LinksUpToDate>
  <CharactersWithSpaces>11218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THREE-WAY COUPLING SIMULATION OF A GAS-LIQUID STIRRED TANK USING A MULTI-COMPARTMENT POPULATION BALANCE MODEL</dc:title>
  <dc:creator>Dr. Jolius</dc:creator>
  <cp:lastModifiedBy>Shi Yan</cp:lastModifiedBy>
  <cp:revision>3</cp:revision>
  <cp:lastPrinted>2015-08-19T00:42:00Z</cp:lastPrinted>
  <dcterms:created xsi:type="dcterms:W3CDTF">2016-05-05T10:43:00Z</dcterms:created>
  <dcterms:modified xsi:type="dcterms:W3CDTF">2016-05-05T10:47:00Z</dcterms:modified>
</cp:coreProperties>
</file>