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B4576" w14:textId="006B2BA4" w:rsidR="00205940" w:rsidRDefault="00F64D3D" w:rsidP="009A4E7C">
      <w:pPr>
        <w:snapToGrid w:val="0"/>
        <w:jc w:val="center"/>
        <w:rPr>
          <w:bCs/>
          <w:color w:val="000000" w:themeColor="text1"/>
          <w:lang w:val="en-US"/>
        </w:rPr>
      </w:pPr>
      <w:r w:rsidRPr="009A4E7C">
        <w:rPr>
          <w:b/>
          <w:bCs/>
          <w:color w:val="000000" w:themeColor="text1"/>
          <w:lang w:val="en-US"/>
        </w:rPr>
        <w:t>Appendix</w:t>
      </w:r>
    </w:p>
    <w:p w14:paraId="4851BAE2" w14:textId="77777777" w:rsidR="00F64D3D" w:rsidRDefault="00F64D3D" w:rsidP="003374A2">
      <w:pPr>
        <w:snapToGrid w:val="0"/>
        <w:jc w:val="both"/>
        <w:rPr>
          <w:b/>
          <w:color w:val="000000" w:themeColor="text1"/>
          <w:lang w:val="en-US"/>
        </w:rPr>
      </w:pPr>
    </w:p>
    <w:p w14:paraId="57DE5641" w14:textId="01C96AB9" w:rsidR="00521578" w:rsidRPr="000E04FE" w:rsidRDefault="00231AD8" w:rsidP="00521578">
      <w:pPr>
        <w:snapToGrid w:val="0"/>
        <w:jc w:val="both"/>
        <w:rPr>
          <w:bCs/>
          <w:color w:val="000000" w:themeColor="text1"/>
          <w:lang w:val="en-US"/>
        </w:rPr>
      </w:pPr>
      <w:r w:rsidRPr="009A4E7C">
        <w:rPr>
          <w:bCs/>
          <w:color w:val="000000" w:themeColor="text1"/>
          <w:lang w:val="en-US"/>
        </w:rPr>
        <w:t>The field trips and interviews were conducted w</w:t>
      </w:r>
      <w:r w:rsidR="00210A41" w:rsidRPr="009A4E7C">
        <w:rPr>
          <w:bCs/>
          <w:color w:val="000000" w:themeColor="text1"/>
          <w:lang w:val="en-US"/>
        </w:rPr>
        <w:t>ithin the following projects</w:t>
      </w:r>
      <w:r w:rsidR="003374A2">
        <w:rPr>
          <w:bCs/>
          <w:color w:val="000000" w:themeColor="text1"/>
          <w:lang w:val="en-US"/>
        </w:rPr>
        <w:t>:</w:t>
      </w:r>
    </w:p>
    <w:p w14:paraId="0652F5A1" w14:textId="77777777" w:rsidR="00D91544" w:rsidRPr="009A4E7C" w:rsidRDefault="00D91544" w:rsidP="003374A2">
      <w:pPr>
        <w:snapToGrid w:val="0"/>
        <w:jc w:val="both"/>
        <w:rPr>
          <w:bCs/>
          <w:color w:val="000000" w:themeColor="text1"/>
          <w:lang w:val="en-US"/>
        </w:rPr>
      </w:pPr>
    </w:p>
    <w:p w14:paraId="331DEF5E" w14:textId="0622EE6F" w:rsidR="00210A41" w:rsidRPr="000E04FE" w:rsidRDefault="002C4C25" w:rsidP="000E04FE">
      <w:pPr>
        <w:pStyle w:val="Listenabsatz"/>
        <w:numPr>
          <w:ilvl w:val="0"/>
          <w:numId w:val="1"/>
        </w:numPr>
        <w:snapToGrid w:val="0"/>
        <w:jc w:val="both"/>
        <w:rPr>
          <w:bCs/>
          <w:color w:val="000000" w:themeColor="text1"/>
          <w:lang w:val="en-US"/>
        </w:rPr>
      </w:pPr>
      <w:r w:rsidRPr="00521578">
        <w:rPr>
          <w:bCs/>
          <w:i/>
          <w:iCs/>
          <w:color w:val="000000" w:themeColor="text1"/>
          <w:lang w:val="en-US"/>
        </w:rPr>
        <w:t>Y</w:t>
      </w:r>
      <w:r w:rsidR="00231AD8" w:rsidRPr="00521578">
        <w:rPr>
          <w:bCs/>
          <w:i/>
          <w:iCs/>
          <w:color w:val="000000" w:themeColor="text1"/>
          <w:lang w:val="en-US"/>
        </w:rPr>
        <w:t>out</w:t>
      </w:r>
      <w:r w:rsidR="00210A41" w:rsidRPr="00521578">
        <w:rPr>
          <w:bCs/>
          <w:i/>
          <w:iCs/>
          <w:color w:val="000000" w:themeColor="text1"/>
          <w:lang w:val="en-US"/>
        </w:rPr>
        <w:t xml:space="preserve">h in the Balkans and their </w:t>
      </w:r>
      <w:r w:rsidR="00231AD8" w:rsidRPr="00521578">
        <w:rPr>
          <w:bCs/>
          <w:i/>
          <w:iCs/>
          <w:color w:val="000000" w:themeColor="text1"/>
          <w:lang w:val="en-US"/>
        </w:rPr>
        <w:t>cultures of communication, non-communication, and their notions of re</w:t>
      </w:r>
      <w:r w:rsidR="00210A41" w:rsidRPr="00521578">
        <w:rPr>
          <w:bCs/>
          <w:i/>
          <w:iCs/>
          <w:color w:val="000000" w:themeColor="text1"/>
          <w:lang w:val="en-US"/>
        </w:rPr>
        <w:t>conciliation</w:t>
      </w:r>
      <w:r w:rsidR="00210A41" w:rsidRPr="000E04FE">
        <w:rPr>
          <w:bCs/>
          <w:i/>
          <w:iCs/>
          <w:color w:val="000000" w:themeColor="text1"/>
          <w:lang w:val="en-US"/>
        </w:rPr>
        <w:t xml:space="preserve"> </w:t>
      </w:r>
      <w:r w:rsidR="00210A41" w:rsidRPr="006C2C27">
        <w:rPr>
          <w:bCs/>
          <w:color w:val="000000" w:themeColor="text1"/>
          <w:lang w:val="en-US"/>
        </w:rPr>
        <w:t>(2018</w:t>
      </w:r>
      <w:r w:rsidR="00F64D3D">
        <w:rPr>
          <w:bCs/>
          <w:color w:val="000000" w:themeColor="text1"/>
          <w:lang w:val="en-US"/>
        </w:rPr>
        <w:t>–</w:t>
      </w:r>
      <w:r w:rsidR="00210A41" w:rsidRPr="006C2C27">
        <w:rPr>
          <w:bCs/>
          <w:color w:val="000000" w:themeColor="text1"/>
          <w:lang w:val="en-US"/>
        </w:rPr>
        <w:t xml:space="preserve">2020), affiliated at the </w:t>
      </w:r>
      <w:r w:rsidR="00210A41" w:rsidRPr="000E04FE">
        <w:rPr>
          <w:bCs/>
          <w:color w:val="000000" w:themeColor="text1"/>
          <w:lang w:val="en-US"/>
        </w:rPr>
        <w:t>Franz Vranitzky Chair for European Studies, supported by Gesellschaft für Internationale Zusammenarbeit (GIZ) GmbH on behalf of the German Federal Ministry for Economic Cooperation and Development.</w:t>
      </w:r>
    </w:p>
    <w:p w14:paraId="1E74C6A9" w14:textId="5C0032FB" w:rsidR="00210A41" w:rsidRPr="000E04FE" w:rsidRDefault="00210A41" w:rsidP="000E04FE">
      <w:pPr>
        <w:pStyle w:val="Listenabsatz"/>
        <w:numPr>
          <w:ilvl w:val="0"/>
          <w:numId w:val="1"/>
        </w:numPr>
        <w:snapToGrid w:val="0"/>
        <w:jc w:val="both"/>
        <w:rPr>
          <w:bCs/>
          <w:color w:val="000000" w:themeColor="text1"/>
          <w:lang w:val="en-US"/>
        </w:rPr>
      </w:pPr>
      <w:r w:rsidRPr="000E04FE">
        <w:rPr>
          <w:bCs/>
          <w:i/>
          <w:iCs/>
          <w:color w:val="000000" w:themeColor="text1"/>
          <w:lang w:val="en-US"/>
        </w:rPr>
        <w:t xml:space="preserve">How </w:t>
      </w:r>
      <w:r w:rsidR="00231AD8" w:rsidRPr="000E04FE">
        <w:rPr>
          <w:bCs/>
          <w:i/>
          <w:iCs/>
          <w:color w:val="000000" w:themeColor="text1"/>
          <w:lang w:val="en-US"/>
        </w:rPr>
        <w:t>civic engagement leads to political participation</w:t>
      </w:r>
      <w:r w:rsidRPr="000E04FE">
        <w:rPr>
          <w:bCs/>
          <w:i/>
          <w:iCs/>
          <w:color w:val="000000" w:themeColor="text1"/>
          <w:lang w:val="en-US"/>
        </w:rPr>
        <w:t xml:space="preserve">. Learning from </w:t>
      </w:r>
      <w:r w:rsidR="00231AD8" w:rsidRPr="000E04FE">
        <w:rPr>
          <w:bCs/>
          <w:i/>
          <w:iCs/>
          <w:color w:val="000000" w:themeColor="text1"/>
          <w:lang w:val="en-US"/>
        </w:rPr>
        <w:t xml:space="preserve">young active </w:t>
      </w:r>
      <w:r w:rsidRPr="000E04FE">
        <w:rPr>
          <w:bCs/>
          <w:i/>
          <w:iCs/>
          <w:color w:val="000000" w:themeColor="text1"/>
          <w:lang w:val="en-US"/>
        </w:rPr>
        <w:t>Europeans in Bosnia</w:t>
      </w:r>
      <w:r w:rsidR="004515A0" w:rsidRPr="000E04FE">
        <w:rPr>
          <w:bCs/>
          <w:i/>
          <w:iCs/>
          <w:color w:val="000000" w:themeColor="text1"/>
          <w:lang w:val="en-US"/>
        </w:rPr>
        <w:t xml:space="preserve"> and </w:t>
      </w:r>
      <w:r w:rsidRPr="000E04FE">
        <w:rPr>
          <w:bCs/>
          <w:i/>
          <w:iCs/>
          <w:color w:val="000000" w:themeColor="text1"/>
          <w:lang w:val="en-US"/>
        </w:rPr>
        <w:t>Herzegovina, Kosovo, and Serbia</w:t>
      </w:r>
      <w:r w:rsidRPr="000E04FE">
        <w:rPr>
          <w:bCs/>
          <w:color w:val="000000" w:themeColor="text1"/>
          <w:lang w:val="en-US"/>
        </w:rPr>
        <w:t xml:space="preserve"> </w:t>
      </w:r>
      <w:r w:rsidRPr="00231AD8">
        <w:rPr>
          <w:bCs/>
          <w:color w:val="000000" w:themeColor="text1"/>
          <w:lang w:val="en-US"/>
        </w:rPr>
        <w:t>(2016</w:t>
      </w:r>
      <w:r w:rsidR="00F64D3D">
        <w:rPr>
          <w:bCs/>
          <w:color w:val="000000" w:themeColor="text1"/>
          <w:lang w:val="en-US"/>
        </w:rPr>
        <w:t>–</w:t>
      </w:r>
      <w:r w:rsidRPr="00231AD8">
        <w:rPr>
          <w:bCs/>
          <w:color w:val="000000" w:themeColor="text1"/>
          <w:lang w:val="en-US"/>
        </w:rPr>
        <w:t xml:space="preserve">2017), affiliated at the </w:t>
      </w:r>
      <w:r w:rsidRPr="000E04FE">
        <w:rPr>
          <w:bCs/>
          <w:color w:val="000000" w:themeColor="text1"/>
          <w:lang w:val="en-US"/>
        </w:rPr>
        <w:t>Franz Vranitzky Chair for European Studies, supported by Erste Foundation.</w:t>
      </w:r>
    </w:p>
    <w:p w14:paraId="00F60F40" w14:textId="0EB0A1D0" w:rsidR="00210A41" w:rsidRPr="000E04FE" w:rsidRDefault="00210A41" w:rsidP="000E04FE">
      <w:pPr>
        <w:pStyle w:val="Listenabsatz"/>
        <w:numPr>
          <w:ilvl w:val="0"/>
          <w:numId w:val="1"/>
        </w:numPr>
        <w:snapToGrid w:val="0"/>
        <w:jc w:val="both"/>
        <w:rPr>
          <w:bCs/>
          <w:color w:val="000000" w:themeColor="text1"/>
          <w:lang w:val="en-US"/>
        </w:rPr>
      </w:pPr>
      <w:r w:rsidRPr="000E04FE">
        <w:rPr>
          <w:bCs/>
          <w:i/>
          <w:iCs/>
          <w:color w:val="000000" w:themeColor="text1"/>
          <w:lang w:val="en-US"/>
        </w:rPr>
        <w:t xml:space="preserve">Generation </w:t>
      </w:r>
      <w:r w:rsidR="00231AD8" w:rsidRPr="000E04FE">
        <w:rPr>
          <w:bCs/>
          <w:i/>
          <w:iCs/>
          <w:color w:val="000000" w:themeColor="text1"/>
          <w:lang w:val="en-US"/>
        </w:rPr>
        <w:t>in-between</w:t>
      </w:r>
      <w:r w:rsidRPr="000E04FE">
        <w:rPr>
          <w:bCs/>
          <w:i/>
          <w:iCs/>
          <w:color w:val="000000" w:themeColor="text1"/>
          <w:lang w:val="en-US"/>
        </w:rPr>
        <w:t xml:space="preserve">. The “Europeanness” of the Balkan War </w:t>
      </w:r>
      <w:r w:rsidR="00231AD8" w:rsidRPr="000E04FE">
        <w:rPr>
          <w:bCs/>
          <w:i/>
          <w:iCs/>
          <w:color w:val="000000" w:themeColor="text1"/>
          <w:lang w:val="en-US"/>
        </w:rPr>
        <w:t>children</w:t>
      </w:r>
      <w:r w:rsidR="00231AD8" w:rsidRPr="000E04FE">
        <w:rPr>
          <w:bCs/>
          <w:color w:val="000000" w:themeColor="text1"/>
          <w:lang w:val="en-US"/>
        </w:rPr>
        <w:t xml:space="preserve"> </w:t>
      </w:r>
      <w:r w:rsidRPr="00231AD8">
        <w:rPr>
          <w:bCs/>
          <w:color w:val="000000" w:themeColor="text1"/>
          <w:lang w:val="en-US"/>
        </w:rPr>
        <w:t>(2015</w:t>
      </w:r>
      <w:r w:rsidR="00F64D3D">
        <w:rPr>
          <w:bCs/>
          <w:color w:val="000000" w:themeColor="text1"/>
          <w:lang w:val="en-US"/>
        </w:rPr>
        <w:t>–</w:t>
      </w:r>
      <w:r w:rsidRPr="00231AD8">
        <w:rPr>
          <w:bCs/>
          <w:color w:val="000000" w:themeColor="text1"/>
          <w:lang w:val="en-US"/>
        </w:rPr>
        <w:t xml:space="preserve">2016), affiliated at the </w:t>
      </w:r>
      <w:r w:rsidRPr="000E04FE">
        <w:rPr>
          <w:bCs/>
          <w:color w:val="000000" w:themeColor="text1"/>
          <w:lang w:val="en-US"/>
        </w:rPr>
        <w:t>Franz Vranitzky Chair for European Studies, supported by Erste Foundation.</w:t>
      </w:r>
    </w:p>
    <w:p w14:paraId="7AB3B328" w14:textId="20F4AA7E" w:rsidR="00210A41" w:rsidRDefault="00210A41" w:rsidP="003374A2">
      <w:pPr>
        <w:snapToGrid w:val="0"/>
        <w:jc w:val="both"/>
        <w:rPr>
          <w:bCs/>
          <w:color w:val="000000" w:themeColor="text1"/>
          <w:lang w:val="en-US"/>
        </w:rPr>
      </w:pPr>
    </w:p>
    <w:p w14:paraId="47BA1120" w14:textId="7BC97A42" w:rsidR="00205940" w:rsidRDefault="00205940" w:rsidP="003374A2">
      <w:pPr>
        <w:ind w:left="482" w:hanging="482"/>
        <w:jc w:val="both"/>
        <w:rPr>
          <w:b/>
          <w:bCs/>
          <w:color w:val="000000" w:themeColor="text1"/>
          <w:lang w:val="en-US"/>
        </w:rPr>
      </w:pPr>
      <w:r>
        <w:rPr>
          <w:b/>
          <w:bCs/>
          <w:color w:val="000000" w:themeColor="text1"/>
          <w:lang w:val="en-US"/>
        </w:rPr>
        <w:t>Corpus overview</w:t>
      </w:r>
    </w:p>
    <w:p w14:paraId="71B61510" w14:textId="77777777" w:rsidR="00D91544" w:rsidRDefault="00D91544" w:rsidP="003374A2">
      <w:pPr>
        <w:ind w:left="482" w:hanging="482"/>
        <w:jc w:val="both"/>
        <w:rPr>
          <w:b/>
          <w:bCs/>
          <w:color w:val="000000" w:themeColor="text1"/>
          <w:lang w:val="en-US"/>
        </w:rPr>
      </w:pP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506"/>
        <w:gridCol w:w="3019"/>
      </w:tblGrid>
      <w:tr w:rsidR="00205940" w:rsidRPr="0096161A" w14:paraId="0D693C67" w14:textId="77777777" w:rsidTr="009A4E7C">
        <w:tc>
          <w:tcPr>
            <w:tcW w:w="4531" w:type="dxa"/>
            <w:tcBorders>
              <w:top w:val="single" w:sz="4" w:space="0" w:color="auto"/>
              <w:bottom w:val="single" w:sz="4" w:space="0" w:color="auto"/>
            </w:tcBorders>
          </w:tcPr>
          <w:p w14:paraId="482FC670" w14:textId="36161FFF" w:rsidR="00205940" w:rsidRPr="009A4E7C" w:rsidRDefault="00205940" w:rsidP="009A4E7C">
            <w:pPr>
              <w:snapToGrid w:val="0"/>
              <w:ind w:left="177" w:hanging="177"/>
              <w:jc w:val="both"/>
              <w:rPr>
                <w:color w:val="000000" w:themeColor="text1"/>
                <w:lang w:val="en-US"/>
              </w:rPr>
            </w:pPr>
            <w:r w:rsidRPr="009A4E7C">
              <w:rPr>
                <w:color w:val="000000" w:themeColor="text1"/>
                <w:lang w:val="en-US"/>
              </w:rPr>
              <w:t xml:space="preserve">Name </w:t>
            </w:r>
            <w:r w:rsidR="00F64D3D" w:rsidRPr="009A4E7C">
              <w:rPr>
                <w:color w:val="000000" w:themeColor="text1"/>
                <w:lang w:val="en-US"/>
              </w:rPr>
              <w:t xml:space="preserve">of the interviewee </w:t>
            </w:r>
            <w:r w:rsidRPr="009A4E7C">
              <w:rPr>
                <w:color w:val="000000" w:themeColor="text1"/>
                <w:lang w:val="en-US"/>
              </w:rPr>
              <w:t>and date of the interview</w:t>
            </w:r>
          </w:p>
        </w:tc>
        <w:tc>
          <w:tcPr>
            <w:tcW w:w="1506" w:type="dxa"/>
            <w:tcBorders>
              <w:top w:val="single" w:sz="4" w:space="0" w:color="auto"/>
              <w:bottom w:val="single" w:sz="4" w:space="0" w:color="auto"/>
            </w:tcBorders>
          </w:tcPr>
          <w:p w14:paraId="6BDC95B2" w14:textId="77777777" w:rsidR="00205940" w:rsidRPr="009A4E7C" w:rsidRDefault="00205940" w:rsidP="009A4E7C">
            <w:pPr>
              <w:snapToGrid w:val="0"/>
              <w:ind w:left="177" w:hanging="177"/>
              <w:jc w:val="both"/>
              <w:rPr>
                <w:color w:val="000000" w:themeColor="text1"/>
                <w:lang w:val="en-US"/>
              </w:rPr>
            </w:pPr>
            <w:r w:rsidRPr="009A4E7C">
              <w:rPr>
                <w:color w:val="000000" w:themeColor="text1"/>
                <w:lang w:val="en-US"/>
              </w:rPr>
              <w:t>Date of birth</w:t>
            </w:r>
          </w:p>
        </w:tc>
        <w:tc>
          <w:tcPr>
            <w:tcW w:w="3019" w:type="dxa"/>
            <w:tcBorders>
              <w:top w:val="single" w:sz="4" w:space="0" w:color="auto"/>
              <w:bottom w:val="single" w:sz="4" w:space="0" w:color="auto"/>
            </w:tcBorders>
          </w:tcPr>
          <w:p w14:paraId="0867B3CC" w14:textId="77777777" w:rsidR="00205940" w:rsidRPr="009A4E7C" w:rsidRDefault="00205940" w:rsidP="009A4E7C">
            <w:pPr>
              <w:snapToGrid w:val="0"/>
              <w:ind w:left="177" w:hanging="177"/>
              <w:jc w:val="both"/>
              <w:rPr>
                <w:color w:val="000000" w:themeColor="text1"/>
                <w:lang w:val="en-US"/>
              </w:rPr>
            </w:pPr>
            <w:r w:rsidRPr="009A4E7C">
              <w:rPr>
                <w:color w:val="000000" w:themeColor="text1"/>
                <w:lang w:val="en-US"/>
              </w:rPr>
              <w:t>Place of residence</w:t>
            </w:r>
          </w:p>
        </w:tc>
      </w:tr>
      <w:tr w:rsidR="00205940" w:rsidRPr="0096161A" w14:paraId="47267775" w14:textId="77777777" w:rsidTr="009A4E7C">
        <w:tc>
          <w:tcPr>
            <w:tcW w:w="4531" w:type="dxa"/>
            <w:tcBorders>
              <w:top w:val="single" w:sz="4" w:space="0" w:color="auto"/>
            </w:tcBorders>
          </w:tcPr>
          <w:p w14:paraId="193F041A"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Tarik (28 October 2019), recorded in English</w:t>
            </w:r>
          </w:p>
        </w:tc>
        <w:tc>
          <w:tcPr>
            <w:tcW w:w="1506" w:type="dxa"/>
            <w:tcBorders>
              <w:top w:val="single" w:sz="4" w:space="0" w:color="auto"/>
            </w:tcBorders>
          </w:tcPr>
          <w:p w14:paraId="218D1444"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1986</w:t>
            </w:r>
          </w:p>
        </w:tc>
        <w:tc>
          <w:tcPr>
            <w:tcW w:w="3019" w:type="dxa"/>
            <w:tcBorders>
              <w:top w:val="single" w:sz="4" w:space="0" w:color="auto"/>
            </w:tcBorders>
          </w:tcPr>
          <w:p w14:paraId="3C4F3EBC"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Pristina (Kosovo)</w:t>
            </w:r>
          </w:p>
        </w:tc>
      </w:tr>
      <w:tr w:rsidR="00205940" w:rsidRPr="0096161A" w14:paraId="71A69A6E" w14:textId="77777777" w:rsidTr="009A4E7C">
        <w:tc>
          <w:tcPr>
            <w:tcW w:w="4531" w:type="dxa"/>
          </w:tcPr>
          <w:p w14:paraId="29C19015"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Nedim (10 March 2019), recorded in English</w:t>
            </w:r>
          </w:p>
        </w:tc>
        <w:tc>
          <w:tcPr>
            <w:tcW w:w="1506" w:type="dxa"/>
          </w:tcPr>
          <w:p w14:paraId="01C14189"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1988</w:t>
            </w:r>
          </w:p>
        </w:tc>
        <w:tc>
          <w:tcPr>
            <w:tcW w:w="3019" w:type="dxa"/>
          </w:tcPr>
          <w:p w14:paraId="6DFBD851"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Sarajevo (BiH)</w:t>
            </w:r>
          </w:p>
        </w:tc>
      </w:tr>
      <w:tr w:rsidR="00205940" w:rsidRPr="0096161A" w14:paraId="47544660" w14:textId="77777777" w:rsidTr="009A4E7C">
        <w:tc>
          <w:tcPr>
            <w:tcW w:w="4531" w:type="dxa"/>
          </w:tcPr>
          <w:p w14:paraId="1F7F5A3C"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Lejla (8 March 2019), recorded in English</w:t>
            </w:r>
          </w:p>
        </w:tc>
        <w:tc>
          <w:tcPr>
            <w:tcW w:w="1506" w:type="dxa"/>
          </w:tcPr>
          <w:p w14:paraId="73B57567"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1990</w:t>
            </w:r>
          </w:p>
        </w:tc>
        <w:tc>
          <w:tcPr>
            <w:tcW w:w="3019" w:type="dxa"/>
          </w:tcPr>
          <w:p w14:paraId="1365E6CF"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Visoko (BiH)</w:t>
            </w:r>
          </w:p>
        </w:tc>
      </w:tr>
      <w:tr w:rsidR="00205940" w:rsidRPr="000E04FE" w14:paraId="0E2E3F77" w14:textId="77777777" w:rsidTr="009A4E7C">
        <w:tc>
          <w:tcPr>
            <w:tcW w:w="4531" w:type="dxa"/>
          </w:tcPr>
          <w:p w14:paraId="071CAD0A"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Radenka (16 June 2016), recorded in English</w:t>
            </w:r>
          </w:p>
        </w:tc>
        <w:tc>
          <w:tcPr>
            <w:tcW w:w="1506" w:type="dxa"/>
          </w:tcPr>
          <w:p w14:paraId="72271C24"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1992</w:t>
            </w:r>
          </w:p>
        </w:tc>
        <w:tc>
          <w:tcPr>
            <w:tcW w:w="3019" w:type="dxa"/>
          </w:tcPr>
          <w:p w14:paraId="616F842B"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Born in Čačak, living in Belgrade (Serbia)</w:t>
            </w:r>
          </w:p>
        </w:tc>
      </w:tr>
      <w:tr w:rsidR="00205940" w:rsidRPr="0096161A" w14:paraId="095E980A" w14:textId="77777777" w:rsidTr="009A4E7C">
        <w:tc>
          <w:tcPr>
            <w:tcW w:w="4531" w:type="dxa"/>
          </w:tcPr>
          <w:p w14:paraId="1F45638B"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Elisa (15 June 2016), recorded in English</w:t>
            </w:r>
          </w:p>
        </w:tc>
        <w:tc>
          <w:tcPr>
            <w:tcW w:w="1506" w:type="dxa"/>
          </w:tcPr>
          <w:p w14:paraId="44087E86"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1994</w:t>
            </w:r>
          </w:p>
        </w:tc>
        <w:tc>
          <w:tcPr>
            <w:tcW w:w="3019" w:type="dxa"/>
          </w:tcPr>
          <w:p w14:paraId="14EAA8E8"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Belgrade (Serbia)</w:t>
            </w:r>
          </w:p>
        </w:tc>
      </w:tr>
      <w:tr w:rsidR="00205940" w:rsidRPr="0096161A" w14:paraId="38B23DA3" w14:textId="77777777" w:rsidTr="009A4E7C">
        <w:tc>
          <w:tcPr>
            <w:tcW w:w="4531" w:type="dxa"/>
          </w:tcPr>
          <w:p w14:paraId="0CFB5D40"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Sara (12 April 2016), recorded in English</w:t>
            </w:r>
          </w:p>
        </w:tc>
        <w:tc>
          <w:tcPr>
            <w:tcW w:w="1506" w:type="dxa"/>
          </w:tcPr>
          <w:p w14:paraId="22351AC5"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1994</w:t>
            </w:r>
          </w:p>
        </w:tc>
        <w:tc>
          <w:tcPr>
            <w:tcW w:w="3019" w:type="dxa"/>
          </w:tcPr>
          <w:p w14:paraId="6A50CC15"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Pristina (Kosovo)</w:t>
            </w:r>
          </w:p>
        </w:tc>
      </w:tr>
      <w:tr w:rsidR="00205940" w:rsidRPr="000E04FE" w14:paraId="4C49A3EE" w14:textId="77777777" w:rsidTr="009A4E7C">
        <w:tc>
          <w:tcPr>
            <w:tcW w:w="4531" w:type="dxa"/>
          </w:tcPr>
          <w:p w14:paraId="28F3614B"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Mario (12 July 2016), recorded in English</w:t>
            </w:r>
          </w:p>
        </w:tc>
        <w:tc>
          <w:tcPr>
            <w:tcW w:w="1506" w:type="dxa"/>
          </w:tcPr>
          <w:p w14:paraId="1BE8543D"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1995</w:t>
            </w:r>
          </w:p>
        </w:tc>
        <w:tc>
          <w:tcPr>
            <w:tcW w:w="3019" w:type="dxa"/>
          </w:tcPr>
          <w:p w14:paraId="3AF46168"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Born in Srebrenica, living in Sarajevo (BiH)</w:t>
            </w:r>
          </w:p>
        </w:tc>
      </w:tr>
      <w:tr w:rsidR="00205940" w:rsidRPr="0096161A" w14:paraId="576C9EB4" w14:textId="77777777" w:rsidTr="009A4E7C">
        <w:tc>
          <w:tcPr>
            <w:tcW w:w="4531" w:type="dxa"/>
          </w:tcPr>
          <w:p w14:paraId="4022B070"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Marko (27 October 2019), recorded in English</w:t>
            </w:r>
          </w:p>
        </w:tc>
        <w:tc>
          <w:tcPr>
            <w:tcW w:w="1506" w:type="dxa"/>
          </w:tcPr>
          <w:p w14:paraId="0DD77D66"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1995</w:t>
            </w:r>
          </w:p>
        </w:tc>
        <w:tc>
          <w:tcPr>
            <w:tcW w:w="3019" w:type="dxa"/>
          </w:tcPr>
          <w:p w14:paraId="1EF27B30"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Mitrovica (Kosovo)</w:t>
            </w:r>
          </w:p>
        </w:tc>
      </w:tr>
      <w:tr w:rsidR="00205940" w:rsidRPr="0096161A" w14:paraId="4C383BBE" w14:textId="77777777" w:rsidTr="009A4E7C">
        <w:tc>
          <w:tcPr>
            <w:tcW w:w="4531" w:type="dxa"/>
          </w:tcPr>
          <w:p w14:paraId="7D11370E" w14:textId="77777777" w:rsidR="00205940" w:rsidRPr="009A4E7C" w:rsidRDefault="00205940" w:rsidP="009A4E7C">
            <w:pPr>
              <w:snapToGrid w:val="0"/>
              <w:ind w:left="177" w:hanging="177"/>
              <w:jc w:val="both"/>
              <w:rPr>
                <w:color w:val="000000" w:themeColor="text1"/>
                <w:lang w:val="en-US"/>
              </w:rPr>
            </w:pPr>
            <w:r w:rsidRPr="0096161A">
              <w:rPr>
                <w:lang w:val="en-US"/>
              </w:rPr>
              <w:t>Milica (9 October 2020), recorded in English</w:t>
            </w:r>
          </w:p>
        </w:tc>
        <w:tc>
          <w:tcPr>
            <w:tcW w:w="1506" w:type="dxa"/>
          </w:tcPr>
          <w:p w14:paraId="187A01DC"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1997</w:t>
            </w:r>
          </w:p>
        </w:tc>
        <w:tc>
          <w:tcPr>
            <w:tcW w:w="3019" w:type="dxa"/>
          </w:tcPr>
          <w:p w14:paraId="1BA60C72"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 xml:space="preserve">Bar </w:t>
            </w:r>
            <w:r w:rsidRPr="0096161A">
              <w:rPr>
                <w:lang w:val="en-US"/>
              </w:rPr>
              <w:t>(Montenegro)</w:t>
            </w:r>
          </w:p>
        </w:tc>
      </w:tr>
      <w:tr w:rsidR="00205940" w:rsidRPr="0096161A" w14:paraId="4522C075" w14:textId="77777777" w:rsidTr="009A4E7C">
        <w:tc>
          <w:tcPr>
            <w:tcW w:w="4531" w:type="dxa"/>
          </w:tcPr>
          <w:p w14:paraId="2458C90F" w14:textId="77777777" w:rsidR="00205940" w:rsidRPr="009A4E7C" w:rsidRDefault="00205940" w:rsidP="009A4E7C">
            <w:pPr>
              <w:snapToGrid w:val="0"/>
              <w:ind w:left="177" w:hanging="177"/>
              <w:jc w:val="both"/>
              <w:rPr>
                <w:lang w:val="en-US"/>
              </w:rPr>
            </w:pPr>
            <w:r w:rsidRPr="0096161A">
              <w:rPr>
                <w:lang w:val="en-US"/>
              </w:rPr>
              <w:t xml:space="preserve">Dino (18 </w:t>
            </w:r>
            <w:r w:rsidRPr="0096161A">
              <w:rPr>
                <w:color w:val="000000" w:themeColor="text1"/>
                <w:lang w:val="en-US"/>
              </w:rPr>
              <w:t xml:space="preserve">June 2020), </w:t>
            </w:r>
            <w:r w:rsidRPr="0096161A">
              <w:rPr>
                <w:lang w:val="en-US"/>
              </w:rPr>
              <w:t>recorded in Bosnian</w:t>
            </w:r>
          </w:p>
        </w:tc>
        <w:tc>
          <w:tcPr>
            <w:tcW w:w="1506" w:type="dxa"/>
          </w:tcPr>
          <w:p w14:paraId="7D26008A"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1999</w:t>
            </w:r>
          </w:p>
        </w:tc>
        <w:tc>
          <w:tcPr>
            <w:tcW w:w="3019" w:type="dxa"/>
          </w:tcPr>
          <w:p w14:paraId="35EFA1E6" w14:textId="77777777" w:rsidR="00205940" w:rsidRPr="009A4E7C" w:rsidRDefault="00205940" w:rsidP="009A4E7C">
            <w:pPr>
              <w:snapToGrid w:val="0"/>
              <w:ind w:left="177" w:hanging="177"/>
              <w:jc w:val="both"/>
              <w:rPr>
                <w:color w:val="000000" w:themeColor="text1"/>
                <w:lang w:val="en-US"/>
              </w:rPr>
            </w:pPr>
            <w:r w:rsidRPr="0096161A">
              <w:rPr>
                <w:lang w:val="en-US"/>
              </w:rPr>
              <w:t>Goražde (BiH)</w:t>
            </w:r>
          </w:p>
        </w:tc>
      </w:tr>
      <w:tr w:rsidR="00205940" w:rsidRPr="0096161A" w14:paraId="390CF786" w14:textId="77777777" w:rsidTr="009A4E7C">
        <w:tc>
          <w:tcPr>
            <w:tcW w:w="4531" w:type="dxa"/>
          </w:tcPr>
          <w:p w14:paraId="613E226B" w14:textId="77777777" w:rsidR="00205940" w:rsidRPr="009A4E7C" w:rsidRDefault="00205940" w:rsidP="009A4E7C">
            <w:pPr>
              <w:snapToGrid w:val="0"/>
              <w:ind w:left="177" w:hanging="177"/>
              <w:jc w:val="both"/>
              <w:rPr>
                <w:lang w:val="en-US"/>
              </w:rPr>
            </w:pPr>
            <w:r w:rsidRPr="0096161A">
              <w:rPr>
                <w:lang w:val="en-US"/>
              </w:rPr>
              <w:t>Eden (8 February 2020), recorded in English</w:t>
            </w:r>
          </w:p>
        </w:tc>
        <w:tc>
          <w:tcPr>
            <w:tcW w:w="1506" w:type="dxa"/>
          </w:tcPr>
          <w:p w14:paraId="27BB3B83"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2000</w:t>
            </w:r>
          </w:p>
        </w:tc>
        <w:tc>
          <w:tcPr>
            <w:tcW w:w="3019" w:type="dxa"/>
          </w:tcPr>
          <w:p w14:paraId="54E6E5DB" w14:textId="77777777" w:rsidR="00205940" w:rsidRPr="009A4E7C" w:rsidRDefault="00205940" w:rsidP="009A4E7C">
            <w:pPr>
              <w:snapToGrid w:val="0"/>
              <w:ind w:left="177" w:hanging="177"/>
              <w:jc w:val="both"/>
              <w:rPr>
                <w:lang w:val="en-US"/>
              </w:rPr>
            </w:pPr>
            <w:r w:rsidRPr="0096161A">
              <w:rPr>
                <w:lang w:val="en-US"/>
              </w:rPr>
              <w:t>Sarajevo (BiH)</w:t>
            </w:r>
          </w:p>
        </w:tc>
      </w:tr>
      <w:tr w:rsidR="00205940" w:rsidRPr="0096161A" w14:paraId="0FB1D3B3" w14:textId="77777777" w:rsidTr="009A4E7C">
        <w:tc>
          <w:tcPr>
            <w:tcW w:w="4531" w:type="dxa"/>
          </w:tcPr>
          <w:p w14:paraId="418097E9" w14:textId="77777777" w:rsidR="00205940" w:rsidRPr="009A4E7C" w:rsidRDefault="00205940" w:rsidP="009A4E7C">
            <w:pPr>
              <w:snapToGrid w:val="0"/>
              <w:ind w:left="177" w:hanging="177"/>
              <w:jc w:val="both"/>
              <w:rPr>
                <w:lang w:val="en-US"/>
              </w:rPr>
            </w:pPr>
            <w:r w:rsidRPr="0096161A">
              <w:rPr>
                <w:lang w:val="en-US"/>
              </w:rPr>
              <w:t>Luka (8 February 2020), recorded in English</w:t>
            </w:r>
          </w:p>
        </w:tc>
        <w:tc>
          <w:tcPr>
            <w:tcW w:w="1506" w:type="dxa"/>
          </w:tcPr>
          <w:p w14:paraId="7D50A360"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2001</w:t>
            </w:r>
          </w:p>
        </w:tc>
        <w:tc>
          <w:tcPr>
            <w:tcW w:w="3019" w:type="dxa"/>
          </w:tcPr>
          <w:p w14:paraId="1998A2FF" w14:textId="77777777" w:rsidR="00205940" w:rsidRPr="009A4E7C" w:rsidRDefault="00205940" w:rsidP="009A4E7C">
            <w:pPr>
              <w:snapToGrid w:val="0"/>
              <w:ind w:left="177" w:hanging="177"/>
              <w:jc w:val="both"/>
              <w:rPr>
                <w:color w:val="000000" w:themeColor="text1"/>
                <w:lang w:val="en-US"/>
              </w:rPr>
            </w:pPr>
            <w:r w:rsidRPr="0096161A">
              <w:rPr>
                <w:lang w:val="en-US"/>
              </w:rPr>
              <w:t>Sarajevo (BiH)</w:t>
            </w:r>
          </w:p>
        </w:tc>
      </w:tr>
      <w:tr w:rsidR="00205940" w:rsidRPr="0096161A" w14:paraId="232C1220" w14:textId="77777777" w:rsidTr="009A4E7C">
        <w:tc>
          <w:tcPr>
            <w:tcW w:w="4531" w:type="dxa"/>
          </w:tcPr>
          <w:p w14:paraId="3413434F" w14:textId="77777777" w:rsidR="00205940" w:rsidRPr="009A4E7C" w:rsidRDefault="00205940" w:rsidP="009A4E7C">
            <w:pPr>
              <w:snapToGrid w:val="0"/>
              <w:ind w:left="177" w:hanging="177"/>
              <w:jc w:val="both"/>
              <w:rPr>
                <w:lang w:val="en-US"/>
              </w:rPr>
            </w:pPr>
            <w:r w:rsidRPr="0096161A">
              <w:rPr>
                <w:lang w:val="en-US"/>
              </w:rPr>
              <w:t>Dea (9 March 2019 &amp; 20 July 2019), both recorded in English</w:t>
            </w:r>
          </w:p>
        </w:tc>
        <w:tc>
          <w:tcPr>
            <w:tcW w:w="1506" w:type="dxa"/>
          </w:tcPr>
          <w:p w14:paraId="6209F9E6"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2001</w:t>
            </w:r>
          </w:p>
        </w:tc>
        <w:tc>
          <w:tcPr>
            <w:tcW w:w="3019" w:type="dxa"/>
          </w:tcPr>
          <w:p w14:paraId="33C4E258" w14:textId="77777777" w:rsidR="00205940" w:rsidRPr="009A4E7C" w:rsidRDefault="00205940" w:rsidP="009A4E7C">
            <w:pPr>
              <w:snapToGrid w:val="0"/>
              <w:ind w:left="177" w:hanging="177"/>
              <w:jc w:val="both"/>
              <w:rPr>
                <w:lang w:val="en-US"/>
              </w:rPr>
            </w:pPr>
            <w:r w:rsidRPr="0096161A">
              <w:rPr>
                <w:lang w:val="en-US"/>
              </w:rPr>
              <w:t>Sombor (Serbia)</w:t>
            </w:r>
          </w:p>
        </w:tc>
      </w:tr>
      <w:tr w:rsidR="00205940" w:rsidRPr="0096161A" w14:paraId="46E2287B" w14:textId="77777777" w:rsidTr="009A4E7C">
        <w:tc>
          <w:tcPr>
            <w:tcW w:w="4531" w:type="dxa"/>
          </w:tcPr>
          <w:p w14:paraId="6CC02C64" w14:textId="77777777" w:rsidR="00205940" w:rsidRPr="009A4E7C" w:rsidRDefault="00205940" w:rsidP="009A4E7C">
            <w:pPr>
              <w:snapToGrid w:val="0"/>
              <w:ind w:left="177" w:hanging="177"/>
              <w:jc w:val="both"/>
              <w:rPr>
                <w:lang w:val="en-US"/>
              </w:rPr>
            </w:pPr>
            <w:r w:rsidRPr="0096161A">
              <w:rPr>
                <w:lang w:val="en-US"/>
              </w:rPr>
              <w:t>Anja (8 March 2019), recorded in English</w:t>
            </w:r>
          </w:p>
        </w:tc>
        <w:tc>
          <w:tcPr>
            <w:tcW w:w="1506" w:type="dxa"/>
          </w:tcPr>
          <w:p w14:paraId="2373DF35"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2001</w:t>
            </w:r>
          </w:p>
        </w:tc>
        <w:tc>
          <w:tcPr>
            <w:tcW w:w="3019" w:type="dxa"/>
          </w:tcPr>
          <w:p w14:paraId="2F46B6DE" w14:textId="77777777" w:rsidR="00205940" w:rsidRPr="009A4E7C" w:rsidRDefault="00205940" w:rsidP="009A4E7C">
            <w:pPr>
              <w:snapToGrid w:val="0"/>
              <w:ind w:left="177" w:hanging="177"/>
              <w:jc w:val="both"/>
              <w:rPr>
                <w:lang w:val="en-US"/>
              </w:rPr>
            </w:pPr>
            <w:r w:rsidRPr="0096161A">
              <w:rPr>
                <w:color w:val="000000"/>
                <w:lang w:val="en-US"/>
              </w:rPr>
              <w:t>Niš</w:t>
            </w:r>
            <w:r w:rsidRPr="0096161A">
              <w:rPr>
                <w:lang w:val="en-US"/>
              </w:rPr>
              <w:t xml:space="preserve"> (Serbia)</w:t>
            </w:r>
          </w:p>
        </w:tc>
      </w:tr>
      <w:tr w:rsidR="00205940" w:rsidRPr="0096161A" w14:paraId="21C31BF8" w14:textId="77777777" w:rsidTr="009A4E7C">
        <w:tc>
          <w:tcPr>
            <w:tcW w:w="4531" w:type="dxa"/>
          </w:tcPr>
          <w:p w14:paraId="6D37DB9C" w14:textId="77777777" w:rsidR="00205940" w:rsidRPr="009A4E7C" w:rsidRDefault="00205940" w:rsidP="009A4E7C">
            <w:pPr>
              <w:snapToGrid w:val="0"/>
              <w:ind w:left="177" w:hanging="177"/>
              <w:jc w:val="both"/>
              <w:rPr>
                <w:lang w:val="en-US"/>
              </w:rPr>
            </w:pPr>
            <w:r w:rsidRPr="0096161A">
              <w:rPr>
                <w:lang w:val="en-US"/>
              </w:rPr>
              <w:t>Stefan (22 July 2019), recorded in English</w:t>
            </w:r>
          </w:p>
        </w:tc>
        <w:tc>
          <w:tcPr>
            <w:tcW w:w="1506" w:type="dxa"/>
          </w:tcPr>
          <w:p w14:paraId="12F0E337" w14:textId="77777777" w:rsidR="00205940" w:rsidRPr="009A4E7C" w:rsidRDefault="00205940" w:rsidP="009A4E7C">
            <w:pPr>
              <w:snapToGrid w:val="0"/>
              <w:ind w:left="177" w:hanging="177"/>
              <w:jc w:val="both"/>
              <w:rPr>
                <w:color w:val="000000" w:themeColor="text1"/>
                <w:lang w:val="en-US"/>
              </w:rPr>
            </w:pPr>
            <w:r w:rsidRPr="0096161A">
              <w:rPr>
                <w:color w:val="000000" w:themeColor="text1"/>
                <w:lang w:val="en-US"/>
              </w:rPr>
              <w:t>2002</w:t>
            </w:r>
          </w:p>
        </w:tc>
        <w:tc>
          <w:tcPr>
            <w:tcW w:w="3019" w:type="dxa"/>
          </w:tcPr>
          <w:p w14:paraId="3E496C0E" w14:textId="77777777" w:rsidR="00205940" w:rsidRPr="009A4E7C" w:rsidRDefault="00205940" w:rsidP="009A4E7C">
            <w:pPr>
              <w:snapToGrid w:val="0"/>
              <w:ind w:left="177" w:hanging="177"/>
              <w:jc w:val="both"/>
              <w:rPr>
                <w:lang w:val="en-US"/>
              </w:rPr>
            </w:pPr>
            <w:r w:rsidRPr="0096161A">
              <w:rPr>
                <w:lang w:val="en-US"/>
              </w:rPr>
              <w:t>Požarevac (Serbia)</w:t>
            </w:r>
          </w:p>
        </w:tc>
      </w:tr>
    </w:tbl>
    <w:p w14:paraId="22933E40" w14:textId="77777777" w:rsidR="00D91544" w:rsidRDefault="00D91544" w:rsidP="003374A2">
      <w:pPr>
        <w:snapToGrid w:val="0"/>
        <w:jc w:val="both"/>
        <w:rPr>
          <w:b/>
          <w:color w:val="000000" w:themeColor="text1"/>
          <w:lang w:val="en-US"/>
        </w:rPr>
      </w:pPr>
    </w:p>
    <w:p w14:paraId="5AED0C7A" w14:textId="293C6375" w:rsidR="00210A41" w:rsidRDefault="00210A41" w:rsidP="003374A2">
      <w:pPr>
        <w:snapToGrid w:val="0"/>
        <w:jc w:val="both"/>
        <w:rPr>
          <w:b/>
          <w:color w:val="000000" w:themeColor="text1"/>
          <w:lang w:val="en-US"/>
        </w:rPr>
      </w:pPr>
      <w:r w:rsidRPr="00E41744">
        <w:rPr>
          <w:b/>
          <w:color w:val="000000" w:themeColor="text1"/>
          <w:lang w:val="en-US"/>
        </w:rPr>
        <w:t xml:space="preserve">Narrative </w:t>
      </w:r>
      <w:r w:rsidR="00D91544">
        <w:rPr>
          <w:b/>
          <w:color w:val="000000" w:themeColor="text1"/>
          <w:lang w:val="en-US"/>
        </w:rPr>
        <w:t>s</w:t>
      </w:r>
      <w:r w:rsidR="00D91544" w:rsidRPr="00E41744">
        <w:rPr>
          <w:b/>
          <w:color w:val="000000" w:themeColor="text1"/>
          <w:lang w:val="en-US"/>
        </w:rPr>
        <w:t xml:space="preserve">timuli </w:t>
      </w:r>
      <w:r w:rsidRPr="00E41744">
        <w:rPr>
          <w:b/>
          <w:color w:val="000000" w:themeColor="text1"/>
          <w:lang w:val="en-US"/>
        </w:rPr>
        <w:t>used for life</w:t>
      </w:r>
      <w:r w:rsidR="00F64D3D">
        <w:rPr>
          <w:b/>
          <w:color w:val="000000" w:themeColor="text1"/>
          <w:lang w:val="en-US"/>
        </w:rPr>
        <w:t>-</w:t>
      </w:r>
      <w:r w:rsidRPr="00E41744">
        <w:rPr>
          <w:b/>
          <w:color w:val="000000" w:themeColor="text1"/>
          <w:lang w:val="en-US"/>
        </w:rPr>
        <w:t>story interviews</w:t>
      </w:r>
    </w:p>
    <w:p w14:paraId="5179BBA6" w14:textId="77777777" w:rsidR="00D91544" w:rsidRPr="00E41744" w:rsidRDefault="00D91544" w:rsidP="003374A2">
      <w:pPr>
        <w:snapToGrid w:val="0"/>
        <w:jc w:val="both"/>
        <w:rPr>
          <w:b/>
          <w:color w:val="000000" w:themeColor="text1"/>
          <w:lang w:val="en-US"/>
        </w:rPr>
      </w:pPr>
    </w:p>
    <w:p w14:paraId="53048EF1" w14:textId="0CC05081" w:rsidR="00210A41" w:rsidRDefault="00210A41" w:rsidP="003374A2">
      <w:pPr>
        <w:snapToGrid w:val="0"/>
        <w:jc w:val="both"/>
        <w:rPr>
          <w:bCs/>
          <w:color w:val="000000" w:themeColor="text1"/>
          <w:lang w:val="en-US"/>
        </w:rPr>
      </w:pPr>
      <w:r w:rsidRPr="00AA7914">
        <w:rPr>
          <w:bCs/>
          <w:color w:val="000000" w:themeColor="text1"/>
          <w:lang w:val="en-US"/>
        </w:rPr>
        <w:t xml:space="preserve">A life-story interview starts with a stimulus appropriate to evoke a longer, autonomous narration. For the main research we used the following stimuli for </w:t>
      </w:r>
      <w:r>
        <w:rPr>
          <w:bCs/>
          <w:color w:val="000000" w:themeColor="text1"/>
          <w:lang w:val="en-US"/>
        </w:rPr>
        <w:t>young people in general</w:t>
      </w:r>
      <w:r w:rsidR="00A54AB0">
        <w:rPr>
          <w:bCs/>
          <w:color w:val="000000" w:themeColor="text1"/>
          <w:lang w:val="en-US"/>
        </w:rPr>
        <w:t>,</w:t>
      </w:r>
      <w:r>
        <w:rPr>
          <w:bCs/>
          <w:color w:val="000000" w:themeColor="text1"/>
          <w:lang w:val="en-US"/>
        </w:rPr>
        <w:t xml:space="preserve"> and for </w:t>
      </w:r>
      <w:r w:rsidRPr="00AA7914">
        <w:rPr>
          <w:bCs/>
          <w:color w:val="000000" w:themeColor="text1"/>
          <w:lang w:val="en-US"/>
        </w:rPr>
        <w:t>trainers/organizers</w:t>
      </w:r>
      <w:r>
        <w:rPr>
          <w:bCs/>
          <w:color w:val="000000" w:themeColor="text1"/>
          <w:lang w:val="en-US"/>
        </w:rPr>
        <w:t xml:space="preserve"> of youth exchange programs</w:t>
      </w:r>
      <w:r w:rsidR="00A54AB0">
        <w:rPr>
          <w:bCs/>
          <w:color w:val="000000" w:themeColor="text1"/>
          <w:lang w:val="en-US"/>
        </w:rPr>
        <w:t xml:space="preserve"> respectively</w:t>
      </w:r>
      <w:r w:rsidRPr="00AA7914">
        <w:rPr>
          <w:bCs/>
          <w:color w:val="000000" w:themeColor="text1"/>
          <w:lang w:val="en-US"/>
        </w:rPr>
        <w:t>:</w:t>
      </w:r>
    </w:p>
    <w:p w14:paraId="70EC9F98" w14:textId="762960B7" w:rsidR="00210A41" w:rsidRDefault="00210A41" w:rsidP="003374A2">
      <w:pPr>
        <w:snapToGrid w:val="0"/>
        <w:jc w:val="both"/>
        <w:rPr>
          <w:bCs/>
          <w:color w:val="000000" w:themeColor="text1"/>
          <w:lang w:val="en-US"/>
        </w:rPr>
      </w:pPr>
    </w:p>
    <w:p w14:paraId="4264E7E5" w14:textId="48DD25E7" w:rsidR="00210A41" w:rsidRPr="00E41744" w:rsidRDefault="00210A41" w:rsidP="003374A2">
      <w:pPr>
        <w:snapToGrid w:val="0"/>
        <w:jc w:val="both"/>
        <w:rPr>
          <w:bCs/>
          <w:color w:val="000000" w:themeColor="text1"/>
          <w:lang w:val="en-US"/>
        </w:rPr>
      </w:pPr>
      <w:r w:rsidRPr="006C2C27">
        <w:rPr>
          <w:bCs/>
          <w:i/>
          <w:iCs/>
          <w:color w:val="000000" w:themeColor="text1"/>
          <w:lang w:val="en-US"/>
        </w:rPr>
        <w:t>Stimulus 1</w:t>
      </w:r>
      <w:r w:rsidR="00D91544" w:rsidRPr="006C2C27">
        <w:rPr>
          <w:bCs/>
          <w:i/>
          <w:iCs/>
          <w:color w:val="000000" w:themeColor="text1"/>
          <w:lang w:val="en-US"/>
        </w:rPr>
        <w:t xml:space="preserve">: </w:t>
      </w:r>
      <w:r w:rsidRPr="00E41744">
        <w:rPr>
          <w:bCs/>
          <w:color w:val="000000" w:themeColor="text1"/>
          <w:lang w:val="en-US"/>
        </w:rPr>
        <w:t xml:space="preserve">Our research is about young people who live in the region. We’d like to know </w:t>
      </w:r>
      <w:r w:rsidR="00A54AB0">
        <w:rPr>
          <w:bCs/>
          <w:color w:val="000000" w:themeColor="text1"/>
          <w:lang w:val="en-US"/>
        </w:rPr>
        <w:t>what</w:t>
      </w:r>
      <w:r w:rsidRPr="00E41744">
        <w:rPr>
          <w:bCs/>
          <w:color w:val="000000" w:themeColor="text1"/>
          <w:lang w:val="en-US"/>
        </w:rPr>
        <w:t xml:space="preserve"> life is </w:t>
      </w:r>
      <w:r w:rsidR="00A54AB0">
        <w:rPr>
          <w:bCs/>
          <w:color w:val="000000" w:themeColor="text1"/>
          <w:lang w:val="en-US"/>
        </w:rPr>
        <w:t xml:space="preserve">like </w:t>
      </w:r>
      <w:r w:rsidRPr="00E41744">
        <w:rPr>
          <w:bCs/>
          <w:color w:val="000000" w:themeColor="text1"/>
          <w:lang w:val="en-US"/>
        </w:rPr>
        <w:t>here. Please tell me about your life, you can start wherever you want. I will listen to you and then I will ask you some more questions.</w:t>
      </w:r>
    </w:p>
    <w:p w14:paraId="34211FB2" w14:textId="77777777" w:rsidR="00210A41" w:rsidRPr="00AA7914" w:rsidRDefault="00210A41" w:rsidP="003374A2">
      <w:pPr>
        <w:snapToGrid w:val="0"/>
        <w:jc w:val="both"/>
        <w:rPr>
          <w:bCs/>
          <w:color w:val="000000" w:themeColor="text1"/>
          <w:lang w:val="en-US"/>
        </w:rPr>
      </w:pPr>
    </w:p>
    <w:p w14:paraId="5A861D0D" w14:textId="1B7F2B6A" w:rsidR="00210A41" w:rsidRPr="00AA7914" w:rsidRDefault="00210A41" w:rsidP="003374A2">
      <w:pPr>
        <w:snapToGrid w:val="0"/>
        <w:jc w:val="both"/>
        <w:rPr>
          <w:bCs/>
          <w:color w:val="000000" w:themeColor="text1"/>
          <w:lang w:val="en-US"/>
        </w:rPr>
      </w:pPr>
      <w:r w:rsidRPr="006C2C27">
        <w:rPr>
          <w:bCs/>
          <w:i/>
          <w:iCs/>
          <w:color w:val="000000" w:themeColor="text1"/>
          <w:lang w:val="en-US"/>
        </w:rPr>
        <w:t xml:space="preserve">Stimulus 2 – Trainers and </w:t>
      </w:r>
      <w:r w:rsidR="00D91544" w:rsidRPr="006C2C27">
        <w:rPr>
          <w:bCs/>
          <w:i/>
          <w:iCs/>
          <w:color w:val="000000" w:themeColor="text1"/>
          <w:lang w:val="en-US"/>
        </w:rPr>
        <w:t>o</w:t>
      </w:r>
      <w:r w:rsidRPr="006C2C27">
        <w:rPr>
          <w:bCs/>
          <w:i/>
          <w:iCs/>
          <w:color w:val="000000" w:themeColor="text1"/>
          <w:lang w:val="en-US"/>
        </w:rPr>
        <w:t>rganizers</w:t>
      </w:r>
      <w:r w:rsidR="00D91544">
        <w:rPr>
          <w:bCs/>
          <w:i/>
          <w:iCs/>
          <w:color w:val="000000" w:themeColor="text1"/>
          <w:lang w:val="en-US"/>
        </w:rPr>
        <w:t>:</w:t>
      </w:r>
      <w:r w:rsidR="00D91544">
        <w:rPr>
          <w:bCs/>
          <w:color w:val="000000" w:themeColor="text1"/>
          <w:lang w:val="en-US"/>
        </w:rPr>
        <w:t xml:space="preserve"> </w:t>
      </w:r>
      <w:r w:rsidRPr="00AA7914">
        <w:rPr>
          <w:bCs/>
          <w:color w:val="000000" w:themeColor="text1"/>
          <w:lang w:val="en-US"/>
        </w:rPr>
        <w:t xml:space="preserve">I am interested in the life stories of people who are organizing youth exchange programs. Please tell me your story, look back to the times when you were a child and tell me how it was and how your life continued. I will now listen without interrupting you. </w:t>
      </w:r>
    </w:p>
    <w:p w14:paraId="66155410" w14:textId="77777777" w:rsidR="00210A41" w:rsidRPr="00AA7914" w:rsidRDefault="00210A41" w:rsidP="003374A2">
      <w:pPr>
        <w:snapToGrid w:val="0"/>
        <w:jc w:val="both"/>
        <w:rPr>
          <w:bCs/>
          <w:color w:val="000000" w:themeColor="text1"/>
          <w:lang w:val="en-US"/>
        </w:rPr>
      </w:pPr>
    </w:p>
    <w:p w14:paraId="45AFC51F" w14:textId="1A16C265" w:rsidR="00210A41" w:rsidRDefault="00210A41" w:rsidP="003374A2">
      <w:pPr>
        <w:snapToGrid w:val="0"/>
        <w:jc w:val="both"/>
        <w:rPr>
          <w:bCs/>
          <w:color w:val="000000" w:themeColor="text1"/>
          <w:lang w:val="en-US"/>
        </w:rPr>
      </w:pPr>
      <w:r w:rsidRPr="006C2C27">
        <w:rPr>
          <w:bCs/>
          <w:i/>
          <w:iCs/>
          <w:color w:val="000000" w:themeColor="text1"/>
          <w:lang w:val="en-US"/>
        </w:rPr>
        <w:lastRenderedPageBreak/>
        <w:t xml:space="preserve">Stimulus 3 – Trainers and </w:t>
      </w:r>
      <w:r w:rsidR="00D91544" w:rsidRPr="006C2C27">
        <w:rPr>
          <w:bCs/>
          <w:i/>
          <w:iCs/>
          <w:color w:val="000000" w:themeColor="text1"/>
          <w:lang w:val="en-US"/>
        </w:rPr>
        <w:t>o</w:t>
      </w:r>
      <w:r w:rsidRPr="006C2C27">
        <w:rPr>
          <w:bCs/>
          <w:i/>
          <w:iCs/>
          <w:color w:val="000000" w:themeColor="text1"/>
          <w:lang w:val="en-US"/>
        </w:rPr>
        <w:t>rganizers</w:t>
      </w:r>
      <w:r w:rsidR="00D91544">
        <w:rPr>
          <w:bCs/>
          <w:i/>
          <w:iCs/>
          <w:color w:val="000000" w:themeColor="text1"/>
          <w:lang w:val="en-US"/>
        </w:rPr>
        <w:t>:</w:t>
      </w:r>
      <w:r w:rsidR="00D91544">
        <w:rPr>
          <w:bCs/>
          <w:color w:val="000000" w:themeColor="text1"/>
          <w:lang w:val="en-US"/>
        </w:rPr>
        <w:t xml:space="preserve"> </w:t>
      </w:r>
      <w:r w:rsidRPr="00AA7914">
        <w:rPr>
          <w:bCs/>
          <w:color w:val="000000" w:themeColor="text1"/>
          <w:lang w:val="en-US"/>
        </w:rPr>
        <w:t xml:space="preserve">I am interested in the life stories of people who are organizing youth exchange programs. How come that you are here now? Please tell me your story </w:t>
      </w:r>
      <w:r w:rsidR="00A54AB0">
        <w:rPr>
          <w:bCs/>
          <w:color w:val="000000" w:themeColor="text1"/>
          <w:lang w:val="en-US"/>
        </w:rPr>
        <w:t>in as much</w:t>
      </w:r>
      <w:r w:rsidRPr="00AA7914">
        <w:rPr>
          <w:bCs/>
          <w:color w:val="000000" w:themeColor="text1"/>
          <w:lang w:val="en-US"/>
        </w:rPr>
        <w:t xml:space="preserve"> detail as possible.</w:t>
      </w:r>
    </w:p>
    <w:p w14:paraId="032A235D" w14:textId="77777777" w:rsidR="00210A41" w:rsidRPr="00AA7914" w:rsidRDefault="00210A41" w:rsidP="003374A2">
      <w:pPr>
        <w:snapToGrid w:val="0"/>
        <w:jc w:val="both"/>
        <w:rPr>
          <w:bCs/>
          <w:color w:val="000000" w:themeColor="text1"/>
          <w:lang w:val="en-US"/>
        </w:rPr>
      </w:pPr>
    </w:p>
    <w:p w14:paraId="029B45E2" w14:textId="2F0F73D0" w:rsidR="00210A41" w:rsidRPr="00AA7914" w:rsidRDefault="00210A41" w:rsidP="003374A2">
      <w:pPr>
        <w:snapToGrid w:val="0"/>
        <w:jc w:val="both"/>
        <w:rPr>
          <w:bCs/>
          <w:color w:val="000000" w:themeColor="text1"/>
          <w:lang w:val="en-US"/>
        </w:rPr>
      </w:pPr>
      <w:r w:rsidRPr="00AA7914">
        <w:rPr>
          <w:bCs/>
          <w:color w:val="000000" w:themeColor="text1"/>
          <w:lang w:val="en-US"/>
        </w:rPr>
        <w:t xml:space="preserve">For the life-story interviews conducted by local interviewers in Bosnia and Herzegovina </w:t>
      </w:r>
      <w:r>
        <w:rPr>
          <w:bCs/>
          <w:color w:val="000000" w:themeColor="text1"/>
          <w:lang w:val="en-US"/>
        </w:rPr>
        <w:t>and Montenegro</w:t>
      </w:r>
      <w:r w:rsidR="00D91544">
        <w:rPr>
          <w:bCs/>
          <w:color w:val="000000" w:themeColor="text1"/>
          <w:lang w:val="en-US"/>
        </w:rPr>
        <w:t>,</w:t>
      </w:r>
      <w:r>
        <w:rPr>
          <w:bCs/>
          <w:color w:val="000000" w:themeColor="text1"/>
          <w:lang w:val="en-US"/>
        </w:rPr>
        <w:t xml:space="preserve"> </w:t>
      </w:r>
      <w:r w:rsidRPr="00AA7914">
        <w:rPr>
          <w:bCs/>
          <w:color w:val="000000" w:themeColor="text1"/>
          <w:lang w:val="en-US"/>
        </w:rPr>
        <w:t>we used the following stimuli for non-participants from rural areas:</w:t>
      </w:r>
    </w:p>
    <w:p w14:paraId="19D4B131" w14:textId="77777777" w:rsidR="00210A41" w:rsidRPr="00AA7914" w:rsidRDefault="00210A41" w:rsidP="003374A2">
      <w:pPr>
        <w:snapToGrid w:val="0"/>
        <w:jc w:val="both"/>
        <w:rPr>
          <w:bCs/>
          <w:color w:val="000000" w:themeColor="text1"/>
          <w:lang w:val="en-US"/>
        </w:rPr>
      </w:pPr>
    </w:p>
    <w:p w14:paraId="0F9E7738" w14:textId="1FB87484" w:rsidR="00210A41" w:rsidRPr="00AA7914" w:rsidRDefault="00210A41" w:rsidP="003374A2">
      <w:pPr>
        <w:snapToGrid w:val="0"/>
        <w:jc w:val="both"/>
        <w:rPr>
          <w:bCs/>
          <w:color w:val="000000" w:themeColor="text1"/>
          <w:lang w:val="en-US"/>
        </w:rPr>
      </w:pPr>
      <w:r w:rsidRPr="00AA7914">
        <w:rPr>
          <w:bCs/>
          <w:color w:val="000000" w:themeColor="text1"/>
          <w:lang w:val="en-US"/>
        </w:rPr>
        <w:t xml:space="preserve">We are interviewing young people who live in rural areas of [name of the </w:t>
      </w:r>
      <w:r w:rsidR="00D91544">
        <w:rPr>
          <w:bCs/>
          <w:color w:val="000000" w:themeColor="text1"/>
          <w:lang w:val="en-US"/>
        </w:rPr>
        <w:t>n</w:t>
      </w:r>
      <w:r w:rsidR="00D91544" w:rsidRPr="00AA7914">
        <w:rPr>
          <w:bCs/>
          <w:color w:val="000000" w:themeColor="text1"/>
          <w:lang w:val="en-US"/>
        </w:rPr>
        <w:t>on</w:t>
      </w:r>
      <w:r w:rsidRPr="00AA7914">
        <w:rPr>
          <w:bCs/>
          <w:color w:val="000000" w:themeColor="text1"/>
          <w:lang w:val="en-US"/>
        </w:rPr>
        <w:t xml:space="preserve">-participant’s country]. We are interested in their opinions about </w:t>
      </w:r>
      <w:r w:rsidR="00A54AB0">
        <w:rPr>
          <w:bCs/>
          <w:color w:val="000000" w:themeColor="text1"/>
          <w:lang w:val="en-US"/>
        </w:rPr>
        <w:t xml:space="preserve">what </w:t>
      </w:r>
      <w:r w:rsidRPr="00AA7914">
        <w:rPr>
          <w:bCs/>
          <w:color w:val="000000" w:themeColor="text1"/>
          <w:lang w:val="en-US"/>
        </w:rPr>
        <w:t>life is</w:t>
      </w:r>
      <w:r w:rsidR="00A54AB0">
        <w:rPr>
          <w:bCs/>
          <w:color w:val="000000" w:themeColor="text1"/>
          <w:lang w:val="en-US"/>
        </w:rPr>
        <w:t xml:space="preserve"> like</w:t>
      </w:r>
      <w:r w:rsidRPr="00AA7914">
        <w:rPr>
          <w:bCs/>
          <w:color w:val="000000" w:themeColor="text1"/>
          <w:lang w:val="en-US"/>
        </w:rPr>
        <w:t xml:space="preserve"> here</w:t>
      </w:r>
      <w:r w:rsidR="00A54AB0">
        <w:rPr>
          <w:bCs/>
          <w:color w:val="000000" w:themeColor="text1"/>
          <w:lang w:val="en-US"/>
        </w:rPr>
        <w:t>,</w:t>
      </w:r>
      <w:r w:rsidRPr="00AA7914">
        <w:rPr>
          <w:bCs/>
          <w:color w:val="000000" w:themeColor="text1"/>
          <w:lang w:val="en-US"/>
        </w:rPr>
        <w:t xml:space="preserve"> and how satisfied they are with the living and working conditions as well as with political circumstances. I want to ask you: What do you think about [name of the </w:t>
      </w:r>
      <w:r w:rsidR="00D91544">
        <w:rPr>
          <w:bCs/>
          <w:color w:val="000000" w:themeColor="text1"/>
          <w:lang w:val="en-US"/>
        </w:rPr>
        <w:t>n</w:t>
      </w:r>
      <w:r w:rsidR="00D91544" w:rsidRPr="00AA7914">
        <w:rPr>
          <w:bCs/>
          <w:color w:val="000000" w:themeColor="text1"/>
          <w:lang w:val="en-US"/>
        </w:rPr>
        <w:t>on</w:t>
      </w:r>
      <w:r w:rsidRPr="00AA7914">
        <w:rPr>
          <w:bCs/>
          <w:color w:val="000000" w:themeColor="text1"/>
          <w:lang w:val="en-US"/>
        </w:rPr>
        <w:t xml:space="preserve">-participant’s country] as a country with two or even more ethnic groups? Please, tell me everything that comes to mind. </w:t>
      </w:r>
    </w:p>
    <w:p w14:paraId="4D506A11" w14:textId="025AAF9E" w:rsidR="00210A41" w:rsidRPr="00AA7914" w:rsidRDefault="00A54AB0" w:rsidP="003374A2">
      <w:pPr>
        <w:snapToGrid w:val="0"/>
        <w:jc w:val="both"/>
        <w:rPr>
          <w:bCs/>
          <w:color w:val="000000" w:themeColor="text1"/>
          <w:lang w:val="en-US"/>
        </w:rPr>
      </w:pPr>
      <w:r>
        <w:rPr>
          <w:bCs/>
          <w:color w:val="000000" w:themeColor="text1"/>
          <w:lang w:val="en-US"/>
        </w:rPr>
        <w:t xml:space="preserve">What </w:t>
      </w:r>
      <w:r w:rsidR="00210A41" w:rsidRPr="00AA7914">
        <w:rPr>
          <w:bCs/>
          <w:color w:val="000000" w:themeColor="text1"/>
          <w:lang w:val="en-US"/>
        </w:rPr>
        <w:t>is life</w:t>
      </w:r>
      <w:r>
        <w:rPr>
          <w:bCs/>
          <w:color w:val="000000" w:themeColor="text1"/>
          <w:lang w:val="en-US"/>
        </w:rPr>
        <w:t xml:space="preserve"> like</w:t>
      </w:r>
      <w:r w:rsidR="00210A41" w:rsidRPr="00AA7914">
        <w:rPr>
          <w:bCs/>
          <w:color w:val="000000" w:themeColor="text1"/>
          <w:lang w:val="en-US"/>
        </w:rPr>
        <w:t xml:space="preserve"> here? Tell me more about how it is to live in your village.</w:t>
      </w:r>
    </w:p>
    <w:p w14:paraId="2101E3D7" w14:textId="77777777" w:rsidR="00210A41" w:rsidRPr="00AA7914" w:rsidRDefault="00210A41" w:rsidP="003374A2">
      <w:pPr>
        <w:snapToGrid w:val="0"/>
        <w:jc w:val="both"/>
        <w:rPr>
          <w:bCs/>
          <w:color w:val="000000" w:themeColor="text1"/>
          <w:lang w:val="en-US"/>
        </w:rPr>
      </w:pPr>
    </w:p>
    <w:p w14:paraId="608E7251" w14:textId="3B2B48A1" w:rsidR="00210A41" w:rsidRPr="00AA7914" w:rsidRDefault="00210A41" w:rsidP="003374A2">
      <w:pPr>
        <w:snapToGrid w:val="0"/>
        <w:jc w:val="both"/>
        <w:rPr>
          <w:bCs/>
          <w:color w:val="000000" w:themeColor="text1"/>
          <w:lang w:val="en-US"/>
        </w:rPr>
      </w:pPr>
      <w:r w:rsidRPr="00AA7914">
        <w:rPr>
          <w:bCs/>
          <w:color w:val="000000" w:themeColor="text1"/>
          <w:lang w:val="en-US"/>
        </w:rPr>
        <w:t xml:space="preserve">Alternative or additional questions to </w:t>
      </w:r>
      <w:r w:rsidR="00A54AB0">
        <w:rPr>
          <w:bCs/>
          <w:color w:val="000000" w:themeColor="text1"/>
          <w:lang w:val="en-US"/>
        </w:rPr>
        <w:t>prompt</w:t>
      </w:r>
      <w:r w:rsidRPr="00AA7914">
        <w:rPr>
          <w:bCs/>
          <w:color w:val="000000" w:themeColor="text1"/>
          <w:lang w:val="en-US"/>
        </w:rPr>
        <w:t xml:space="preserve"> the interviewees: </w:t>
      </w:r>
    </w:p>
    <w:p w14:paraId="53C464A4" w14:textId="76F949D7" w:rsidR="00210A41" w:rsidRDefault="00210A41" w:rsidP="003374A2">
      <w:pPr>
        <w:snapToGrid w:val="0"/>
        <w:jc w:val="both"/>
        <w:rPr>
          <w:bCs/>
          <w:color w:val="000000" w:themeColor="text1"/>
          <w:lang w:val="en-US"/>
        </w:rPr>
      </w:pPr>
      <w:r w:rsidRPr="00AA7914">
        <w:rPr>
          <w:bCs/>
          <w:color w:val="000000" w:themeColor="text1"/>
          <w:lang w:val="en-US"/>
        </w:rPr>
        <w:t xml:space="preserve">Can you tell me </w:t>
      </w:r>
      <w:r w:rsidR="00D91544">
        <w:rPr>
          <w:bCs/>
          <w:color w:val="000000" w:themeColor="text1"/>
          <w:lang w:val="en-US"/>
        </w:rPr>
        <w:t>whether</w:t>
      </w:r>
      <w:r w:rsidR="00D91544" w:rsidRPr="00AA7914">
        <w:rPr>
          <w:bCs/>
          <w:color w:val="000000" w:themeColor="text1"/>
          <w:lang w:val="en-US"/>
        </w:rPr>
        <w:t xml:space="preserve"> </w:t>
      </w:r>
      <w:r w:rsidRPr="00AA7914">
        <w:rPr>
          <w:bCs/>
          <w:color w:val="000000" w:themeColor="text1"/>
          <w:lang w:val="en-US"/>
        </w:rPr>
        <w:t>you think the history of your country is important to your biography?</w:t>
      </w:r>
    </w:p>
    <w:p w14:paraId="6DE5CABC" w14:textId="77777777" w:rsidR="00D91544" w:rsidRPr="00AA7914" w:rsidRDefault="00D91544" w:rsidP="003374A2">
      <w:pPr>
        <w:snapToGrid w:val="0"/>
        <w:jc w:val="both"/>
        <w:rPr>
          <w:bCs/>
          <w:color w:val="000000" w:themeColor="text1"/>
          <w:lang w:val="en-US"/>
        </w:rPr>
      </w:pPr>
    </w:p>
    <w:p w14:paraId="67625B17" w14:textId="77777777" w:rsidR="00210A41" w:rsidRPr="00AA7914" w:rsidRDefault="00210A41" w:rsidP="003374A2">
      <w:pPr>
        <w:snapToGrid w:val="0"/>
        <w:jc w:val="both"/>
        <w:rPr>
          <w:bCs/>
          <w:color w:val="000000" w:themeColor="text1"/>
          <w:lang w:val="en-US"/>
        </w:rPr>
      </w:pPr>
      <w:r w:rsidRPr="00AA7914">
        <w:rPr>
          <w:bCs/>
          <w:color w:val="000000" w:themeColor="text1"/>
          <w:lang w:val="en-US"/>
        </w:rPr>
        <w:t>We asked local interviewers to cover the following five thematic blocks in the interview:</w:t>
      </w:r>
    </w:p>
    <w:p w14:paraId="434D68D5" w14:textId="068E0B8E" w:rsidR="00210A41" w:rsidRPr="00AA7914" w:rsidRDefault="00210A41" w:rsidP="003374A2">
      <w:pPr>
        <w:snapToGrid w:val="0"/>
        <w:jc w:val="both"/>
        <w:rPr>
          <w:bCs/>
          <w:color w:val="000000" w:themeColor="text1"/>
          <w:lang w:val="en-US"/>
        </w:rPr>
      </w:pPr>
      <w:r w:rsidRPr="00AA7914">
        <w:rPr>
          <w:bCs/>
          <w:color w:val="000000" w:themeColor="text1"/>
          <w:lang w:val="en-US"/>
        </w:rPr>
        <w:t xml:space="preserve">1. System of </w:t>
      </w:r>
      <w:r w:rsidR="008858B9" w:rsidRPr="00AA7914">
        <w:rPr>
          <w:bCs/>
          <w:color w:val="000000" w:themeColor="text1"/>
          <w:lang w:val="en-US"/>
        </w:rPr>
        <w:t>b</w:t>
      </w:r>
      <w:r w:rsidRPr="00AA7914">
        <w:rPr>
          <w:bCs/>
          <w:color w:val="000000" w:themeColor="text1"/>
          <w:lang w:val="en-US"/>
        </w:rPr>
        <w:t>eliefs (20</w:t>
      </w:r>
      <w:r w:rsidR="00A54AB0">
        <w:rPr>
          <w:bCs/>
          <w:color w:val="000000" w:themeColor="text1"/>
          <w:lang w:val="en-US"/>
        </w:rPr>
        <w:t>–</w:t>
      </w:r>
      <w:r w:rsidRPr="00AA7914">
        <w:rPr>
          <w:bCs/>
          <w:color w:val="000000" w:themeColor="text1"/>
          <w:lang w:val="en-US"/>
        </w:rPr>
        <w:t>30 minutes)</w:t>
      </w:r>
    </w:p>
    <w:p w14:paraId="0BBB874D" w14:textId="125DE981" w:rsidR="00210A41" w:rsidRPr="00AA7914" w:rsidRDefault="00210A41" w:rsidP="003374A2">
      <w:pPr>
        <w:snapToGrid w:val="0"/>
        <w:jc w:val="both"/>
        <w:rPr>
          <w:bCs/>
          <w:color w:val="000000" w:themeColor="text1"/>
          <w:lang w:val="en-US"/>
        </w:rPr>
      </w:pPr>
      <w:r w:rsidRPr="00AA7914">
        <w:rPr>
          <w:bCs/>
          <w:color w:val="000000" w:themeColor="text1"/>
          <w:lang w:val="en-US"/>
        </w:rPr>
        <w:t xml:space="preserve">2. Network of </w:t>
      </w:r>
      <w:r w:rsidR="008858B9" w:rsidRPr="00AA7914">
        <w:rPr>
          <w:bCs/>
          <w:color w:val="000000" w:themeColor="text1"/>
          <w:lang w:val="en-US"/>
        </w:rPr>
        <w:t xml:space="preserve">communication </w:t>
      </w:r>
      <w:r w:rsidRPr="00AA7914">
        <w:rPr>
          <w:bCs/>
          <w:color w:val="000000" w:themeColor="text1"/>
          <w:lang w:val="en-US"/>
        </w:rPr>
        <w:t>(20</w:t>
      </w:r>
      <w:r w:rsidR="00A54AB0">
        <w:rPr>
          <w:bCs/>
          <w:color w:val="000000" w:themeColor="text1"/>
          <w:lang w:val="en-US"/>
        </w:rPr>
        <w:t>–</w:t>
      </w:r>
      <w:r w:rsidRPr="00AA7914">
        <w:rPr>
          <w:bCs/>
          <w:color w:val="000000" w:themeColor="text1"/>
          <w:lang w:val="en-US"/>
        </w:rPr>
        <w:t>30 minutes)</w:t>
      </w:r>
    </w:p>
    <w:p w14:paraId="3442593C" w14:textId="37D3C611" w:rsidR="00210A41" w:rsidRPr="00AA7914" w:rsidRDefault="00210A41" w:rsidP="003374A2">
      <w:pPr>
        <w:snapToGrid w:val="0"/>
        <w:jc w:val="both"/>
        <w:rPr>
          <w:bCs/>
          <w:color w:val="000000" w:themeColor="text1"/>
          <w:lang w:val="en-US"/>
        </w:rPr>
      </w:pPr>
      <w:r w:rsidRPr="00AA7914">
        <w:rPr>
          <w:bCs/>
          <w:color w:val="000000" w:themeColor="text1"/>
          <w:lang w:val="en-US"/>
        </w:rPr>
        <w:t>3. The Balkans (5</w:t>
      </w:r>
      <w:r w:rsidR="00A54AB0">
        <w:rPr>
          <w:bCs/>
          <w:color w:val="000000" w:themeColor="text1"/>
          <w:lang w:val="en-US"/>
        </w:rPr>
        <w:t>–</w:t>
      </w:r>
      <w:r w:rsidRPr="00AA7914">
        <w:rPr>
          <w:bCs/>
          <w:color w:val="000000" w:themeColor="text1"/>
          <w:lang w:val="en-US"/>
        </w:rPr>
        <w:t>10 minutes)</w:t>
      </w:r>
    </w:p>
    <w:p w14:paraId="7066187A" w14:textId="52624999" w:rsidR="00210A41" w:rsidRPr="00AA7914" w:rsidRDefault="00210A41" w:rsidP="003374A2">
      <w:pPr>
        <w:snapToGrid w:val="0"/>
        <w:jc w:val="both"/>
        <w:rPr>
          <w:bCs/>
          <w:color w:val="000000" w:themeColor="text1"/>
          <w:lang w:val="en-US"/>
        </w:rPr>
      </w:pPr>
      <w:r w:rsidRPr="00AA7914">
        <w:rPr>
          <w:bCs/>
          <w:color w:val="000000" w:themeColor="text1"/>
          <w:lang w:val="en-US"/>
        </w:rPr>
        <w:t xml:space="preserve">4. Future </w:t>
      </w:r>
      <w:r w:rsidR="008858B9" w:rsidRPr="00AA7914">
        <w:rPr>
          <w:bCs/>
          <w:color w:val="000000" w:themeColor="text1"/>
          <w:lang w:val="en-US"/>
        </w:rPr>
        <w:t xml:space="preserve">plans </w:t>
      </w:r>
      <w:r w:rsidRPr="00AA7914">
        <w:rPr>
          <w:bCs/>
          <w:color w:val="000000" w:themeColor="text1"/>
          <w:lang w:val="en-US"/>
        </w:rPr>
        <w:t>(5</w:t>
      </w:r>
      <w:r w:rsidR="00A54AB0">
        <w:rPr>
          <w:bCs/>
          <w:color w:val="000000" w:themeColor="text1"/>
          <w:lang w:val="en-US"/>
        </w:rPr>
        <w:t>–</w:t>
      </w:r>
      <w:r w:rsidRPr="00AA7914">
        <w:rPr>
          <w:bCs/>
          <w:color w:val="000000" w:themeColor="text1"/>
          <w:lang w:val="en-US"/>
        </w:rPr>
        <w:t>10 minutes)</w:t>
      </w:r>
    </w:p>
    <w:p w14:paraId="17C5FDAE" w14:textId="1FAE611B" w:rsidR="00210A41" w:rsidRPr="00AA7914" w:rsidRDefault="00210A41" w:rsidP="003374A2">
      <w:pPr>
        <w:snapToGrid w:val="0"/>
        <w:jc w:val="both"/>
        <w:rPr>
          <w:bCs/>
          <w:color w:val="000000" w:themeColor="text1"/>
          <w:lang w:val="en-US"/>
        </w:rPr>
      </w:pPr>
      <w:r w:rsidRPr="00AA7914">
        <w:rPr>
          <w:bCs/>
          <w:color w:val="000000" w:themeColor="text1"/>
          <w:lang w:val="en-US"/>
        </w:rPr>
        <w:t xml:space="preserve">5. Youth </w:t>
      </w:r>
      <w:r w:rsidR="008858B9" w:rsidRPr="00AA7914">
        <w:rPr>
          <w:bCs/>
          <w:color w:val="000000" w:themeColor="text1"/>
          <w:lang w:val="en-US"/>
        </w:rPr>
        <w:t xml:space="preserve">exchange programs </w:t>
      </w:r>
      <w:r w:rsidRPr="00AA7914">
        <w:rPr>
          <w:bCs/>
          <w:color w:val="000000" w:themeColor="text1"/>
          <w:lang w:val="en-US"/>
        </w:rPr>
        <w:t>(5</w:t>
      </w:r>
      <w:r w:rsidR="00A54AB0">
        <w:rPr>
          <w:bCs/>
          <w:color w:val="000000" w:themeColor="text1"/>
          <w:lang w:val="en-US"/>
        </w:rPr>
        <w:t>–</w:t>
      </w:r>
      <w:r w:rsidRPr="00AA7914">
        <w:rPr>
          <w:bCs/>
          <w:color w:val="000000" w:themeColor="text1"/>
          <w:lang w:val="en-US"/>
        </w:rPr>
        <w:t>10 minutes)</w:t>
      </w:r>
    </w:p>
    <w:p w14:paraId="21A1AB58" w14:textId="77777777" w:rsidR="00210A41" w:rsidRPr="00AA7914" w:rsidRDefault="00210A41" w:rsidP="003374A2">
      <w:pPr>
        <w:snapToGrid w:val="0"/>
        <w:jc w:val="both"/>
        <w:rPr>
          <w:bCs/>
          <w:color w:val="000000" w:themeColor="text1"/>
          <w:lang w:val="en-US"/>
        </w:rPr>
      </w:pPr>
    </w:p>
    <w:p w14:paraId="52370C1C" w14:textId="47848EF3" w:rsidR="00210A41" w:rsidRPr="00AA7914" w:rsidRDefault="00210A41" w:rsidP="003374A2">
      <w:pPr>
        <w:snapToGrid w:val="0"/>
        <w:jc w:val="both"/>
        <w:rPr>
          <w:bCs/>
          <w:color w:val="000000" w:themeColor="text1"/>
          <w:lang w:val="en-US"/>
        </w:rPr>
      </w:pPr>
      <w:r w:rsidRPr="00AA7914">
        <w:rPr>
          <w:bCs/>
          <w:color w:val="000000" w:themeColor="text1"/>
          <w:lang w:val="en-US"/>
        </w:rPr>
        <w:t>We received three interviews from different rural towns in Bosnia and Herzegovina</w:t>
      </w:r>
      <w:r w:rsidR="00A54AB0">
        <w:rPr>
          <w:bCs/>
          <w:color w:val="000000" w:themeColor="text1"/>
          <w:lang w:val="en-US"/>
        </w:rPr>
        <w:t>,</w:t>
      </w:r>
      <w:r>
        <w:rPr>
          <w:bCs/>
          <w:color w:val="000000" w:themeColor="text1"/>
          <w:lang w:val="en-US"/>
        </w:rPr>
        <w:t xml:space="preserve"> and one interview from Montenegro</w:t>
      </w:r>
      <w:r w:rsidRPr="00AA7914">
        <w:rPr>
          <w:bCs/>
          <w:color w:val="000000" w:themeColor="text1"/>
          <w:lang w:val="en-US"/>
        </w:rPr>
        <w:t xml:space="preserve">. We had planned </w:t>
      </w:r>
      <w:r w:rsidR="008858B9">
        <w:rPr>
          <w:bCs/>
          <w:color w:val="000000" w:themeColor="text1"/>
          <w:lang w:val="en-US"/>
        </w:rPr>
        <w:t xml:space="preserve">to </w:t>
      </w:r>
      <w:r w:rsidRPr="00AA7914">
        <w:rPr>
          <w:bCs/>
          <w:color w:val="000000" w:themeColor="text1"/>
          <w:lang w:val="en-US"/>
        </w:rPr>
        <w:t xml:space="preserve">commission additional interviews in other parts of the Western Balkans, but public health measures in the course of the Covid-19 pandemic </w:t>
      </w:r>
      <w:r w:rsidR="008858B9">
        <w:rPr>
          <w:bCs/>
          <w:color w:val="000000" w:themeColor="text1"/>
          <w:lang w:val="en-US"/>
        </w:rPr>
        <w:t>prevented</w:t>
      </w:r>
      <w:r w:rsidR="008858B9" w:rsidRPr="00AA7914">
        <w:rPr>
          <w:bCs/>
          <w:color w:val="000000" w:themeColor="text1"/>
          <w:lang w:val="en-US"/>
        </w:rPr>
        <w:t xml:space="preserve"> </w:t>
      </w:r>
      <w:r w:rsidRPr="00AA7914">
        <w:rPr>
          <w:bCs/>
          <w:color w:val="000000" w:themeColor="text1"/>
          <w:lang w:val="en-US"/>
        </w:rPr>
        <w:t xml:space="preserve">our local partners </w:t>
      </w:r>
      <w:r w:rsidR="008858B9">
        <w:rPr>
          <w:bCs/>
          <w:color w:val="000000" w:themeColor="text1"/>
          <w:lang w:val="en-US"/>
        </w:rPr>
        <w:t xml:space="preserve">from </w:t>
      </w:r>
      <w:r w:rsidRPr="00AA7914">
        <w:rPr>
          <w:bCs/>
          <w:color w:val="000000" w:themeColor="text1"/>
          <w:lang w:val="en-US"/>
        </w:rPr>
        <w:t>conducting further face-to-face interviews.</w:t>
      </w:r>
    </w:p>
    <w:p w14:paraId="24D87068" w14:textId="77777777" w:rsidR="00210A41" w:rsidRPr="00AA7914" w:rsidRDefault="00210A41" w:rsidP="003374A2">
      <w:pPr>
        <w:snapToGrid w:val="0"/>
        <w:jc w:val="both"/>
        <w:rPr>
          <w:bCs/>
          <w:color w:val="000000" w:themeColor="text1"/>
          <w:lang w:val="en-US"/>
        </w:rPr>
      </w:pPr>
    </w:p>
    <w:p w14:paraId="1E5CFE48" w14:textId="40FA202E" w:rsidR="00210A41" w:rsidRDefault="00210A41" w:rsidP="003374A2">
      <w:pPr>
        <w:snapToGrid w:val="0"/>
        <w:jc w:val="both"/>
        <w:rPr>
          <w:b/>
          <w:color w:val="000000" w:themeColor="text1"/>
          <w:lang w:val="en-US"/>
        </w:rPr>
      </w:pPr>
      <w:r w:rsidRPr="00EF50BD">
        <w:rPr>
          <w:b/>
          <w:color w:val="000000" w:themeColor="text1"/>
          <w:lang w:val="en-US"/>
        </w:rPr>
        <w:t>Drawing stimuli</w:t>
      </w:r>
    </w:p>
    <w:p w14:paraId="62E08814" w14:textId="77777777" w:rsidR="008858B9" w:rsidRPr="00EF50BD" w:rsidRDefault="008858B9" w:rsidP="003374A2">
      <w:pPr>
        <w:snapToGrid w:val="0"/>
        <w:jc w:val="both"/>
        <w:rPr>
          <w:b/>
          <w:color w:val="000000" w:themeColor="text1"/>
          <w:lang w:val="en-US"/>
        </w:rPr>
      </w:pPr>
    </w:p>
    <w:p w14:paraId="7093C1FB" w14:textId="29866C57" w:rsidR="00210A41" w:rsidRPr="00EF50BD" w:rsidRDefault="00210A41" w:rsidP="003374A2">
      <w:pPr>
        <w:snapToGrid w:val="0"/>
        <w:jc w:val="both"/>
        <w:rPr>
          <w:bCs/>
          <w:color w:val="000000" w:themeColor="text1"/>
          <w:lang w:val="en-US"/>
        </w:rPr>
      </w:pPr>
      <w:r>
        <w:rPr>
          <w:bCs/>
          <w:color w:val="000000" w:themeColor="text1"/>
          <w:lang w:val="en-US"/>
        </w:rPr>
        <w:t xml:space="preserve">It was difficult to talk </w:t>
      </w:r>
      <w:r w:rsidR="00430782">
        <w:rPr>
          <w:bCs/>
          <w:color w:val="000000" w:themeColor="text1"/>
          <w:lang w:val="en-US"/>
        </w:rPr>
        <w:t xml:space="preserve">only </w:t>
      </w:r>
      <w:r>
        <w:rPr>
          <w:bCs/>
          <w:color w:val="000000" w:themeColor="text1"/>
          <w:lang w:val="en-US"/>
        </w:rPr>
        <w:t>to people who were born in the years 1999, 2000</w:t>
      </w:r>
      <w:r w:rsidR="00430782">
        <w:rPr>
          <w:bCs/>
          <w:color w:val="000000" w:themeColor="text1"/>
          <w:lang w:val="en-US"/>
        </w:rPr>
        <w:t>,</w:t>
      </w:r>
      <w:r>
        <w:rPr>
          <w:bCs/>
          <w:color w:val="000000" w:themeColor="text1"/>
          <w:lang w:val="en-US"/>
        </w:rPr>
        <w:t xml:space="preserve"> and 2001. Usually, we met the youngest people </w:t>
      </w:r>
      <w:r w:rsidR="00430782">
        <w:rPr>
          <w:bCs/>
          <w:color w:val="000000" w:themeColor="text1"/>
          <w:lang w:val="en-US"/>
        </w:rPr>
        <w:t xml:space="preserve">of the </w:t>
      </w:r>
      <w:r>
        <w:rPr>
          <w:bCs/>
          <w:color w:val="000000" w:themeColor="text1"/>
          <w:lang w:val="en-US"/>
        </w:rPr>
        <w:t>exchange programs and interviewed them together, as a group, in order to make them feel more comfortable. In such cases, w</w:t>
      </w:r>
      <w:r w:rsidRPr="00EF50BD">
        <w:rPr>
          <w:bCs/>
          <w:color w:val="000000" w:themeColor="text1"/>
          <w:lang w:val="en-US"/>
        </w:rPr>
        <w:t xml:space="preserve">e asked our interview partners to make a simple drawing and explain it to us, talking about their </w:t>
      </w:r>
      <w:r>
        <w:rPr>
          <w:bCs/>
          <w:color w:val="000000" w:themeColor="text1"/>
          <w:lang w:val="en-US"/>
        </w:rPr>
        <w:t xml:space="preserve">communication </w:t>
      </w:r>
      <w:r w:rsidRPr="00EF50BD">
        <w:rPr>
          <w:bCs/>
          <w:color w:val="000000" w:themeColor="text1"/>
          <w:lang w:val="en-US"/>
        </w:rPr>
        <w:t xml:space="preserve">networks. </w:t>
      </w:r>
    </w:p>
    <w:p w14:paraId="6F85B25E" w14:textId="77777777" w:rsidR="00210A41" w:rsidRPr="00EF50BD" w:rsidRDefault="00210A41" w:rsidP="003374A2">
      <w:pPr>
        <w:snapToGrid w:val="0"/>
        <w:jc w:val="both"/>
        <w:rPr>
          <w:bCs/>
          <w:color w:val="000000" w:themeColor="text1"/>
          <w:lang w:val="en-US"/>
        </w:rPr>
      </w:pPr>
    </w:p>
    <w:p w14:paraId="07DDB962" w14:textId="6898737E" w:rsidR="00210A41" w:rsidRPr="00EF50BD" w:rsidRDefault="00210A41" w:rsidP="003374A2">
      <w:pPr>
        <w:snapToGrid w:val="0"/>
        <w:jc w:val="both"/>
        <w:rPr>
          <w:bCs/>
          <w:color w:val="000000" w:themeColor="text1"/>
          <w:lang w:val="en-US"/>
        </w:rPr>
      </w:pPr>
      <w:r w:rsidRPr="006C2C27">
        <w:rPr>
          <w:bCs/>
          <w:i/>
          <w:iCs/>
          <w:color w:val="000000" w:themeColor="text1"/>
          <w:lang w:val="en-US"/>
        </w:rPr>
        <w:t>Drawing stimulus – Young people during exchange programs on site</w:t>
      </w:r>
      <w:r w:rsidR="00430782">
        <w:rPr>
          <w:bCs/>
          <w:i/>
          <w:iCs/>
          <w:color w:val="000000" w:themeColor="text1"/>
          <w:lang w:val="en-US"/>
        </w:rPr>
        <w:t>:</w:t>
      </w:r>
      <w:r w:rsidR="00430782">
        <w:rPr>
          <w:bCs/>
          <w:color w:val="000000" w:themeColor="text1"/>
          <w:lang w:val="en-US"/>
        </w:rPr>
        <w:t xml:space="preserve"> </w:t>
      </w:r>
      <w:r w:rsidRPr="00EF50BD">
        <w:rPr>
          <w:bCs/>
          <w:color w:val="000000" w:themeColor="text1"/>
          <w:lang w:val="en-US"/>
        </w:rPr>
        <w:t>Who are you going to talk</w:t>
      </w:r>
      <w:r w:rsidR="00A54AB0">
        <w:rPr>
          <w:bCs/>
          <w:color w:val="000000" w:themeColor="text1"/>
          <w:lang w:val="en-US"/>
        </w:rPr>
        <w:t xml:space="preserve"> to</w:t>
      </w:r>
      <w:r w:rsidRPr="00EF50BD">
        <w:rPr>
          <w:bCs/>
          <w:color w:val="000000" w:themeColor="text1"/>
          <w:lang w:val="en-US"/>
        </w:rPr>
        <w:t xml:space="preserve"> when you are back home?</w:t>
      </w:r>
    </w:p>
    <w:p w14:paraId="601D91C8" w14:textId="77777777" w:rsidR="00210A41" w:rsidRPr="00EF50BD" w:rsidRDefault="00210A41" w:rsidP="003374A2">
      <w:pPr>
        <w:snapToGrid w:val="0"/>
        <w:jc w:val="both"/>
        <w:rPr>
          <w:bCs/>
          <w:color w:val="000000" w:themeColor="text1"/>
          <w:lang w:val="en-US"/>
        </w:rPr>
      </w:pPr>
    </w:p>
    <w:p w14:paraId="5228F9C3" w14:textId="274B3896" w:rsidR="00210A41" w:rsidRPr="00EF50BD" w:rsidRDefault="00210A41" w:rsidP="003374A2">
      <w:pPr>
        <w:snapToGrid w:val="0"/>
        <w:jc w:val="both"/>
        <w:rPr>
          <w:bCs/>
          <w:color w:val="000000" w:themeColor="text1"/>
          <w:lang w:val="en-US"/>
        </w:rPr>
      </w:pPr>
      <w:r w:rsidRPr="006C2C27">
        <w:rPr>
          <w:bCs/>
          <w:i/>
          <w:iCs/>
          <w:color w:val="000000" w:themeColor="text1"/>
          <w:lang w:val="en-US"/>
        </w:rPr>
        <w:t xml:space="preserve">Drawing stimulus – Young people after the exchange programs at their </w:t>
      </w:r>
      <w:r w:rsidR="00726720" w:rsidRPr="00726720">
        <w:rPr>
          <w:bCs/>
          <w:i/>
          <w:iCs/>
          <w:color w:val="000000" w:themeColor="text1"/>
          <w:lang w:val="en-US"/>
        </w:rPr>
        <w:t>hometown</w:t>
      </w:r>
      <w:r w:rsidR="00726720">
        <w:rPr>
          <w:bCs/>
          <w:i/>
          <w:iCs/>
          <w:color w:val="000000" w:themeColor="text1"/>
          <w:lang w:val="en-US"/>
        </w:rPr>
        <w:t>:</w:t>
      </w:r>
      <w:r w:rsidR="00726720">
        <w:rPr>
          <w:bCs/>
          <w:color w:val="000000" w:themeColor="text1"/>
          <w:lang w:val="en-US"/>
        </w:rPr>
        <w:t xml:space="preserve"> </w:t>
      </w:r>
      <w:r w:rsidRPr="00EF50BD">
        <w:rPr>
          <w:bCs/>
          <w:color w:val="000000" w:themeColor="text1"/>
          <w:lang w:val="en-US"/>
        </w:rPr>
        <w:t>Who did you talk</w:t>
      </w:r>
      <w:r w:rsidR="00A54AB0">
        <w:rPr>
          <w:bCs/>
          <w:color w:val="000000" w:themeColor="text1"/>
          <w:lang w:val="en-US"/>
        </w:rPr>
        <w:t xml:space="preserve"> to</w:t>
      </w:r>
      <w:r w:rsidRPr="00EF50BD">
        <w:rPr>
          <w:bCs/>
          <w:color w:val="000000" w:themeColor="text1"/>
          <w:lang w:val="en-US"/>
        </w:rPr>
        <w:t xml:space="preserve"> about your experiences? Please make a simple drawing of all the people that you talked to about your experience on the exchange program.</w:t>
      </w:r>
    </w:p>
    <w:p w14:paraId="090282F6" w14:textId="77777777" w:rsidR="00210A41" w:rsidRPr="00EF50BD" w:rsidRDefault="00210A41" w:rsidP="003374A2">
      <w:pPr>
        <w:snapToGrid w:val="0"/>
        <w:jc w:val="both"/>
        <w:rPr>
          <w:bCs/>
          <w:color w:val="000000" w:themeColor="text1"/>
          <w:lang w:val="en-US"/>
        </w:rPr>
      </w:pPr>
    </w:p>
    <w:p w14:paraId="4066D808" w14:textId="0BC69110" w:rsidR="00210A41" w:rsidRPr="00EF50BD" w:rsidRDefault="00726720" w:rsidP="003374A2">
      <w:pPr>
        <w:snapToGrid w:val="0"/>
        <w:jc w:val="both"/>
        <w:rPr>
          <w:bCs/>
          <w:color w:val="000000" w:themeColor="text1"/>
          <w:lang w:val="en-US"/>
        </w:rPr>
      </w:pPr>
      <w:r>
        <w:rPr>
          <w:bCs/>
          <w:color w:val="000000" w:themeColor="text1"/>
          <w:lang w:val="en-US"/>
        </w:rPr>
        <w:t>T</w:t>
      </w:r>
      <w:r w:rsidR="00210A41" w:rsidRPr="00EF50BD">
        <w:rPr>
          <w:bCs/>
          <w:color w:val="000000" w:themeColor="text1"/>
          <w:lang w:val="en-US"/>
        </w:rPr>
        <w:t xml:space="preserve">his method was very useful for exploring </w:t>
      </w:r>
      <w:r w:rsidR="00210A41">
        <w:rPr>
          <w:bCs/>
          <w:color w:val="000000" w:themeColor="text1"/>
          <w:lang w:val="en-US"/>
        </w:rPr>
        <w:t>w</w:t>
      </w:r>
      <w:r w:rsidR="00A54AB0">
        <w:rPr>
          <w:bCs/>
          <w:color w:val="000000" w:themeColor="text1"/>
          <w:lang w:val="en-US"/>
        </w:rPr>
        <w:t>ho</w:t>
      </w:r>
      <w:r w:rsidR="00210A41">
        <w:rPr>
          <w:bCs/>
          <w:color w:val="000000" w:themeColor="text1"/>
          <w:lang w:val="en-US"/>
        </w:rPr>
        <w:t xml:space="preserve"> the young people talk </w:t>
      </w:r>
      <w:r w:rsidR="00A54AB0">
        <w:rPr>
          <w:bCs/>
          <w:color w:val="000000" w:themeColor="text1"/>
          <w:lang w:val="en-US"/>
        </w:rPr>
        <w:t xml:space="preserve">to </w:t>
      </w:r>
      <w:r w:rsidR="00210A41">
        <w:rPr>
          <w:bCs/>
          <w:color w:val="000000" w:themeColor="text1"/>
          <w:lang w:val="en-US"/>
        </w:rPr>
        <w:t xml:space="preserve">about war-related topics, </w:t>
      </w:r>
      <w:r w:rsidR="00210A41" w:rsidRPr="00EF50BD">
        <w:rPr>
          <w:bCs/>
          <w:color w:val="000000" w:themeColor="text1"/>
          <w:lang w:val="en-US"/>
        </w:rPr>
        <w:t>and who they choose not to talk to</w:t>
      </w:r>
      <w:r w:rsidR="00210A41">
        <w:rPr>
          <w:bCs/>
          <w:color w:val="000000" w:themeColor="text1"/>
          <w:lang w:val="en-US"/>
        </w:rPr>
        <w:t>.</w:t>
      </w:r>
    </w:p>
    <w:p w14:paraId="447A7B61" w14:textId="77777777" w:rsidR="00210A41" w:rsidRPr="00EF50BD" w:rsidRDefault="00210A41" w:rsidP="003374A2">
      <w:pPr>
        <w:snapToGrid w:val="0"/>
        <w:jc w:val="both"/>
        <w:rPr>
          <w:bCs/>
          <w:color w:val="000000" w:themeColor="text1"/>
          <w:lang w:val="en-US"/>
        </w:rPr>
      </w:pPr>
    </w:p>
    <w:p w14:paraId="29DC153A" w14:textId="0F28A72D" w:rsidR="00210A41" w:rsidRDefault="00210A41" w:rsidP="003374A2">
      <w:pPr>
        <w:snapToGrid w:val="0"/>
        <w:jc w:val="both"/>
        <w:rPr>
          <w:b/>
          <w:color w:val="000000" w:themeColor="text1"/>
          <w:lang w:val="en-US"/>
        </w:rPr>
      </w:pPr>
      <w:r w:rsidRPr="00714293">
        <w:rPr>
          <w:b/>
          <w:color w:val="000000" w:themeColor="text1"/>
          <w:lang w:val="en-US"/>
        </w:rPr>
        <w:t xml:space="preserve">Sequence analysis according to Froschauer </w:t>
      </w:r>
      <w:r w:rsidR="00726720">
        <w:rPr>
          <w:b/>
          <w:color w:val="000000" w:themeColor="text1"/>
          <w:lang w:val="en-US"/>
        </w:rPr>
        <w:t>and</w:t>
      </w:r>
      <w:r w:rsidRPr="00714293">
        <w:rPr>
          <w:b/>
          <w:color w:val="000000" w:themeColor="text1"/>
          <w:lang w:val="en-US"/>
        </w:rPr>
        <w:t xml:space="preserve"> Lueger </w:t>
      </w:r>
    </w:p>
    <w:p w14:paraId="3DBBAA5B" w14:textId="77777777" w:rsidR="00726720" w:rsidRPr="00714293" w:rsidRDefault="00726720" w:rsidP="003374A2">
      <w:pPr>
        <w:snapToGrid w:val="0"/>
        <w:jc w:val="both"/>
        <w:rPr>
          <w:b/>
          <w:color w:val="000000" w:themeColor="text1"/>
          <w:lang w:val="en-US"/>
        </w:rPr>
      </w:pPr>
    </w:p>
    <w:p w14:paraId="7B271581" w14:textId="1D3DF775" w:rsidR="00210A41" w:rsidRPr="009A4E7C" w:rsidRDefault="00210A41" w:rsidP="003374A2">
      <w:pPr>
        <w:snapToGrid w:val="0"/>
        <w:jc w:val="both"/>
        <w:rPr>
          <w:b/>
          <w:color w:val="000000" w:themeColor="text1"/>
          <w:lang w:val="en-US"/>
        </w:rPr>
      </w:pPr>
      <w:r w:rsidRPr="00F232C6">
        <w:rPr>
          <w:bCs/>
          <w:color w:val="000000" w:themeColor="text1"/>
          <w:lang w:val="en-US"/>
        </w:rPr>
        <w:t xml:space="preserve">In their book about the </w:t>
      </w:r>
      <w:r>
        <w:rPr>
          <w:bCs/>
          <w:color w:val="000000" w:themeColor="text1"/>
          <w:lang w:val="en-US"/>
        </w:rPr>
        <w:t xml:space="preserve">Interpretative Interview, </w:t>
      </w:r>
      <w:r w:rsidR="000406AC" w:rsidRPr="009A4E7C">
        <w:rPr>
          <w:bCs/>
          <w:color w:val="000000" w:themeColor="text1"/>
          <w:lang w:val="en-US"/>
        </w:rPr>
        <w:t>Froschauer and Lueger</w:t>
      </w:r>
      <w:r w:rsidRPr="000406AC">
        <w:rPr>
          <w:bCs/>
          <w:color w:val="000000" w:themeColor="text1"/>
          <w:lang w:val="en-US"/>
        </w:rPr>
        <w:t xml:space="preserve"> </w:t>
      </w:r>
      <w:r w:rsidR="000406AC">
        <w:rPr>
          <w:bCs/>
          <w:color w:val="000000" w:themeColor="text1"/>
          <w:lang w:val="en-US"/>
        </w:rPr>
        <w:t xml:space="preserve">(2003) </w:t>
      </w:r>
      <w:r w:rsidRPr="000406AC">
        <w:rPr>
          <w:bCs/>
          <w:color w:val="000000" w:themeColor="text1"/>
          <w:lang w:val="en-US"/>
        </w:rPr>
        <w:t>give</w:t>
      </w:r>
      <w:r>
        <w:rPr>
          <w:bCs/>
          <w:color w:val="000000" w:themeColor="text1"/>
          <w:lang w:val="en-US"/>
        </w:rPr>
        <w:t xml:space="preserve"> an example o</w:t>
      </w:r>
      <w:r w:rsidR="000406AC">
        <w:rPr>
          <w:bCs/>
          <w:color w:val="000000" w:themeColor="text1"/>
          <w:lang w:val="en-US"/>
        </w:rPr>
        <w:t>f</w:t>
      </w:r>
      <w:r>
        <w:rPr>
          <w:bCs/>
          <w:color w:val="000000" w:themeColor="text1"/>
          <w:lang w:val="en-US"/>
        </w:rPr>
        <w:t xml:space="preserve"> how to conduct a sequence analysis. They rely strongly on the theories of the founder of this </w:t>
      </w:r>
      <w:r>
        <w:rPr>
          <w:bCs/>
          <w:color w:val="000000" w:themeColor="text1"/>
          <w:lang w:val="en-US"/>
        </w:rPr>
        <w:lastRenderedPageBreak/>
        <w:t>methodological approach, Ulrich Oevermann. Thus, I chose their toolkit</w:t>
      </w:r>
      <w:r w:rsidR="000406AC">
        <w:rPr>
          <w:bCs/>
          <w:color w:val="000000" w:themeColor="text1"/>
          <w:lang w:val="en-US"/>
        </w:rPr>
        <w:t xml:space="preserve"> for the analysis</w:t>
      </w:r>
      <w:r>
        <w:rPr>
          <w:bCs/>
          <w:color w:val="000000" w:themeColor="text1"/>
          <w:lang w:val="en-US"/>
        </w:rPr>
        <w:t>. Froschauer and Lueger suggest that the one who interprets the sequence of the interview should not know about the content beforehand. Therefore</w:t>
      </w:r>
      <w:r w:rsidR="000406AC">
        <w:rPr>
          <w:bCs/>
          <w:color w:val="000000" w:themeColor="text1"/>
          <w:lang w:val="en-US"/>
        </w:rPr>
        <w:t>,</w:t>
      </w:r>
      <w:r>
        <w:rPr>
          <w:bCs/>
          <w:color w:val="000000" w:themeColor="text1"/>
          <w:lang w:val="en-US"/>
        </w:rPr>
        <w:t xml:space="preserve"> one of </w:t>
      </w:r>
      <w:r w:rsidR="000406AC">
        <w:rPr>
          <w:bCs/>
          <w:color w:val="000000" w:themeColor="text1"/>
          <w:lang w:val="en-US"/>
        </w:rPr>
        <w:t>the team members</w:t>
      </w:r>
      <w:r>
        <w:rPr>
          <w:bCs/>
          <w:color w:val="000000" w:themeColor="text1"/>
          <w:lang w:val="en-US"/>
        </w:rPr>
        <w:t xml:space="preserve"> prepared a sequence, and the other team members did</w:t>
      </w:r>
      <w:r w:rsidR="00726720">
        <w:rPr>
          <w:bCs/>
          <w:color w:val="000000" w:themeColor="text1"/>
          <w:lang w:val="en-US"/>
        </w:rPr>
        <w:t xml:space="preserve"> </w:t>
      </w:r>
      <w:r>
        <w:rPr>
          <w:bCs/>
          <w:color w:val="000000" w:themeColor="text1"/>
          <w:lang w:val="en-US"/>
        </w:rPr>
        <w:t>n</w:t>
      </w:r>
      <w:r w:rsidR="00726720">
        <w:rPr>
          <w:bCs/>
          <w:color w:val="000000" w:themeColor="text1"/>
          <w:lang w:val="en-US"/>
        </w:rPr>
        <w:t>o</w:t>
      </w:r>
      <w:r>
        <w:rPr>
          <w:bCs/>
          <w:color w:val="000000" w:themeColor="text1"/>
          <w:lang w:val="en-US"/>
        </w:rPr>
        <w:t>t know much about the person or the answers given by the interviewee. The interpreters were shown only small text segments of the sequence, and for each text segment, we fill</w:t>
      </w:r>
      <w:r w:rsidR="00726720">
        <w:rPr>
          <w:bCs/>
          <w:color w:val="000000" w:themeColor="text1"/>
          <w:lang w:val="en-US"/>
        </w:rPr>
        <w:t>ed</w:t>
      </w:r>
      <w:r>
        <w:rPr>
          <w:bCs/>
          <w:color w:val="000000" w:themeColor="text1"/>
          <w:lang w:val="en-US"/>
        </w:rPr>
        <w:t xml:space="preserve"> out the template provided by Froschauer and Lueger (Table 1). </w:t>
      </w:r>
    </w:p>
    <w:p w14:paraId="20C8C80F" w14:textId="77777777" w:rsidR="0097705E" w:rsidRDefault="0097705E" w:rsidP="003374A2">
      <w:pPr>
        <w:snapToGrid w:val="0"/>
        <w:jc w:val="both"/>
        <w:rPr>
          <w:bCs/>
          <w:color w:val="000000" w:themeColor="text1"/>
          <w:lang w:val="en-US"/>
        </w:rPr>
      </w:pPr>
    </w:p>
    <w:p w14:paraId="2570E1FD" w14:textId="1EFA8406" w:rsidR="00210A41" w:rsidRPr="000E04FE" w:rsidRDefault="00210A41" w:rsidP="003374A2">
      <w:pPr>
        <w:snapToGrid w:val="0"/>
        <w:jc w:val="both"/>
        <w:rPr>
          <w:bCs/>
          <w:i/>
          <w:iCs/>
          <w:color w:val="000000" w:themeColor="text1"/>
          <w:sz w:val="22"/>
          <w:szCs w:val="22"/>
          <w:lang w:val="en-US"/>
        </w:rPr>
      </w:pPr>
      <w:r w:rsidRPr="000E04FE">
        <w:rPr>
          <w:bCs/>
          <w:i/>
          <w:iCs/>
          <w:color w:val="000000" w:themeColor="text1"/>
          <w:sz w:val="22"/>
          <w:szCs w:val="22"/>
          <w:lang w:val="en-US"/>
        </w:rPr>
        <w:t>Table 1</w:t>
      </w:r>
      <w:r w:rsidR="0097705E" w:rsidRPr="000E04FE">
        <w:rPr>
          <w:bCs/>
          <w:i/>
          <w:iCs/>
          <w:color w:val="000000" w:themeColor="text1"/>
          <w:sz w:val="22"/>
          <w:szCs w:val="22"/>
          <w:lang w:val="en-US"/>
        </w:rPr>
        <w:t>:</w:t>
      </w:r>
      <w:r w:rsidRPr="000E04FE">
        <w:rPr>
          <w:bCs/>
          <w:i/>
          <w:iCs/>
          <w:color w:val="000000" w:themeColor="text1"/>
          <w:sz w:val="22"/>
          <w:szCs w:val="22"/>
          <w:lang w:val="en-US"/>
        </w:rPr>
        <w:t xml:space="preserve"> Froschauer </w:t>
      </w:r>
      <w:r w:rsidR="00726720" w:rsidRPr="000E04FE">
        <w:rPr>
          <w:bCs/>
          <w:i/>
          <w:iCs/>
          <w:color w:val="000000" w:themeColor="text1"/>
          <w:sz w:val="22"/>
          <w:szCs w:val="22"/>
          <w:lang w:val="en-US"/>
        </w:rPr>
        <w:t>and</w:t>
      </w:r>
      <w:r w:rsidRPr="000E04FE">
        <w:rPr>
          <w:bCs/>
          <w:i/>
          <w:iCs/>
          <w:color w:val="000000" w:themeColor="text1"/>
          <w:sz w:val="22"/>
          <w:szCs w:val="22"/>
          <w:lang w:val="en-US"/>
        </w:rPr>
        <w:t xml:space="preserve"> Lueger, 2003, p. 123</w:t>
      </w:r>
      <w:r w:rsidR="0097705E" w:rsidRPr="000E04FE">
        <w:rPr>
          <w:bCs/>
          <w:i/>
          <w:iCs/>
          <w:color w:val="000000" w:themeColor="text1"/>
          <w:sz w:val="22"/>
          <w:szCs w:val="22"/>
          <w:lang w:val="en-US"/>
        </w:rPr>
        <w:t>.</w:t>
      </w:r>
    </w:p>
    <w:p w14:paraId="446F96E5" w14:textId="77777777" w:rsidR="00521578" w:rsidRPr="000E04FE" w:rsidRDefault="00521578" w:rsidP="003374A2">
      <w:pPr>
        <w:snapToGrid w:val="0"/>
        <w:jc w:val="both"/>
        <w:rPr>
          <w:bCs/>
          <w:i/>
          <w:iCs/>
          <w:color w:val="000000" w:themeColor="text1"/>
          <w:sz w:val="22"/>
          <w:szCs w:val="22"/>
          <w:lang w:val="en-US"/>
        </w:rPr>
      </w:pPr>
    </w:p>
    <w:tbl>
      <w:tblPr>
        <w:tblStyle w:val="Tabellenraster"/>
        <w:tblW w:w="0" w:type="auto"/>
        <w:tblLook w:val="04A0" w:firstRow="1" w:lastRow="0" w:firstColumn="1" w:lastColumn="0" w:noHBand="0" w:noVBand="1"/>
      </w:tblPr>
      <w:tblGrid>
        <w:gridCol w:w="1811"/>
        <w:gridCol w:w="1811"/>
        <w:gridCol w:w="1811"/>
        <w:gridCol w:w="1811"/>
        <w:gridCol w:w="1812"/>
      </w:tblGrid>
      <w:tr w:rsidR="00210A41" w:rsidRPr="001C2172" w14:paraId="73E399D2" w14:textId="77777777" w:rsidTr="006C2F26">
        <w:tc>
          <w:tcPr>
            <w:tcW w:w="1811" w:type="dxa"/>
          </w:tcPr>
          <w:p w14:paraId="769A5E94" w14:textId="77777777" w:rsidR="00210A41" w:rsidRPr="0096161A" w:rsidRDefault="00210A41" w:rsidP="009A4E7C">
            <w:pPr>
              <w:snapToGrid w:val="0"/>
              <w:ind w:left="177" w:hanging="177"/>
              <w:jc w:val="both"/>
              <w:rPr>
                <w:color w:val="000000" w:themeColor="text1"/>
                <w:lang w:val="en-US"/>
              </w:rPr>
            </w:pPr>
            <w:r w:rsidRPr="0096161A">
              <w:rPr>
                <w:color w:val="000000" w:themeColor="text1"/>
                <w:lang w:val="en-US"/>
              </w:rPr>
              <w:t>Paraphrase</w:t>
            </w:r>
          </w:p>
        </w:tc>
        <w:tc>
          <w:tcPr>
            <w:tcW w:w="1811" w:type="dxa"/>
          </w:tcPr>
          <w:p w14:paraId="1B2B5266" w14:textId="77777777" w:rsidR="00210A41" w:rsidRPr="0096161A" w:rsidRDefault="00210A41" w:rsidP="009A4E7C">
            <w:pPr>
              <w:snapToGrid w:val="0"/>
              <w:ind w:left="177" w:hanging="177"/>
              <w:jc w:val="both"/>
              <w:rPr>
                <w:color w:val="000000" w:themeColor="text1"/>
                <w:lang w:val="en-US"/>
              </w:rPr>
            </w:pPr>
            <w:r w:rsidRPr="0096161A">
              <w:rPr>
                <w:color w:val="000000" w:themeColor="text1"/>
                <w:lang w:val="en-US"/>
              </w:rPr>
              <w:t>Intentions, functions</w:t>
            </w:r>
          </w:p>
        </w:tc>
        <w:tc>
          <w:tcPr>
            <w:tcW w:w="1811" w:type="dxa"/>
          </w:tcPr>
          <w:p w14:paraId="6804C5A1" w14:textId="77777777" w:rsidR="00210A41" w:rsidRPr="0096161A" w:rsidRDefault="00210A41" w:rsidP="009A4E7C">
            <w:pPr>
              <w:snapToGrid w:val="0"/>
              <w:ind w:left="177" w:hanging="177"/>
              <w:jc w:val="both"/>
              <w:rPr>
                <w:color w:val="000000" w:themeColor="text1"/>
                <w:lang w:val="en-US"/>
              </w:rPr>
            </w:pPr>
            <w:r w:rsidRPr="0096161A">
              <w:rPr>
                <w:color w:val="000000" w:themeColor="text1"/>
                <w:lang w:val="en-US"/>
              </w:rPr>
              <w:t>Latent meanings</w:t>
            </w:r>
          </w:p>
        </w:tc>
        <w:tc>
          <w:tcPr>
            <w:tcW w:w="1811" w:type="dxa"/>
          </w:tcPr>
          <w:p w14:paraId="1A1EA2A2" w14:textId="77777777" w:rsidR="00210A41" w:rsidRPr="0096161A" w:rsidRDefault="00210A41" w:rsidP="009A4E7C">
            <w:pPr>
              <w:snapToGrid w:val="0"/>
              <w:ind w:left="177" w:hanging="177"/>
              <w:jc w:val="both"/>
              <w:rPr>
                <w:color w:val="000000" w:themeColor="text1"/>
                <w:lang w:val="en-US"/>
              </w:rPr>
            </w:pPr>
            <w:r w:rsidRPr="0096161A">
              <w:rPr>
                <w:color w:val="000000" w:themeColor="text1"/>
                <w:lang w:val="en-US"/>
              </w:rPr>
              <w:t>Different roles</w:t>
            </w:r>
          </w:p>
        </w:tc>
        <w:tc>
          <w:tcPr>
            <w:tcW w:w="1812" w:type="dxa"/>
          </w:tcPr>
          <w:p w14:paraId="2451DEF8" w14:textId="77777777" w:rsidR="00210A41" w:rsidRPr="0096161A" w:rsidRDefault="00210A41" w:rsidP="009A4E7C">
            <w:pPr>
              <w:snapToGrid w:val="0"/>
              <w:ind w:left="177" w:hanging="177"/>
              <w:jc w:val="both"/>
              <w:rPr>
                <w:color w:val="000000" w:themeColor="text1"/>
                <w:lang w:val="en-US"/>
              </w:rPr>
            </w:pPr>
            <w:r w:rsidRPr="0096161A">
              <w:rPr>
                <w:color w:val="000000" w:themeColor="text1"/>
                <w:lang w:val="en-US"/>
              </w:rPr>
              <w:t>How does the text continue?</w:t>
            </w:r>
          </w:p>
        </w:tc>
      </w:tr>
    </w:tbl>
    <w:p w14:paraId="7D91034C" w14:textId="603D0FD5" w:rsidR="00210A41" w:rsidRDefault="00210A41" w:rsidP="003374A2">
      <w:pPr>
        <w:snapToGrid w:val="0"/>
        <w:jc w:val="both"/>
        <w:rPr>
          <w:bCs/>
          <w:color w:val="000000" w:themeColor="text1"/>
          <w:lang w:val="en-US"/>
        </w:rPr>
      </w:pPr>
    </w:p>
    <w:p w14:paraId="21954F73" w14:textId="6D4AF8C7" w:rsidR="00637A25" w:rsidRPr="00726720" w:rsidRDefault="00726720" w:rsidP="003374A2">
      <w:pPr>
        <w:snapToGrid w:val="0"/>
        <w:jc w:val="both"/>
        <w:rPr>
          <w:bCs/>
          <w:color w:val="000000" w:themeColor="text1"/>
          <w:lang w:val="en-US"/>
        </w:rPr>
      </w:pPr>
      <w:r w:rsidRPr="006C2C27">
        <w:rPr>
          <w:color w:val="000000" w:themeColor="text1"/>
          <w:lang w:val="en-US"/>
        </w:rPr>
        <w:t xml:space="preserve">Each </w:t>
      </w:r>
      <w:r w:rsidR="000406AC">
        <w:rPr>
          <w:color w:val="000000" w:themeColor="text1"/>
          <w:lang w:val="en-US"/>
        </w:rPr>
        <w:t>team member</w:t>
      </w:r>
      <w:r w:rsidR="00637A25" w:rsidRPr="006C2C27">
        <w:rPr>
          <w:color w:val="000000" w:themeColor="text1"/>
          <w:lang w:val="en-US"/>
        </w:rPr>
        <w:t xml:space="preserve"> divided two</w:t>
      </w:r>
      <w:r w:rsidR="00637A25" w:rsidRPr="006C2C27">
        <w:rPr>
          <w:bCs/>
          <w:color w:val="000000" w:themeColor="text1"/>
          <w:lang w:val="en-US"/>
        </w:rPr>
        <w:t xml:space="preserve"> sequences (paragraphs) of an interview into small text units and presented them one after the other. For each text unit, the interpreters had to fill out the template provided by Froschauer and Lueger (2003, p. 123) to grasp intentions, functions, latent meanings</w:t>
      </w:r>
      <w:r w:rsidRPr="006C2C27">
        <w:rPr>
          <w:bCs/>
          <w:color w:val="000000" w:themeColor="text1"/>
          <w:lang w:val="en-US"/>
        </w:rPr>
        <w:t>,</w:t>
      </w:r>
      <w:r w:rsidR="00637A25" w:rsidRPr="006C2C27">
        <w:rPr>
          <w:bCs/>
          <w:color w:val="000000" w:themeColor="text1"/>
          <w:lang w:val="en-US"/>
        </w:rPr>
        <w:t xml:space="preserve"> and different roles of the text units </w:t>
      </w:r>
      <w:r>
        <w:rPr>
          <w:bCs/>
          <w:color w:val="000000" w:themeColor="text1"/>
          <w:lang w:val="en-US"/>
        </w:rPr>
        <w:t>and</w:t>
      </w:r>
      <w:r w:rsidR="00637A25" w:rsidRPr="006C2C27">
        <w:rPr>
          <w:bCs/>
          <w:color w:val="000000" w:themeColor="text1"/>
          <w:lang w:val="en-US"/>
        </w:rPr>
        <w:t xml:space="preserve"> the interviewee. The </w:t>
      </w:r>
      <w:r>
        <w:rPr>
          <w:bCs/>
          <w:color w:val="000000" w:themeColor="text1"/>
          <w:lang w:val="en-US"/>
        </w:rPr>
        <w:t>final</w:t>
      </w:r>
      <w:r w:rsidRPr="006C2C27">
        <w:rPr>
          <w:bCs/>
          <w:color w:val="000000" w:themeColor="text1"/>
          <w:lang w:val="en-US"/>
        </w:rPr>
        <w:t xml:space="preserve"> </w:t>
      </w:r>
      <w:r w:rsidR="00637A25" w:rsidRPr="006C2C27">
        <w:rPr>
          <w:bCs/>
          <w:color w:val="000000" w:themeColor="text1"/>
          <w:lang w:val="en-US"/>
        </w:rPr>
        <w:t>question was always about the forthcoming text unit: How does the text continue? Therefore, it was important that the interpreters did</w:t>
      </w:r>
      <w:r>
        <w:rPr>
          <w:bCs/>
          <w:color w:val="000000" w:themeColor="text1"/>
          <w:lang w:val="en-US"/>
        </w:rPr>
        <w:t xml:space="preserve"> </w:t>
      </w:r>
      <w:r w:rsidR="00637A25" w:rsidRPr="006C2C27">
        <w:rPr>
          <w:bCs/>
          <w:color w:val="000000" w:themeColor="text1"/>
          <w:lang w:val="en-US"/>
        </w:rPr>
        <w:t>n</w:t>
      </w:r>
      <w:r>
        <w:rPr>
          <w:bCs/>
          <w:color w:val="000000" w:themeColor="text1"/>
          <w:lang w:val="en-US"/>
        </w:rPr>
        <w:t>o</w:t>
      </w:r>
      <w:r w:rsidR="00637A25" w:rsidRPr="006C2C27">
        <w:rPr>
          <w:bCs/>
          <w:color w:val="000000" w:themeColor="text1"/>
          <w:lang w:val="en-US"/>
        </w:rPr>
        <w:t>t know much about the person’s life story or the answers given by the interviewee.</w:t>
      </w:r>
    </w:p>
    <w:p w14:paraId="718B42F2" w14:textId="77777777" w:rsidR="00637A25" w:rsidRPr="00726720" w:rsidRDefault="00637A25" w:rsidP="003374A2">
      <w:pPr>
        <w:snapToGrid w:val="0"/>
        <w:jc w:val="both"/>
        <w:rPr>
          <w:bCs/>
          <w:color w:val="000000" w:themeColor="text1"/>
          <w:lang w:val="en-US"/>
        </w:rPr>
      </w:pPr>
    </w:p>
    <w:p w14:paraId="7E302DA2" w14:textId="2DA66B30" w:rsidR="000406AC" w:rsidRDefault="00E35CF8" w:rsidP="003374A2">
      <w:pPr>
        <w:snapToGrid w:val="0"/>
        <w:jc w:val="both"/>
        <w:rPr>
          <w:bCs/>
          <w:color w:val="000000" w:themeColor="text1"/>
          <w:lang w:val="en-US"/>
        </w:rPr>
      </w:pPr>
      <w:r w:rsidRPr="006C2C27">
        <w:rPr>
          <w:bCs/>
          <w:color w:val="000000" w:themeColor="text1"/>
          <w:lang w:val="en-US"/>
        </w:rPr>
        <w:t xml:space="preserve">The analysis of </w:t>
      </w:r>
      <w:r w:rsidR="00A113DC">
        <w:rPr>
          <w:bCs/>
          <w:color w:val="000000" w:themeColor="text1"/>
          <w:lang w:val="en-US"/>
        </w:rPr>
        <w:t>a single</w:t>
      </w:r>
      <w:r w:rsidRPr="006C2C27">
        <w:rPr>
          <w:bCs/>
          <w:color w:val="000000" w:themeColor="text1"/>
          <w:lang w:val="en-US"/>
        </w:rPr>
        <w:t xml:space="preserve"> sequence </w:t>
      </w:r>
      <w:r w:rsidR="00A700D3">
        <w:rPr>
          <w:bCs/>
          <w:color w:val="000000" w:themeColor="text1"/>
          <w:lang w:val="en-US"/>
        </w:rPr>
        <w:t>took</w:t>
      </w:r>
      <w:r w:rsidR="00A700D3" w:rsidRPr="006C2C27">
        <w:rPr>
          <w:bCs/>
          <w:color w:val="000000" w:themeColor="text1"/>
          <w:lang w:val="en-US"/>
        </w:rPr>
        <w:t xml:space="preserve"> </w:t>
      </w:r>
      <w:r w:rsidRPr="006C2C27">
        <w:rPr>
          <w:bCs/>
          <w:color w:val="000000" w:themeColor="text1"/>
          <w:lang w:val="en-US"/>
        </w:rPr>
        <w:t xml:space="preserve">between two and four hours, which is why we limited ourselves to </w:t>
      </w:r>
      <w:r w:rsidR="00A113DC">
        <w:rPr>
          <w:bCs/>
          <w:color w:val="000000" w:themeColor="text1"/>
          <w:lang w:val="en-US"/>
        </w:rPr>
        <w:t xml:space="preserve">analyzing </w:t>
      </w:r>
      <w:r w:rsidRPr="006C2C27">
        <w:rPr>
          <w:bCs/>
          <w:color w:val="000000" w:themeColor="text1"/>
          <w:lang w:val="en-US"/>
        </w:rPr>
        <w:t>two sequences out of three interviews.</w:t>
      </w:r>
      <w:r w:rsidRPr="00726720">
        <w:rPr>
          <w:bCs/>
          <w:color w:val="000000" w:themeColor="text1"/>
          <w:lang w:val="en-US"/>
        </w:rPr>
        <w:t xml:space="preserve"> </w:t>
      </w:r>
      <w:r w:rsidR="00210A41" w:rsidRPr="00726720">
        <w:rPr>
          <w:bCs/>
          <w:color w:val="000000" w:themeColor="text1"/>
          <w:lang w:val="en-US"/>
        </w:rPr>
        <w:t xml:space="preserve">The results of the exhaustively interpreted sequences were compared </w:t>
      </w:r>
      <w:r w:rsidR="00A113DC">
        <w:rPr>
          <w:bCs/>
          <w:color w:val="000000" w:themeColor="text1"/>
          <w:lang w:val="en-US"/>
        </w:rPr>
        <w:t>to</w:t>
      </w:r>
      <w:r w:rsidR="00210A41" w:rsidRPr="00726720">
        <w:rPr>
          <w:bCs/>
          <w:color w:val="000000" w:themeColor="text1"/>
          <w:lang w:val="en-US"/>
        </w:rPr>
        <w:t xml:space="preserve"> eight other interviews and subsequently tested on the other interviews from the main corpus of life</w:t>
      </w:r>
      <w:r w:rsidR="00726720">
        <w:rPr>
          <w:bCs/>
          <w:color w:val="000000" w:themeColor="text1"/>
          <w:lang w:val="en-US"/>
        </w:rPr>
        <w:t>-</w:t>
      </w:r>
      <w:r w:rsidR="00210A41" w:rsidRPr="00726720">
        <w:rPr>
          <w:bCs/>
          <w:color w:val="000000" w:themeColor="text1"/>
          <w:lang w:val="en-US"/>
        </w:rPr>
        <w:t>story interviews.</w:t>
      </w:r>
    </w:p>
    <w:p w14:paraId="5FF967CB" w14:textId="77777777" w:rsidR="000406AC" w:rsidRDefault="000406AC" w:rsidP="003374A2">
      <w:pPr>
        <w:snapToGrid w:val="0"/>
        <w:jc w:val="both"/>
        <w:rPr>
          <w:bCs/>
          <w:color w:val="000000" w:themeColor="text1"/>
          <w:lang w:val="en-US"/>
        </w:rPr>
      </w:pPr>
    </w:p>
    <w:p w14:paraId="3357FAF0" w14:textId="035BC25E" w:rsidR="000406AC" w:rsidRPr="001C2172" w:rsidRDefault="000406AC" w:rsidP="003374A2">
      <w:pPr>
        <w:snapToGrid w:val="0"/>
        <w:jc w:val="both"/>
        <w:rPr>
          <w:b/>
          <w:color w:val="000000" w:themeColor="text1"/>
          <w:lang w:val="de-DE"/>
        </w:rPr>
      </w:pPr>
      <w:r w:rsidRPr="001C2172">
        <w:rPr>
          <w:b/>
          <w:color w:val="000000" w:themeColor="text1"/>
          <w:lang w:val="de-DE"/>
        </w:rPr>
        <w:t>Reference</w:t>
      </w:r>
    </w:p>
    <w:p w14:paraId="30541C88" w14:textId="77777777" w:rsidR="000406AC" w:rsidRPr="001C2172" w:rsidRDefault="000406AC" w:rsidP="000E04FE">
      <w:pPr>
        <w:snapToGrid w:val="0"/>
        <w:ind w:left="709" w:hanging="709"/>
        <w:jc w:val="both"/>
        <w:rPr>
          <w:bCs/>
          <w:color w:val="000000" w:themeColor="text1"/>
          <w:lang w:val="de-DE"/>
        </w:rPr>
      </w:pPr>
    </w:p>
    <w:p w14:paraId="128D38B4" w14:textId="7603CC9C" w:rsidR="00C0535D" w:rsidRPr="002C4C25" w:rsidRDefault="002C4C25" w:rsidP="000E04FE">
      <w:pPr>
        <w:ind w:left="709" w:hanging="709"/>
        <w:jc w:val="both"/>
        <w:rPr>
          <w:lang w:val="en-US"/>
        </w:rPr>
      </w:pPr>
      <w:r w:rsidRPr="000E04FE">
        <w:t>Froschauer, U.</w:t>
      </w:r>
      <w:r w:rsidR="00521578">
        <w:t>,</w:t>
      </w:r>
      <w:r w:rsidRPr="000E04FE">
        <w:t xml:space="preserve"> &amp; Lueger, M. (2003). </w:t>
      </w:r>
      <w:r w:rsidRPr="000E04FE">
        <w:rPr>
          <w:i/>
          <w:iCs/>
          <w:lang w:val="en-US"/>
        </w:rPr>
        <w:t>Das qualitative Interview</w:t>
      </w:r>
      <w:r w:rsidRPr="000E04FE">
        <w:rPr>
          <w:lang w:val="en-US"/>
        </w:rPr>
        <w:t xml:space="preserve"> [The qualitative </w:t>
      </w:r>
      <w:r w:rsidR="00521578">
        <w:rPr>
          <w:lang w:val="en-US"/>
        </w:rPr>
        <w:t>i</w:t>
      </w:r>
      <w:r w:rsidRPr="000E04FE">
        <w:rPr>
          <w:lang w:val="en-US"/>
        </w:rPr>
        <w:t>nterview].</w:t>
      </w:r>
      <w:r w:rsidR="001C2172" w:rsidRPr="000E04FE">
        <w:rPr>
          <w:lang w:val="en-US"/>
        </w:rPr>
        <w:t xml:space="preserve"> </w:t>
      </w:r>
      <w:r w:rsidRPr="000E04FE">
        <w:rPr>
          <w:lang w:val="en-US"/>
        </w:rPr>
        <w:t>Facultas.</w:t>
      </w:r>
    </w:p>
    <w:sectPr w:rsidR="00C0535D" w:rsidRPr="002C4C25" w:rsidSect="006158D4">
      <w:headerReference w:type="default" r:id="rId7"/>
      <w:footerReference w:type="even" r:id="rId8"/>
      <w:footerReference w:type="default" r:id="rId9"/>
      <w:endnotePr>
        <w:numFmt w:val="decimal"/>
      </w:endnotePr>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C9E62" w14:textId="77777777" w:rsidR="00125D00" w:rsidRDefault="00125D00">
      <w:r>
        <w:separator/>
      </w:r>
    </w:p>
  </w:endnote>
  <w:endnote w:type="continuationSeparator" w:id="0">
    <w:p w14:paraId="400326CF" w14:textId="77777777" w:rsidR="00125D00" w:rsidRDefault="0012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692841192"/>
      <w:docPartObj>
        <w:docPartGallery w:val="Page Numbers (Bottom of Page)"/>
        <w:docPartUnique/>
      </w:docPartObj>
    </w:sdtPr>
    <w:sdtContent>
      <w:p w14:paraId="5FD156B0" w14:textId="77777777" w:rsidR="00D735E7" w:rsidRDefault="00AF439E" w:rsidP="0067239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CF79299" w14:textId="77777777" w:rsidR="00D735E7" w:rsidRDefault="00D735E7" w:rsidP="007C6ED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097FB" w14:textId="77777777" w:rsidR="00D735E7" w:rsidRDefault="00D735E7" w:rsidP="007C6ED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04332" w14:textId="77777777" w:rsidR="00125D00" w:rsidRDefault="00125D00">
      <w:r>
        <w:separator/>
      </w:r>
    </w:p>
  </w:footnote>
  <w:footnote w:type="continuationSeparator" w:id="0">
    <w:p w14:paraId="0EF37F9A" w14:textId="77777777" w:rsidR="00125D00" w:rsidRDefault="0012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7536675"/>
      <w:docPartObj>
        <w:docPartGallery w:val="Page Numbers (Top of Page)"/>
        <w:docPartUnique/>
      </w:docPartObj>
    </w:sdtPr>
    <w:sdtContent>
      <w:p w14:paraId="754AC99E" w14:textId="77777777" w:rsidR="00D735E7" w:rsidRDefault="00AF439E">
        <w:pPr>
          <w:pStyle w:val="Kopfzeile"/>
          <w:jc w:val="right"/>
        </w:pPr>
        <w:r w:rsidRPr="00ED7B93">
          <w:rPr>
            <w:rFonts w:ascii="Times New Roman" w:hAnsi="Times New Roman" w:cs="Times New Roman"/>
          </w:rPr>
          <w:fldChar w:fldCharType="begin"/>
        </w:r>
        <w:r w:rsidRPr="00ED7B93">
          <w:rPr>
            <w:rFonts w:ascii="Times New Roman" w:hAnsi="Times New Roman" w:cs="Times New Roman"/>
          </w:rPr>
          <w:instrText>PAGE   \* MERGEFORMAT</w:instrText>
        </w:r>
        <w:r w:rsidRPr="00ED7B93">
          <w:rPr>
            <w:rFonts w:ascii="Times New Roman" w:hAnsi="Times New Roman" w:cs="Times New Roman"/>
          </w:rPr>
          <w:fldChar w:fldCharType="separate"/>
        </w:r>
        <w:r w:rsidRPr="00ED7B93">
          <w:rPr>
            <w:rFonts w:ascii="Times New Roman" w:hAnsi="Times New Roman" w:cs="Times New Roman"/>
            <w:lang w:val="de-DE"/>
          </w:rPr>
          <w:t>2</w:t>
        </w:r>
        <w:r w:rsidRPr="00ED7B93">
          <w:rPr>
            <w:rFonts w:ascii="Times New Roman" w:hAnsi="Times New Roman" w:cs="Times New Roman"/>
          </w:rPr>
          <w:fldChar w:fldCharType="end"/>
        </w:r>
      </w:p>
    </w:sdtContent>
  </w:sdt>
  <w:p w14:paraId="51259D3F" w14:textId="77777777" w:rsidR="00D735E7" w:rsidRDefault="00D735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56606F"/>
    <w:multiLevelType w:val="hybridMultilevel"/>
    <w:tmpl w:val="8BA47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153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removePersonalInformation/>
  <w:removeDateAndTime/>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41"/>
    <w:rsid w:val="00026DDB"/>
    <w:rsid w:val="000406AC"/>
    <w:rsid w:val="00080978"/>
    <w:rsid w:val="000C79F0"/>
    <w:rsid w:val="000E04FE"/>
    <w:rsid w:val="000E0BE8"/>
    <w:rsid w:val="00121CDF"/>
    <w:rsid w:val="00125D00"/>
    <w:rsid w:val="001967E5"/>
    <w:rsid w:val="001A533A"/>
    <w:rsid w:val="001C2172"/>
    <w:rsid w:val="001E6B7D"/>
    <w:rsid w:val="00205940"/>
    <w:rsid w:val="00210A41"/>
    <w:rsid w:val="00211776"/>
    <w:rsid w:val="00231AD8"/>
    <w:rsid w:val="00290AE0"/>
    <w:rsid w:val="002C4C25"/>
    <w:rsid w:val="002D0DCB"/>
    <w:rsid w:val="002D1C43"/>
    <w:rsid w:val="003374A2"/>
    <w:rsid w:val="00383F8B"/>
    <w:rsid w:val="003C5F5B"/>
    <w:rsid w:val="003F7E65"/>
    <w:rsid w:val="00430782"/>
    <w:rsid w:val="004336F0"/>
    <w:rsid w:val="004515A0"/>
    <w:rsid w:val="00513D60"/>
    <w:rsid w:val="00521578"/>
    <w:rsid w:val="00554341"/>
    <w:rsid w:val="00574559"/>
    <w:rsid w:val="00605683"/>
    <w:rsid w:val="00610930"/>
    <w:rsid w:val="006158D4"/>
    <w:rsid w:val="00637A25"/>
    <w:rsid w:val="006C0E14"/>
    <w:rsid w:val="006C2C27"/>
    <w:rsid w:val="00726720"/>
    <w:rsid w:val="00756776"/>
    <w:rsid w:val="008169DC"/>
    <w:rsid w:val="0082058A"/>
    <w:rsid w:val="008858B9"/>
    <w:rsid w:val="00923584"/>
    <w:rsid w:val="00944126"/>
    <w:rsid w:val="0096161A"/>
    <w:rsid w:val="0097705E"/>
    <w:rsid w:val="009A00CC"/>
    <w:rsid w:val="009A4E7C"/>
    <w:rsid w:val="00A113DC"/>
    <w:rsid w:val="00A31A4A"/>
    <w:rsid w:val="00A347FB"/>
    <w:rsid w:val="00A52E53"/>
    <w:rsid w:val="00A54AB0"/>
    <w:rsid w:val="00A700D3"/>
    <w:rsid w:val="00A72DA8"/>
    <w:rsid w:val="00AF439E"/>
    <w:rsid w:val="00B120AA"/>
    <w:rsid w:val="00B7734E"/>
    <w:rsid w:val="00C0535D"/>
    <w:rsid w:val="00C435E8"/>
    <w:rsid w:val="00C80CA0"/>
    <w:rsid w:val="00D05AF9"/>
    <w:rsid w:val="00D56E6C"/>
    <w:rsid w:val="00D6024C"/>
    <w:rsid w:val="00D606C2"/>
    <w:rsid w:val="00D6373B"/>
    <w:rsid w:val="00D735E7"/>
    <w:rsid w:val="00D91544"/>
    <w:rsid w:val="00DB0F0D"/>
    <w:rsid w:val="00DC36A1"/>
    <w:rsid w:val="00E35CF8"/>
    <w:rsid w:val="00E362AA"/>
    <w:rsid w:val="00F03324"/>
    <w:rsid w:val="00F64D3D"/>
    <w:rsid w:val="00FA5D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15A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0A41"/>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10A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10A41"/>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210A41"/>
  </w:style>
  <w:style w:type="paragraph" w:styleId="Fuzeile">
    <w:name w:val="footer"/>
    <w:basedOn w:val="Standard"/>
    <w:link w:val="FuzeileZchn"/>
    <w:uiPriority w:val="99"/>
    <w:unhideWhenUsed/>
    <w:rsid w:val="00210A41"/>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210A41"/>
  </w:style>
  <w:style w:type="character" w:styleId="Seitenzahl">
    <w:name w:val="page number"/>
    <w:basedOn w:val="Absatz-Standardschriftart"/>
    <w:uiPriority w:val="99"/>
    <w:semiHidden/>
    <w:unhideWhenUsed/>
    <w:rsid w:val="00210A41"/>
  </w:style>
  <w:style w:type="paragraph" w:styleId="Endnotentext">
    <w:name w:val="endnote text"/>
    <w:basedOn w:val="Standard"/>
    <w:link w:val="EndnotentextZchn"/>
    <w:uiPriority w:val="99"/>
    <w:unhideWhenUsed/>
    <w:rsid w:val="00210A41"/>
    <w:rPr>
      <w:rFonts w:asciiTheme="minorHAnsi" w:eastAsiaTheme="minorHAnsi" w:hAnsiTheme="minorHAnsi" w:cstheme="minorBidi"/>
      <w:sz w:val="20"/>
      <w:szCs w:val="20"/>
      <w:lang w:eastAsia="en-US"/>
    </w:rPr>
  </w:style>
  <w:style w:type="character" w:customStyle="1" w:styleId="EndnotentextZchn">
    <w:name w:val="Endnotentext Zchn"/>
    <w:basedOn w:val="Absatz-Standardschriftart"/>
    <w:link w:val="Endnotentext"/>
    <w:uiPriority w:val="99"/>
    <w:rsid w:val="00210A41"/>
    <w:rPr>
      <w:sz w:val="20"/>
      <w:szCs w:val="20"/>
    </w:rPr>
  </w:style>
  <w:style w:type="paragraph" w:styleId="berarbeitung">
    <w:name w:val="Revision"/>
    <w:hidden/>
    <w:uiPriority w:val="99"/>
    <w:semiHidden/>
    <w:rsid w:val="00231AD8"/>
    <w:rPr>
      <w:rFonts w:ascii="Times New Roman" w:eastAsia="Times New Roman" w:hAnsi="Times New Roman" w:cs="Times New Roman"/>
      <w:lang w:eastAsia="de-DE"/>
    </w:rPr>
  </w:style>
  <w:style w:type="paragraph" w:styleId="Listenabsatz">
    <w:name w:val="List Paragraph"/>
    <w:basedOn w:val="Standard"/>
    <w:uiPriority w:val="34"/>
    <w:qFormat/>
    <w:rsid w:val="00231AD8"/>
    <w:pPr>
      <w:ind w:left="720"/>
      <w:contextualSpacing/>
    </w:pPr>
  </w:style>
  <w:style w:type="character" w:styleId="Kommentarzeichen">
    <w:name w:val="annotation reference"/>
    <w:basedOn w:val="Absatz-Standardschriftart"/>
    <w:uiPriority w:val="99"/>
    <w:semiHidden/>
    <w:unhideWhenUsed/>
    <w:rsid w:val="00F64D3D"/>
    <w:rPr>
      <w:sz w:val="16"/>
      <w:szCs w:val="16"/>
    </w:rPr>
  </w:style>
  <w:style w:type="paragraph" w:styleId="Kommentartext">
    <w:name w:val="annotation text"/>
    <w:basedOn w:val="Standard"/>
    <w:link w:val="KommentartextZchn"/>
    <w:uiPriority w:val="99"/>
    <w:unhideWhenUsed/>
    <w:rsid w:val="00F64D3D"/>
    <w:rPr>
      <w:sz w:val="20"/>
      <w:szCs w:val="20"/>
    </w:rPr>
  </w:style>
  <w:style w:type="character" w:customStyle="1" w:styleId="KommentartextZchn">
    <w:name w:val="Kommentartext Zchn"/>
    <w:basedOn w:val="Absatz-Standardschriftart"/>
    <w:link w:val="Kommentartext"/>
    <w:uiPriority w:val="99"/>
    <w:rsid w:val="00F64D3D"/>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64D3D"/>
    <w:rPr>
      <w:b/>
      <w:bCs/>
    </w:rPr>
  </w:style>
  <w:style w:type="character" w:customStyle="1" w:styleId="KommentarthemaZchn">
    <w:name w:val="Kommentarthema Zchn"/>
    <w:basedOn w:val="KommentartextZchn"/>
    <w:link w:val="Kommentarthema"/>
    <w:uiPriority w:val="99"/>
    <w:semiHidden/>
    <w:rsid w:val="00F64D3D"/>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6411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2024-10-14T13:35:00Z</dcterms:created>
  <dcterms:modified xsi:type="dcterms:W3CDTF">2024-10-23T11:21:00Z</dcterms:modified>
</cp:coreProperties>
</file>