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78A1" w14:textId="3CD831E8" w:rsidR="005104C1" w:rsidRPr="000F5C32" w:rsidRDefault="00552678">
      <w:pPr>
        <w:rPr>
          <w:rFonts w:ascii="Times New Roman" w:hAnsi="Times New Roman" w:cs="Times New Roman"/>
          <w:b/>
          <w:bCs/>
          <w:lang w:val="en-GB"/>
        </w:rPr>
      </w:pPr>
      <w:r w:rsidRPr="000F5C32">
        <w:rPr>
          <w:rFonts w:ascii="Times New Roman" w:hAnsi="Times New Roman" w:cs="Times New Roman"/>
          <w:b/>
          <w:bCs/>
          <w:lang w:val="en-GB"/>
        </w:rPr>
        <w:t>Supplementary materials</w:t>
      </w:r>
    </w:p>
    <w:p w14:paraId="7B984EA2" w14:textId="77777777" w:rsidR="00552678" w:rsidRPr="00CE712A" w:rsidRDefault="00552678">
      <w:pPr>
        <w:rPr>
          <w:rFonts w:ascii="Times New Roman" w:hAnsi="Times New Roman" w:cs="Times New Roman"/>
          <w:lang w:val="en-GB"/>
        </w:rPr>
      </w:pPr>
    </w:p>
    <w:p w14:paraId="63B5EBE6" w14:textId="72F69A45" w:rsidR="00D04AB3" w:rsidRPr="00CE712A" w:rsidRDefault="00552678">
      <w:pPr>
        <w:rPr>
          <w:rFonts w:ascii="Times New Roman" w:hAnsi="Times New Roman" w:cs="Times New Roman"/>
          <w:b/>
          <w:bCs/>
          <w:lang w:val="en-GB"/>
        </w:rPr>
      </w:pPr>
      <w:r w:rsidRPr="00CE712A">
        <w:rPr>
          <w:rFonts w:ascii="Times New Roman" w:hAnsi="Times New Roman" w:cs="Times New Roman"/>
          <w:b/>
          <w:bCs/>
          <w:lang w:val="en-GB"/>
        </w:rPr>
        <w:t xml:space="preserve">Table </w:t>
      </w:r>
      <w:r w:rsidR="00382218" w:rsidRPr="00CE712A">
        <w:rPr>
          <w:rFonts w:ascii="Times New Roman" w:hAnsi="Times New Roman" w:cs="Times New Roman"/>
          <w:b/>
          <w:bCs/>
          <w:lang w:val="en-GB"/>
        </w:rPr>
        <w:t>S</w:t>
      </w:r>
      <w:r w:rsidRPr="00CE712A">
        <w:rPr>
          <w:rFonts w:ascii="Times New Roman" w:hAnsi="Times New Roman" w:cs="Times New Roman"/>
          <w:b/>
          <w:bCs/>
          <w:lang w:val="en-GB"/>
        </w:rPr>
        <w:t xml:space="preserve">1. </w:t>
      </w:r>
      <w:r w:rsidR="00D04AB3" w:rsidRPr="00CE712A">
        <w:rPr>
          <w:rFonts w:ascii="Times New Roman" w:hAnsi="Times New Roman" w:cs="Times New Roman"/>
          <w:b/>
          <w:bCs/>
          <w:lang w:val="en-GB"/>
        </w:rPr>
        <w:t xml:space="preserve">Model fit statistics for latent class mixed models (LCMM) of procalcitonin trajectories.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01"/>
        <w:gridCol w:w="1801"/>
        <w:gridCol w:w="1801"/>
        <w:gridCol w:w="1812"/>
      </w:tblGrid>
      <w:tr w:rsidR="00D04AB3" w:rsidRPr="00CE712A" w14:paraId="4F11D5D9" w14:textId="77777777" w:rsidTr="00D04AB3">
        <w:tc>
          <w:tcPr>
            <w:tcW w:w="1803" w:type="dxa"/>
            <w:shd w:val="clear" w:color="auto" w:fill="D9D9D9" w:themeFill="background1" w:themeFillShade="D9"/>
          </w:tcPr>
          <w:p w14:paraId="0332EE21" w14:textId="6BE2D660" w:rsidR="00D04AB3" w:rsidRPr="00CE712A" w:rsidRDefault="00D04AB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Model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3E62727" w14:textId="3DE0DE58" w:rsidR="00D04AB3" w:rsidRPr="00CE712A" w:rsidRDefault="00D04AB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AIC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F78E1BB" w14:textId="32FE5B68" w:rsidR="00D04AB3" w:rsidRPr="00CE712A" w:rsidRDefault="00D04AB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BIC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1B789642" w14:textId="4FA8519A" w:rsidR="00D04AB3" w:rsidRPr="00CE712A" w:rsidRDefault="00D04AB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Entropy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7C2914D9" w14:textId="4D5230E5" w:rsidR="00D04AB3" w:rsidRPr="00CE712A" w:rsidRDefault="00D04AB3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Interpretability</w:t>
            </w:r>
          </w:p>
        </w:tc>
      </w:tr>
      <w:tr w:rsidR="00D04AB3" w:rsidRPr="00CE712A" w14:paraId="2C70548A" w14:textId="77777777" w:rsidTr="00D04AB3">
        <w:tc>
          <w:tcPr>
            <w:tcW w:w="1803" w:type="dxa"/>
          </w:tcPr>
          <w:p w14:paraId="7A45B9D3" w14:textId="3C8B8233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One-class</w:t>
            </w:r>
          </w:p>
        </w:tc>
        <w:tc>
          <w:tcPr>
            <w:tcW w:w="1803" w:type="dxa"/>
          </w:tcPr>
          <w:p w14:paraId="5FF6C53E" w14:textId="02D789D2" w:rsidR="00D04AB3" w:rsidRPr="00CE712A" w:rsidRDefault="00580DE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6133C4">
              <w:rPr>
                <w:rFonts w:ascii="Times New Roman" w:hAnsi="Times New Roman" w:cs="Times New Roman"/>
                <w:lang w:val="en-GB"/>
              </w:rPr>
              <w:t>585.5</w:t>
            </w:r>
          </w:p>
        </w:tc>
        <w:tc>
          <w:tcPr>
            <w:tcW w:w="1803" w:type="dxa"/>
          </w:tcPr>
          <w:p w14:paraId="18F9C374" w14:textId="5567F2B5" w:rsidR="00D04AB3" w:rsidRPr="00CE712A" w:rsidRDefault="00580DE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6133C4">
              <w:rPr>
                <w:rFonts w:ascii="Times New Roman" w:hAnsi="Times New Roman" w:cs="Times New Roman"/>
                <w:lang w:val="en-GB"/>
              </w:rPr>
              <w:t>596.3</w:t>
            </w:r>
          </w:p>
        </w:tc>
        <w:tc>
          <w:tcPr>
            <w:tcW w:w="1803" w:type="dxa"/>
          </w:tcPr>
          <w:p w14:paraId="40CBEA25" w14:textId="245A2E59" w:rsidR="00D04AB3" w:rsidRPr="00CE712A" w:rsidRDefault="00B4410D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1804" w:type="dxa"/>
          </w:tcPr>
          <w:p w14:paraId="69E25F56" w14:textId="0CFD4C5F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No subgroups</w:t>
            </w:r>
          </w:p>
        </w:tc>
      </w:tr>
      <w:tr w:rsidR="00D04AB3" w:rsidRPr="00CE712A" w14:paraId="6D2AAE5A" w14:textId="77777777" w:rsidTr="00D04AB3">
        <w:tc>
          <w:tcPr>
            <w:tcW w:w="1803" w:type="dxa"/>
          </w:tcPr>
          <w:p w14:paraId="6C67F3FE" w14:textId="0469843B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Two-class</w:t>
            </w:r>
          </w:p>
        </w:tc>
        <w:tc>
          <w:tcPr>
            <w:tcW w:w="1803" w:type="dxa"/>
          </w:tcPr>
          <w:p w14:paraId="6B084A83" w14:textId="08216EFE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1537.0</w:t>
            </w:r>
          </w:p>
        </w:tc>
        <w:tc>
          <w:tcPr>
            <w:tcW w:w="1803" w:type="dxa"/>
          </w:tcPr>
          <w:p w14:paraId="381F6B5E" w14:textId="6AE6332A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15</w:t>
            </w:r>
            <w:r w:rsidR="00B4410D">
              <w:rPr>
                <w:rFonts w:ascii="Times New Roman" w:hAnsi="Times New Roman" w:cs="Times New Roman"/>
                <w:lang w:val="en-GB"/>
              </w:rPr>
              <w:t>60</w:t>
            </w:r>
            <w:r w:rsidRPr="00CE712A">
              <w:rPr>
                <w:rFonts w:ascii="Times New Roman" w:hAnsi="Times New Roman" w:cs="Times New Roman"/>
                <w:lang w:val="en-GB"/>
              </w:rPr>
              <w:t>.</w:t>
            </w:r>
            <w:r w:rsidR="00B4410D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1803" w:type="dxa"/>
          </w:tcPr>
          <w:p w14:paraId="2866BEA8" w14:textId="11ACC64A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0.64</w:t>
            </w:r>
          </w:p>
        </w:tc>
        <w:tc>
          <w:tcPr>
            <w:tcW w:w="1804" w:type="dxa"/>
          </w:tcPr>
          <w:p w14:paraId="08ACEDC7" w14:textId="4285344A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Low and rising</w:t>
            </w:r>
          </w:p>
        </w:tc>
      </w:tr>
      <w:tr w:rsidR="00D04AB3" w:rsidRPr="00CE712A" w14:paraId="6F31B99C" w14:textId="77777777" w:rsidTr="005C6FCB">
        <w:tc>
          <w:tcPr>
            <w:tcW w:w="1803" w:type="dxa"/>
            <w:shd w:val="clear" w:color="auto" w:fill="F2F2F2" w:themeFill="background1" w:themeFillShade="F2"/>
          </w:tcPr>
          <w:p w14:paraId="196FA257" w14:textId="290CD175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Three-class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6AB3AFCE" w14:textId="697FB5B4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1508.9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0A6C67A0" w14:textId="01193935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1544.1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7BD02D47" w14:textId="7E91E127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0.70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7C65F9EB" w14:textId="6F4B2976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Low and stable, high then declining, rising</w:t>
            </w:r>
          </w:p>
        </w:tc>
      </w:tr>
      <w:tr w:rsidR="00D04AB3" w:rsidRPr="00CE712A" w14:paraId="276507C1" w14:textId="77777777" w:rsidTr="00D04AB3">
        <w:tc>
          <w:tcPr>
            <w:tcW w:w="1803" w:type="dxa"/>
          </w:tcPr>
          <w:p w14:paraId="61AA7EA5" w14:textId="7C7770AC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Four-class</w:t>
            </w:r>
          </w:p>
        </w:tc>
        <w:tc>
          <w:tcPr>
            <w:tcW w:w="1803" w:type="dxa"/>
          </w:tcPr>
          <w:p w14:paraId="64C96C36" w14:textId="78F08413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150</w:t>
            </w:r>
            <w:r w:rsidR="006F7B5C">
              <w:rPr>
                <w:rFonts w:ascii="Times New Roman" w:hAnsi="Times New Roman" w:cs="Times New Roman"/>
                <w:lang w:val="en-GB"/>
              </w:rPr>
              <w:t>1</w:t>
            </w:r>
            <w:r w:rsidRPr="00CE712A">
              <w:rPr>
                <w:rFonts w:ascii="Times New Roman" w:hAnsi="Times New Roman" w:cs="Times New Roman"/>
                <w:lang w:val="en-GB"/>
              </w:rPr>
              <w:t>.</w:t>
            </w:r>
            <w:r w:rsidR="006F7B5C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1803" w:type="dxa"/>
          </w:tcPr>
          <w:p w14:paraId="1E493F84" w14:textId="3F56568A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15</w:t>
            </w:r>
            <w:r w:rsidR="006F7B5C">
              <w:rPr>
                <w:rFonts w:ascii="Times New Roman" w:hAnsi="Times New Roman" w:cs="Times New Roman"/>
                <w:lang w:val="en-GB"/>
              </w:rPr>
              <w:t>48</w:t>
            </w:r>
            <w:r w:rsidRPr="00CE712A">
              <w:rPr>
                <w:rFonts w:ascii="Times New Roman" w:hAnsi="Times New Roman" w:cs="Times New Roman"/>
                <w:lang w:val="en-GB"/>
              </w:rPr>
              <w:t>.</w:t>
            </w:r>
            <w:r w:rsidR="006F7B5C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1803" w:type="dxa"/>
          </w:tcPr>
          <w:p w14:paraId="7B167401" w14:textId="505D5A56" w:rsidR="00D04AB3" w:rsidRPr="00CE712A" w:rsidRDefault="008C633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1.00</w:t>
            </w:r>
          </w:p>
        </w:tc>
        <w:tc>
          <w:tcPr>
            <w:tcW w:w="1804" w:type="dxa"/>
          </w:tcPr>
          <w:p w14:paraId="276D4E64" w14:textId="2A826CBF" w:rsidR="00D04AB3" w:rsidRPr="00CE712A" w:rsidRDefault="00D04AB3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Overfitting; small class size</w:t>
            </w:r>
          </w:p>
        </w:tc>
      </w:tr>
    </w:tbl>
    <w:p w14:paraId="2281F12E" w14:textId="1AD96D2E" w:rsidR="00D04AB3" w:rsidRPr="00CE712A" w:rsidRDefault="00CE712A">
      <w:pPr>
        <w:rPr>
          <w:rFonts w:ascii="Times New Roman" w:hAnsi="Times New Roman" w:cs="Times New Roman"/>
          <w:b/>
          <w:bCs/>
          <w:lang w:val="en-GB"/>
        </w:rPr>
      </w:pPr>
      <w:r w:rsidRPr="00CE712A">
        <w:rPr>
          <w:rFonts w:ascii="Times New Roman" w:hAnsi="Times New Roman" w:cs="Times New Roman"/>
          <w:b/>
          <w:bCs/>
          <w:lang w:val="en-GB"/>
        </w:rPr>
        <w:t>Supplementary Note: latent class model selection</w:t>
      </w:r>
    </w:p>
    <w:p w14:paraId="1F006CB1" w14:textId="77777777" w:rsidR="00CE712A" w:rsidRDefault="00CE712A" w:rsidP="00CE712A">
      <w:pPr>
        <w:rPr>
          <w:rFonts w:ascii="Times New Roman" w:hAnsi="Times New Roman" w:cs="Times New Roman"/>
          <w:lang w:val="en-GB"/>
        </w:rPr>
      </w:pPr>
      <w:r w:rsidRPr="00CE712A">
        <w:rPr>
          <w:rFonts w:ascii="Times New Roman" w:hAnsi="Times New Roman" w:cs="Times New Roman"/>
          <w:lang w:val="en-GB"/>
        </w:rPr>
        <w:t xml:space="preserve">To identify the optimal number of PCT trajectory classes, we </w:t>
      </w:r>
      <w:r>
        <w:rPr>
          <w:rFonts w:ascii="Times New Roman" w:hAnsi="Times New Roman" w:cs="Times New Roman"/>
          <w:lang w:val="en-GB"/>
        </w:rPr>
        <w:t xml:space="preserve">compared </w:t>
      </w:r>
      <w:r w:rsidRPr="00CE712A">
        <w:rPr>
          <w:rFonts w:ascii="Times New Roman" w:hAnsi="Times New Roman" w:cs="Times New Roman"/>
          <w:lang w:val="en-GB"/>
        </w:rPr>
        <w:t>LCMMs with 1 to 4 classes using several model selection criteria:</w:t>
      </w:r>
    </w:p>
    <w:p w14:paraId="15F5D52D" w14:textId="77777777" w:rsidR="00CE712A" w:rsidRDefault="00CE712A" w:rsidP="00CE71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CE712A">
        <w:rPr>
          <w:rFonts w:ascii="Times New Roman" w:hAnsi="Times New Roman" w:cs="Times New Roman"/>
          <w:lang w:val="en-GB"/>
        </w:rPr>
        <w:t>Akaike Information Criterion (AIC) and Bayesian Information Criterion (BIC) evaluate model fit while penalising complexity. Lower values indicate a better balance between accuracy and simplicity. BIC applies a stronger penalty for overfitting and is commonly prioritised in model selection.</w:t>
      </w:r>
    </w:p>
    <w:p w14:paraId="2BD825A0" w14:textId="77777777" w:rsidR="00CE712A" w:rsidRDefault="00CE712A" w:rsidP="00CE71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CE712A">
        <w:rPr>
          <w:rFonts w:ascii="Times New Roman" w:hAnsi="Times New Roman" w:cs="Times New Roman"/>
          <w:lang w:val="en-GB"/>
        </w:rPr>
        <w:t>Entropy measures how clearly patients are assigned to trajectory classes. It ranges from 0 to 1, with values above 0.65 generally considered acceptable. Higher entropy suggests more distinct, well-separated trajectory groups.</w:t>
      </w:r>
    </w:p>
    <w:p w14:paraId="2F8112A7" w14:textId="1E283C93" w:rsidR="00CE712A" w:rsidRPr="00CE712A" w:rsidRDefault="00CE712A" w:rsidP="00CE71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</w:t>
      </w:r>
      <w:r w:rsidRPr="00CE712A">
        <w:rPr>
          <w:rFonts w:ascii="Times New Roman" w:hAnsi="Times New Roman" w:cs="Times New Roman"/>
          <w:lang w:val="en-GB"/>
        </w:rPr>
        <w:t>nterpretability was also considered. Models were favoured if they produced biologically meaningful patterns without overfitting or yielding very small subgroups.</w:t>
      </w:r>
    </w:p>
    <w:p w14:paraId="05B5621E" w14:textId="77777777" w:rsidR="00CE712A" w:rsidRPr="00CE712A" w:rsidRDefault="00CE712A" w:rsidP="00CE712A">
      <w:pPr>
        <w:rPr>
          <w:rFonts w:ascii="Times New Roman" w:hAnsi="Times New Roman" w:cs="Times New Roman"/>
          <w:lang w:val="en-GB"/>
        </w:rPr>
      </w:pPr>
    </w:p>
    <w:p w14:paraId="7075AF8A" w14:textId="3A7301F9" w:rsidR="00D04AB3" w:rsidRDefault="008C6331">
      <w:pPr>
        <w:rPr>
          <w:rFonts w:ascii="Times New Roman" w:hAnsi="Times New Roman" w:cs="Times New Roman"/>
          <w:lang w:val="en-GB"/>
        </w:rPr>
      </w:pPr>
      <w:r w:rsidRPr="008C6331">
        <w:rPr>
          <w:rFonts w:ascii="Times New Roman" w:hAnsi="Times New Roman" w:cs="Times New Roman"/>
          <w:lang w:val="en-GB"/>
        </w:rPr>
        <w:t xml:space="preserve">While the 4-class model yielded the lowest AIC, it </w:t>
      </w:r>
      <w:r w:rsidR="00947B44">
        <w:rPr>
          <w:rFonts w:ascii="Times New Roman" w:hAnsi="Times New Roman" w:cs="Times New Roman"/>
          <w:lang w:val="en-GB"/>
        </w:rPr>
        <w:t xml:space="preserve">demonstrated </w:t>
      </w:r>
      <w:r w:rsidRPr="008C6331">
        <w:rPr>
          <w:rFonts w:ascii="Times New Roman" w:hAnsi="Times New Roman" w:cs="Times New Roman"/>
          <w:lang w:val="en-GB"/>
        </w:rPr>
        <w:t xml:space="preserve">signs of overfitting. One class contained only two patients, and the model assigned subjects to classes </w:t>
      </w:r>
      <w:r w:rsidR="00947B44">
        <w:rPr>
          <w:rFonts w:ascii="Times New Roman" w:hAnsi="Times New Roman" w:cs="Times New Roman"/>
          <w:lang w:val="en-GB"/>
        </w:rPr>
        <w:t xml:space="preserve">with an artificially high classification certainty </w:t>
      </w:r>
      <w:r w:rsidRPr="008C6331">
        <w:rPr>
          <w:rFonts w:ascii="Times New Roman" w:hAnsi="Times New Roman" w:cs="Times New Roman"/>
          <w:lang w:val="en-GB"/>
        </w:rPr>
        <w:t>(relative entropy = 1).</w:t>
      </w:r>
      <w:r w:rsidR="00947B44" w:rsidRPr="00947B44">
        <w:t xml:space="preserve"> </w:t>
      </w:r>
      <w:r w:rsidRPr="008C6331">
        <w:rPr>
          <w:rFonts w:ascii="Times New Roman" w:hAnsi="Times New Roman" w:cs="Times New Roman"/>
          <w:lang w:val="en-GB"/>
        </w:rPr>
        <w:t>This pattern suggests artificial separation driven by outlier trajectories rather than robust biological subgroups. We therefore selected the 3-class model as the optimal balance of model fit, parsimony, and interpretability.</w:t>
      </w:r>
    </w:p>
    <w:p w14:paraId="5BA377EA" w14:textId="77777777" w:rsidR="008C6331" w:rsidRPr="00CE712A" w:rsidRDefault="008C6331">
      <w:pPr>
        <w:rPr>
          <w:rFonts w:ascii="Times New Roman" w:hAnsi="Times New Roman" w:cs="Times New Roman"/>
          <w:b/>
          <w:bCs/>
          <w:lang w:val="en-GB"/>
        </w:rPr>
      </w:pPr>
    </w:p>
    <w:p w14:paraId="2B77B47B" w14:textId="49C592B5" w:rsidR="00552678" w:rsidRPr="00CE712A" w:rsidRDefault="00D04AB3">
      <w:pPr>
        <w:rPr>
          <w:rFonts w:ascii="Times New Roman" w:hAnsi="Times New Roman" w:cs="Times New Roman"/>
          <w:b/>
          <w:bCs/>
          <w:lang w:val="en-GB"/>
        </w:rPr>
      </w:pPr>
      <w:r w:rsidRPr="00CE712A">
        <w:rPr>
          <w:rFonts w:ascii="Times New Roman" w:hAnsi="Times New Roman" w:cs="Times New Roman"/>
          <w:b/>
          <w:bCs/>
          <w:lang w:val="en-GB"/>
        </w:rPr>
        <w:t xml:space="preserve">Table S2. </w:t>
      </w:r>
      <w:r w:rsidR="00DA6824" w:rsidRPr="00CE712A">
        <w:rPr>
          <w:rFonts w:ascii="Times New Roman" w:hAnsi="Times New Roman" w:cs="Times New Roman"/>
          <w:b/>
          <w:bCs/>
          <w:lang w:val="en-GB"/>
        </w:rPr>
        <w:t>L</w:t>
      </w:r>
      <w:r w:rsidR="00C23603" w:rsidRPr="00CE712A">
        <w:rPr>
          <w:rFonts w:ascii="Times New Roman" w:hAnsi="Times New Roman" w:cs="Times New Roman"/>
          <w:b/>
          <w:bCs/>
          <w:lang w:val="en-GB"/>
        </w:rPr>
        <w:t xml:space="preserve">ogistic regression analysis </w:t>
      </w:r>
      <w:r w:rsidR="00552678" w:rsidRPr="00CE712A">
        <w:rPr>
          <w:rFonts w:ascii="Times New Roman" w:hAnsi="Times New Roman" w:cs="Times New Roman"/>
          <w:b/>
          <w:bCs/>
          <w:lang w:val="en-GB"/>
        </w:rPr>
        <w:t xml:space="preserve">of baseline </w:t>
      </w:r>
      <w:r w:rsidR="00C23603" w:rsidRPr="00CE712A">
        <w:rPr>
          <w:rFonts w:ascii="Times New Roman" w:hAnsi="Times New Roman" w:cs="Times New Roman"/>
          <w:b/>
          <w:bCs/>
          <w:lang w:val="en-GB"/>
        </w:rPr>
        <w:t>inflammatory markers for</w:t>
      </w:r>
      <w:r w:rsidR="00552678" w:rsidRPr="00CE712A">
        <w:rPr>
          <w:rFonts w:ascii="Times New Roman" w:hAnsi="Times New Roman" w:cs="Times New Roman"/>
          <w:b/>
          <w:bCs/>
          <w:lang w:val="en-GB"/>
        </w:rPr>
        <w:t xml:space="preserve"> 28-day mortality</w:t>
      </w:r>
      <w:r w:rsidR="00C23603" w:rsidRPr="00CE712A">
        <w:rPr>
          <w:rFonts w:ascii="Times New Roman" w:hAnsi="Times New Roman" w:cs="Times New Roman"/>
          <w:b/>
          <w:bCs/>
          <w:lang w:val="en-GB"/>
        </w:rPr>
        <w:t xml:space="preserve"> (n=371)</w:t>
      </w:r>
    </w:p>
    <w:p w14:paraId="4545FE71" w14:textId="77777777" w:rsidR="00C23603" w:rsidRPr="00CE712A" w:rsidRDefault="00C23603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1869"/>
        <w:gridCol w:w="1925"/>
        <w:gridCol w:w="1630"/>
        <w:gridCol w:w="1570"/>
      </w:tblGrid>
      <w:tr w:rsidR="00F71420" w:rsidRPr="00CE712A" w14:paraId="37CB95FF" w14:textId="6D54DB29" w:rsidTr="00F71420">
        <w:tc>
          <w:tcPr>
            <w:tcW w:w="2037" w:type="dxa"/>
            <w:shd w:val="clear" w:color="auto" w:fill="D9D9D9" w:themeFill="background1" w:themeFillShade="D9"/>
          </w:tcPr>
          <w:p w14:paraId="6A3C883D" w14:textId="29FAA845" w:rsidR="00F71420" w:rsidRPr="00CE712A" w:rsidRDefault="00F7142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Variable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14:paraId="2F437DE7" w14:textId="5804998C" w:rsidR="00F71420" w:rsidRPr="00CE712A" w:rsidRDefault="00F7142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Univariable OR (95% CI)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4B41D66B" w14:textId="1D91DC01" w:rsidR="00F71420" w:rsidRPr="00CE712A" w:rsidRDefault="00F7142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p-</w:t>
            </w:r>
            <w:r w:rsidR="00A620B2">
              <w:rPr>
                <w:rFonts w:ascii="Times New Roman" w:hAnsi="Times New Roman" w:cs="Times New Roman"/>
                <w:b/>
                <w:bCs/>
                <w:lang w:val="en-GB"/>
              </w:rPr>
              <w:t>V</w:t>
            </w: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alue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79208859" w14:textId="697743B5" w:rsidR="00F71420" w:rsidRPr="00CE712A" w:rsidRDefault="00F7142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Multivariable </w:t>
            </w:r>
            <w:proofErr w:type="spellStart"/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aOR</w:t>
            </w:r>
            <w:proofErr w:type="spellEnd"/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(95% CI)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6B68B4D8" w14:textId="65413545" w:rsidR="00F71420" w:rsidRPr="00CE712A" w:rsidRDefault="00F7142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p-</w:t>
            </w:r>
            <w:r w:rsidR="00A620B2">
              <w:rPr>
                <w:rFonts w:ascii="Times New Roman" w:hAnsi="Times New Roman" w:cs="Times New Roman"/>
                <w:b/>
                <w:bCs/>
                <w:lang w:val="en-GB"/>
              </w:rPr>
              <w:t>V</w:t>
            </w: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alue</w:t>
            </w:r>
          </w:p>
        </w:tc>
      </w:tr>
      <w:tr w:rsidR="00F71420" w:rsidRPr="00CE712A" w14:paraId="69236F84" w14:textId="2AEEB38A" w:rsidTr="00F71420">
        <w:tc>
          <w:tcPr>
            <w:tcW w:w="2037" w:type="dxa"/>
          </w:tcPr>
          <w:p w14:paraId="18462A49" w14:textId="3B7FE095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PCT (log scale)</w:t>
            </w:r>
          </w:p>
        </w:tc>
        <w:tc>
          <w:tcPr>
            <w:tcW w:w="1876" w:type="dxa"/>
          </w:tcPr>
          <w:p w14:paraId="56D0F368" w14:textId="7AE72183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2.52 (1.72 – 3.77)</w:t>
            </w:r>
          </w:p>
        </w:tc>
        <w:tc>
          <w:tcPr>
            <w:tcW w:w="1941" w:type="dxa"/>
          </w:tcPr>
          <w:p w14:paraId="2916C229" w14:textId="7813F36D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  <w:tc>
          <w:tcPr>
            <w:tcW w:w="1581" w:type="dxa"/>
          </w:tcPr>
          <w:p w14:paraId="708C606B" w14:textId="55CE5EC6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1.26 (1.10 – 1.44)</w:t>
            </w:r>
          </w:p>
        </w:tc>
        <w:tc>
          <w:tcPr>
            <w:tcW w:w="1581" w:type="dxa"/>
          </w:tcPr>
          <w:p w14:paraId="226A6C5B" w14:textId="295BF1D0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0.001</w:t>
            </w:r>
          </w:p>
        </w:tc>
      </w:tr>
      <w:tr w:rsidR="00F71420" w:rsidRPr="00CE712A" w14:paraId="221609CC" w14:textId="67CBB3E0" w:rsidTr="00F71420">
        <w:tc>
          <w:tcPr>
            <w:tcW w:w="2037" w:type="dxa"/>
          </w:tcPr>
          <w:p w14:paraId="0F7A05E1" w14:textId="0C2B58CE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CRP</w:t>
            </w:r>
            <w:r w:rsidR="00A620B2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E712A">
              <w:rPr>
                <w:rFonts w:ascii="Times New Roman" w:hAnsi="Times New Roman" w:cs="Times New Roman"/>
                <w:lang w:val="en-GB"/>
              </w:rPr>
              <w:t>mg/L</w:t>
            </w:r>
          </w:p>
        </w:tc>
        <w:tc>
          <w:tcPr>
            <w:tcW w:w="1876" w:type="dxa"/>
          </w:tcPr>
          <w:p w14:paraId="574043EE" w14:textId="6ED9B24C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1.02 (0.90 – 1.15)</w:t>
            </w:r>
          </w:p>
        </w:tc>
        <w:tc>
          <w:tcPr>
            <w:tcW w:w="1941" w:type="dxa"/>
          </w:tcPr>
          <w:p w14:paraId="577AEE55" w14:textId="01054C6C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0.78</w:t>
            </w:r>
          </w:p>
        </w:tc>
        <w:tc>
          <w:tcPr>
            <w:tcW w:w="1581" w:type="dxa"/>
          </w:tcPr>
          <w:p w14:paraId="617CF884" w14:textId="44DE3E8B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1.01 (0.91 – 1.13)</w:t>
            </w:r>
          </w:p>
        </w:tc>
        <w:tc>
          <w:tcPr>
            <w:tcW w:w="1581" w:type="dxa"/>
          </w:tcPr>
          <w:p w14:paraId="0CC089E5" w14:textId="039A325D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0.83</w:t>
            </w:r>
          </w:p>
        </w:tc>
      </w:tr>
      <w:tr w:rsidR="00F71420" w:rsidRPr="00CE712A" w14:paraId="03F1E988" w14:textId="5176D0C9" w:rsidTr="00F71420">
        <w:tc>
          <w:tcPr>
            <w:tcW w:w="2037" w:type="dxa"/>
          </w:tcPr>
          <w:p w14:paraId="4282A58F" w14:textId="24B486AD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WCC</w:t>
            </w:r>
            <w:r w:rsidR="00A620B2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CE712A">
              <w:rPr>
                <w:rFonts w:ascii="Times New Roman" w:hAnsi="Times New Roman" w:cs="Times New Roman"/>
                <w:lang w:val="en-GB"/>
              </w:rPr>
              <w:t>x10</w:t>
            </w:r>
            <w:r w:rsidRPr="00CE712A">
              <w:rPr>
                <w:rFonts w:ascii="Times New Roman" w:hAnsi="Times New Roman" w:cs="Times New Roman"/>
                <w:vertAlign w:val="superscript"/>
                <w:lang w:val="en-GB"/>
              </w:rPr>
              <w:t>9</w:t>
            </w:r>
            <w:r w:rsidRPr="00CE712A">
              <w:rPr>
                <w:rFonts w:ascii="Times New Roman" w:hAnsi="Times New Roman" w:cs="Times New Roman"/>
                <w:lang w:val="en-GB"/>
              </w:rPr>
              <w:t>/L</w:t>
            </w:r>
          </w:p>
        </w:tc>
        <w:tc>
          <w:tcPr>
            <w:tcW w:w="1876" w:type="dxa"/>
          </w:tcPr>
          <w:p w14:paraId="29163F9C" w14:textId="6C77F76B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1.01 (0.99 – 1.03)</w:t>
            </w:r>
          </w:p>
        </w:tc>
        <w:tc>
          <w:tcPr>
            <w:tcW w:w="1941" w:type="dxa"/>
          </w:tcPr>
          <w:p w14:paraId="55930349" w14:textId="4E63073E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0.38</w:t>
            </w:r>
          </w:p>
        </w:tc>
        <w:tc>
          <w:tcPr>
            <w:tcW w:w="1581" w:type="dxa"/>
          </w:tcPr>
          <w:p w14:paraId="24CC0ACA" w14:textId="2188BB23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1.01 (0.98 – 1.03)</w:t>
            </w:r>
          </w:p>
        </w:tc>
        <w:tc>
          <w:tcPr>
            <w:tcW w:w="1581" w:type="dxa"/>
          </w:tcPr>
          <w:p w14:paraId="56348A82" w14:textId="43D8A7D6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0.46</w:t>
            </w:r>
          </w:p>
        </w:tc>
      </w:tr>
      <w:tr w:rsidR="00F71420" w:rsidRPr="00CE712A" w14:paraId="287DB826" w14:textId="77777777" w:rsidTr="00F71420">
        <w:tc>
          <w:tcPr>
            <w:tcW w:w="2037" w:type="dxa"/>
          </w:tcPr>
          <w:p w14:paraId="76ECC5A6" w14:textId="5CA928B3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Age, per year</w:t>
            </w:r>
          </w:p>
        </w:tc>
        <w:tc>
          <w:tcPr>
            <w:tcW w:w="1876" w:type="dxa"/>
          </w:tcPr>
          <w:p w14:paraId="7467655E" w14:textId="503DC605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1941" w:type="dxa"/>
          </w:tcPr>
          <w:p w14:paraId="3DA8AEED" w14:textId="48B61B78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1581" w:type="dxa"/>
          </w:tcPr>
          <w:p w14:paraId="0B4B839B" w14:textId="3092C8FF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1.03 (1.01 – 1.04)</w:t>
            </w:r>
          </w:p>
        </w:tc>
        <w:tc>
          <w:tcPr>
            <w:tcW w:w="1581" w:type="dxa"/>
          </w:tcPr>
          <w:p w14:paraId="6B048C0D" w14:textId="5C338A0F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&lt;0.001</w:t>
            </w:r>
          </w:p>
        </w:tc>
      </w:tr>
      <w:tr w:rsidR="00F71420" w:rsidRPr="00CE712A" w14:paraId="4A5D8E11" w14:textId="77777777" w:rsidTr="00F71420">
        <w:tc>
          <w:tcPr>
            <w:tcW w:w="2037" w:type="dxa"/>
          </w:tcPr>
          <w:p w14:paraId="551FE16A" w14:textId="2C7296D0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Sex, male</w:t>
            </w:r>
          </w:p>
        </w:tc>
        <w:tc>
          <w:tcPr>
            <w:tcW w:w="1876" w:type="dxa"/>
          </w:tcPr>
          <w:p w14:paraId="43179140" w14:textId="6CE29CEF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1941" w:type="dxa"/>
          </w:tcPr>
          <w:p w14:paraId="7A2C13BF" w14:textId="0D4893A7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1581" w:type="dxa"/>
          </w:tcPr>
          <w:p w14:paraId="07FE7BE1" w14:textId="24BCEDA3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1.27 (0.69 – 2.31)</w:t>
            </w:r>
          </w:p>
        </w:tc>
        <w:tc>
          <w:tcPr>
            <w:tcW w:w="1581" w:type="dxa"/>
          </w:tcPr>
          <w:p w14:paraId="48E31305" w14:textId="4EFBDD5B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0.45</w:t>
            </w:r>
          </w:p>
        </w:tc>
      </w:tr>
      <w:tr w:rsidR="00F71420" w:rsidRPr="00CE712A" w14:paraId="1D4FC8B5" w14:textId="77777777" w:rsidTr="00F71420">
        <w:tc>
          <w:tcPr>
            <w:tcW w:w="2037" w:type="dxa"/>
          </w:tcPr>
          <w:p w14:paraId="6CB870BB" w14:textId="1FBF10BC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HIV positive</w:t>
            </w:r>
          </w:p>
        </w:tc>
        <w:tc>
          <w:tcPr>
            <w:tcW w:w="1876" w:type="dxa"/>
          </w:tcPr>
          <w:p w14:paraId="7AC9AAAB" w14:textId="4CAB64F9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1941" w:type="dxa"/>
          </w:tcPr>
          <w:p w14:paraId="25A5622D" w14:textId="345524F7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1581" w:type="dxa"/>
          </w:tcPr>
          <w:p w14:paraId="54B41C28" w14:textId="21F5EB4B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1.27 (0.76 – 2.11)</w:t>
            </w:r>
          </w:p>
        </w:tc>
        <w:tc>
          <w:tcPr>
            <w:tcW w:w="1581" w:type="dxa"/>
          </w:tcPr>
          <w:p w14:paraId="1CA91322" w14:textId="7FCF9603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0.36</w:t>
            </w:r>
          </w:p>
        </w:tc>
      </w:tr>
      <w:tr w:rsidR="00F71420" w:rsidRPr="00CE712A" w14:paraId="6DDAC000" w14:textId="77777777" w:rsidTr="00F71420">
        <w:tc>
          <w:tcPr>
            <w:tcW w:w="2037" w:type="dxa"/>
          </w:tcPr>
          <w:p w14:paraId="05B6EC0E" w14:textId="7A5CABF5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lastRenderedPageBreak/>
              <w:t>AKI</w:t>
            </w:r>
          </w:p>
        </w:tc>
        <w:tc>
          <w:tcPr>
            <w:tcW w:w="1876" w:type="dxa"/>
          </w:tcPr>
          <w:p w14:paraId="558A826B" w14:textId="664D90BA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1941" w:type="dxa"/>
          </w:tcPr>
          <w:p w14:paraId="3DBA1897" w14:textId="4177F385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1581" w:type="dxa"/>
          </w:tcPr>
          <w:p w14:paraId="274E2AE7" w14:textId="5CBE0822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1.25 (0.82 – 1.89)</w:t>
            </w:r>
          </w:p>
        </w:tc>
        <w:tc>
          <w:tcPr>
            <w:tcW w:w="1581" w:type="dxa"/>
          </w:tcPr>
          <w:p w14:paraId="7CD0B5C8" w14:textId="52ED8793" w:rsidR="00F71420" w:rsidRPr="00CE712A" w:rsidRDefault="00F7142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0.30</w:t>
            </w:r>
          </w:p>
        </w:tc>
      </w:tr>
    </w:tbl>
    <w:p w14:paraId="3815CA98" w14:textId="77777777" w:rsidR="00FD44D0" w:rsidRPr="00CE712A" w:rsidRDefault="00FD44D0">
      <w:pPr>
        <w:rPr>
          <w:rFonts w:ascii="Times New Roman" w:hAnsi="Times New Roman" w:cs="Times New Roman"/>
          <w:lang w:val="en-GB"/>
        </w:rPr>
      </w:pPr>
      <w:r w:rsidRPr="00CE712A">
        <w:rPr>
          <w:rFonts w:ascii="Times New Roman" w:hAnsi="Times New Roman" w:cs="Times New Roman"/>
          <w:lang w:val="en-GB"/>
        </w:rPr>
        <w:t xml:space="preserve">PCT was log-transformed prior to analysis. </w:t>
      </w:r>
    </w:p>
    <w:p w14:paraId="7344F155" w14:textId="4C0B9799" w:rsidR="00C23603" w:rsidRPr="00CE712A" w:rsidRDefault="003129A5">
      <w:pPr>
        <w:rPr>
          <w:rFonts w:ascii="Times New Roman" w:hAnsi="Times New Roman" w:cs="Times New Roman"/>
          <w:lang w:val="en-GB"/>
        </w:rPr>
      </w:pPr>
      <w:r w:rsidRPr="00CE712A">
        <w:rPr>
          <w:rFonts w:ascii="Times New Roman" w:hAnsi="Times New Roman" w:cs="Times New Roman"/>
          <w:lang w:val="en-GB"/>
        </w:rPr>
        <w:t xml:space="preserve">OR: odds ratio, </w:t>
      </w:r>
      <w:r w:rsidR="0014023E" w:rsidRPr="00CE712A">
        <w:rPr>
          <w:rFonts w:ascii="Times New Roman" w:hAnsi="Times New Roman" w:cs="Times New Roman"/>
          <w:lang w:val="en-GB"/>
        </w:rPr>
        <w:t>CI: confidence interval,</w:t>
      </w:r>
      <w:r w:rsidRPr="00CE712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E712A">
        <w:rPr>
          <w:rFonts w:ascii="Times New Roman" w:hAnsi="Times New Roman" w:cs="Times New Roman"/>
          <w:lang w:val="en-GB"/>
        </w:rPr>
        <w:t>aOR</w:t>
      </w:r>
      <w:proofErr w:type="spellEnd"/>
      <w:r w:rsidRPr="00CE712A">
        <w:rPr>
          <w:rFonts w:ascii="Times New Roman" w:hAnsi="Times New Roman" w:cs="Times New Roman"/>
          <w:lang w:val="en-GB"/>
        </w:rPr>
        <w:t>: adjusted odds ratio,</w:t>
      </w:r>
      <w:r w:rsidR="0014023E" w:rsidRPr="00CE712A">
        <w:rPr>
          <w:rFonts w:ascii="Times New Roman" w:hAnsi="Times New Roman" w:cs="Times New Roman"/>
          <w:lang w:val="en-GB"/>
        </w:rPr>
        <w:t xml:space="preserve"> </w:t>
      </w:r>
      <w:r w:rsidR="00FD44D0" w:rsidRPr="00CE712A">
        <w:rPr>
          <w:rFonts w:ascii="Times New Roman" w:hAnsi="Times New Roman" w:cs="Times New Roman"/>
          <w:lang w:val="en-GB"/>
        </w:rPr>
        <w:t>PCT: procalcitonin, CRP: c-reactive protein, WCC: white cell count</w:t>
      </w:r>
      <w:r w:rsidRPr="00CE712A">
        <w:rPr>
          <w:rFonts w:ascii="Times New Roman" w:hAnsi="Times New Roman" w:cs="Times New Roman"/>
          <w:lang w:val="en-GB"/>
        </w:rPr>
        <w:t>, HIV: human immunodeficiency virus, AKI: acute kidney injury</w:t>
      </w:r>
    </w:p>
    <w:p w14:paraId="0C9F8BD7" w14:textId="77777777" w:rsidR="00552678" w:rsidRPr="00CE712A" w:rsidRDefault="00552678">
      <w:pPr>
        <w:rPr>
          <w:rFonts w:ascii="Times New Roman" w:hAnsi="Times New Roman" w:cs="Times New Roman"/>
          <w:b/>
          <w:bCs/>
          <w:lang w:val="en-GB"/>
        </w:rPr>
      </w:pPr>
    </w:p>
    <w:p w14:paraId="2E0253E6" w14:textId="17DDEB9B" w:rsidR="00552678" w:rsidRPr="00CE712A" w:rsidRDefault="00552678">
      <w:pPr>
        <w:rPr>
          <w:rFonts w:ascii="Times New Roman" w:hAnsi="Times New Roman" w:cs="Times New Roman"/>
          <w:b/>
          <w:bCs/>
          <w:lang w:val="en-GB"/>
        </w:rPr>
      </w:pPr>
      <w:r w:rsidRPr="00CE712A">
        <w:rPr>
          <w:rFonts w:ascii="Times New Roman" w:hAnsi="Times New Roman" w:cs="Times New Roman"/>
          <w:b/>
          <w:bCs/>
          <w:lang w:val="en-GB"/>
        </w:rPr>
        <w:t xml:space="preserve">Table </w:t>
      </w:r>
      <w:r w:rsidR="00382218" w:rsidRPr="00CE712A">
        <w:rPr>
          <w:rFonts w:ascii="Times New Roman" w:hAnsi="Times New Roman" w:cs="Times New Roman"/>
          <w:b/>
          <w:bCs/>
          <w:lang w:val="en-GB"/>
        </w:rPr>
        <w:t>S3</w:t>
      </w:r>
      <w:r w:rsidRPr="00CE712A">
        <w:rPr>
          <w:rFonts w:ascii="Times New Roman" w:hAnsi="Times New Roman" w:cs="Times New Roman"/>
          <w:b/>
          <w:bCs/>
          <w:lang w:val="en-GB"/>
        </w:rPr>
        <w:t>. Association between procalcitonin slope and 28-day mortality (n=139)</w:t>
      </w:r>
    </w:p>
    <w:p w14:paraId="18977376" w14:textId="77777777" w:rsidR="00FD44D0" w:rsidRPr="00CE712A" w:rsidRDefault="00FD44D0">
      <w:pPr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645"/>
        <w:gridCol w:w="1366"/>
      </w:tblGrid>
      <w:tr w:rsidR="00FD44D0" w:rsidRPr="00CE712A" w14:paraId="6EC47C1E" w14:textId="77777777" w:rsidTr="000151C3">
        <w:tc>
          <w:tcPr>
            <w:tcW w:w="3005" w:type="dxa"/>
            <w:shd w:val="clear" w:color="auto" w:fill="D9D9D9" w:themeFill="background1" w:themeFillShade="D9"/>
          </w:tcPr>
          <w:p w14:paraId="30193391" w14:textId="77777777" w:rsidR="00FD44D0" w:rsidRPr="00CE712A" w:rsidRDefault="00FD44D0" w:rsidP="00964F0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Variable</w:t>
            </w:r>
          </w:p>
        </w:tc>
        <w:tc>
          <w:tcPr>
            <w:tcW w:w="4645" w:type="dxa"/>
            <w:shd w:val="clear" w:color="auto" w:fill="D9D9D9" w:themeFill="background1" w:themeFillShade="D9"/>
          </w:tcPr>
          <w:p w14:paraId="51DC143F" w14:textId="5ECD2397" w:rsidR="00FD44D0" w:rsidRPr="00CE712A" w:rsidRDefault="00FD44D0" w:rsidP="00964F0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Adjusted odds ratio (95% CI)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0301952C" w14:textId="3533CBEB" w:rsidR="00FD44D0" w:rsidRPr="00CE712A" w:rsidRDefault="00FD44D0" w:rsidP="00964F0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p-</w:t>
            </w:r>
            <w:r w:rsidR="00A620B2">
              <w:rPr>
                <w:rFonts w:ascii="Times New Roman" w:hAnsi="Times New Roman" w:cs="Times New Roman"/>
                <w:b/>
                <w:bCs/>
                <w:lang w:val="en-GB"/>
              </w:rPr>
              <w:t>V</w:t>
            </w:r>
            <w:r w:rsidRPr="00CE712A">
              <w:rPr>
                <w:rFonts w:ascii="Times New Roman" w:hAnsi="Times New Roman" w:cs="Times New Roman"/>
                <w:b/>
                <w:bCs/>
                <w:lang w:val="en-GB"/>
              </w:rPr>
              <w:t>alue</w:t>
            </w:r>
          </w:p>
        </w:tc>
      </w:tr>
      <w:tr w:rsidR="00FD44D0" w:rsidRPr="00CE712A" w14:paraId="17D53C98" w14:textId="77777777" w:rsidTr="000151C3">
        <w:tc>
          <w:tcPr>
            <w:tcW w:w="3005" w:type="dxa"/>
          </w:tcPr>
          <w:p w14:paraId="02DA8184" w14:textId="5A233733" w:rsidR="00FD44D0" w:rsidRPr="00CE712A" w:rsidRDefault="00FD44D0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PCT</w:t>
            </w:r>
            <w:r w:rsidR="000151C3" w:rsidRPr="00CE712A">
              <w:rPr>
                <w:rFonts w:ascii="Times New Roman" w:hAnsi="Times New Roman" w:cs="Times New Roman"/>
                <w:lang w:val="en-GB"/>
              </w:rPr>
              <w:t xml:space="preserve"> slope (log scale)</w:t>
            </w:r>
          </w:p>
        </w:tc>
        <w:tc>
          <w:tcPr>
            <w:tcW w:w="4645" w:type="dxa"/>
          </w:tcPr>
          <w:p w14:paraId="13A75DAD" w14:textId="1424A8B7" w:rsidR="00FD44D0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3</w:t>
            </w:r>
            <w:r w:rsidR="00FD44D0" w:rsidRPr="00CE712A">
              <w:rPr>
                <w:rFonts w:ascii="Times New Roman" w:hAnsi="Times New Roman" w:cs="Times New Roman"/>
                <w:lang w:val="en-GB"/>
              </w:rPr>
              <w:t>.</w:t>
            </w:r>
            <w:r w:rsidRPr="00CE712A">
              <w:rPr>
                <w:rFonts w:ascii="Times New Roman" w:hAnsi="Times New Roman" w:cs="Times New Roman"/>
                <w:lang w:val="en-GB"/>
              </w:rPr>
              <w:t>56</w:t>
            </w:r>
            <w:r w:rsidR="00FD44D0" w:rsidRPr="00CE712A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CE712A">
              <w:rPr>
                <w:rFonts w:ascii="Times New Roman" w:hAnsi="Times New Roman" w:cs="Times New Roman"/>
                <w:lang w:val="en-GB"/>
              </w:rPr>
              <w:t>0.95</w:t>
            </w:r>
            <w:r w:rsidR="00FD44D0" w:rsidRPr="00CE712A">
              <w:rPr>
                <w:rFonts w:ascii="Times New Roman" w:hAnsi="Times New Roman" w:cs="Times New Roman"/>
                <w:lang w:val="en-GB"/>
              </w:rPr>
              <w:t xml:space="preserve"> – </w:t>
            </w:r>
            <w:r w:rsidRPr="00CE712A">
              <w:rPr>
                <w:rFonts w:ascii="Times New Roman" w:hAnsi="Times New Roman" w:cs="Times New Roman"/>
                <w:lang w:val="en-GB"/>
              </w:rPr>
              <w:t>13.35</w:t>
            </w:r>
            <w:r w:rsidR="00FD44D0" w:rsidRPr="00CE712A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366" w:type="dxa"/>
          </w:tcPr>
          <w:p w14:paraId="16C17C96" w14:textId="7D878434" w:rsidR="00FD44D0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0.06</w:t>
            </w:r>
          </w:p>
        </w:tc>
      </w:tr>
      <w:tr w:rsidR="00FD44D0" w:rsidRPr="00CE712A" w14:paraId="42B8DC15" w14:textId="77777777" w:rsidTr="000151C3">
        <w:tc>
          <w:tcPr>
            <w:tcW w:w="3005" w:type="dxa"/>
          </w:tcPr>
          <w:p w14:paraId="6A824C3D" w14:textId="6C42315C" w:rsidR="00FD44D0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 xml:space="preserve">Age, </w:t>
            </w:r>
            <w:r w:rsidR="00F71420" w:rsidRPr="00CE712A">
              <w:rPr>
                <w:rFonts w:ascii="Times New Roman" w:hAnsi="Times New Roman" w:cs="Times New Roman"/>
                <w:lang w:val="en-GB"/>
              </w:rPr>
              <w:t xml:space="preserve">per </w:t>
            </w:r>
            <w:r w:rsidRPr="00CE712A">
              <w:rPr>
                <w:rFonts w:ascii="Times New Roman" w:hAnsi="Times New Roman" w:cs="Times New Roman"/>
                <w:lang w:val="en-GB"/>
              </w:rPr>
              <w:t>year</w:t>
            </w:r>
          </w:p>
        </w:tc>
        <w:tc>
          <w:tcPr>
            <w:tcW w:w="4645" w:type="dxa"/>
          </w:tcPr>
          <w:p w14:paraId="23B3A2C5" w14:textId="1AC0525D" w:rsidR="00FD44D0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1.02 (0.99 – 1.05)</w:t>
            </w:r>
          </w:p>
        </w:tc>
        <w:tc>
          <w:tcPr>
            <w:tcW w:w="1366" w:type="dxa"/>
          </w:tcPr>
          <w:p w14:paraId="3D78148B" w14:textId="7E6ED8FE" w:rsidR="00FD44D0" w:rsidRPr="00CE712A" w:rsidRDefault="00FD44D0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</w:t>
            </w:r>
            <w:r w:rsidR="000151C3" w:rsidRPr="00CE712A">
              <w:rPr>
                <w:rFonts w:ascii="Times New Roman" w:hAnsi="Times New Roman" w:cs="Times New Roman"/>
                <w:lang w:val="en-GB"/>
              </w:rPr>
              <w:t>11</w:t>
            </w:r>
          </w:p>
        </w:tc>
      </w:tr>
      <w:tr w:rsidR="00FD44D0" w:rsidRPr="00CE712A" w14:paraId="57F8E451" w14:textId="77777777" w:rsidTr="000151C3">
        <w:tc>
          <w:tcPr>
            <w:tcW w:w="3005" w:type="dxa"/>
          </w:tcPr>
          <w:p w14:paraId="48DFE553" w14:textId="280DAA8F" w:rsidR="00FD44D0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Sex, male</w:t>
            </w:r>
          </w:p>
        </w:tc>
        <w:tc>
          <w:tcPr>
            <w:tcW w:w="4645" w:type="dxa"/>
          </w:tcPr>
          <w:p w14:paraId="506D76DF" w14:textId="2BDB4EED" w:rsidR="00FD44D0" w:rsidRPr="00CE712A" w:rsidRDefault="00FD44D0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</w:t>
            </w:r>
            <w:r w:rsidR="000151C3" w:rsidRPr="00CE712A">
              <w:rPr>
                <w:rFonts w:ascii="Times New Roman" w:hAnsi="Times New Roman" w:cs="Times New Roman"/>
                <w:lang w:val="en-GB"/>
              </w:rPr>
              <w:t>43 (0.61 – 3.31)</w:t>
            </w:r>
          </w:p>
        </w:tc>
        <w:tc>
          <w:tcPr>
            <w:tcW w:w="1366" w:type="dxa"/>
          </w:tcPr>
          <w:p w14:paraId="12761B10" w14:textId="14BBA9D4" w:rsidR="000151C3" w:rsidRPr="00CE712A" w:rsidRDefault="00FD44D0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</w:t>
            </w:r>
            <w:r w:rsidR="000151C3" w:rsidRPr="00CE712A">
              <w:rPr>
                <w:rFonts w:ascii="Times New Roman" w:hAnsi="Times New Roman" w:cs="Times New Roman"/>
                <w:lang w:val="en-GB"/>
              </w:rPr>
              <w:t>41</w:t>
            </w:r>
          </w:p>
        </w:tc>
      </w:tr>
      <w:tr w:rsidR="000151C3" w:rsidRPr="00CE712A" w14:paraId="45055CEB" w14:textId="77777777" w:rsidTr="000151C3">
        <w:tc>
          <w:tcPr>
            <w:tcW w:w="3005" w:type="dxa"/>
          </w:tcPr>
          <w:p w14:paraId="123E4A45" w14:textId="56E3CEFB" w:rsidR="000151C3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 xml:space="preserve">HIV positive </w:t>
            </w:r>
          </w:p>
        </w:tc>
        <w:tc>
          <w:tcPr>
            <w:tcW w:w="4645" w:type="dxa"/>
          </w:tcPr>
          <w:p w14:paraId="7AB3F382" w14:textId="35A9E968" w:rsidR="000151C3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1.82 (0.91 – 3.64)</w:t>
            </w:r>
          </w:p>
        </w:tc>
        <w:tc>
          <w:tcPr>
            <w:tcW w:w="1366" w:type="dxa"/>
          </w:tcPr>
          <w:p w14:paraId="6491B624" w14:textId="051D1318" w:rsidR="000151C3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0.0</w:t>
            </w:r>
            <w:r w:rsidR="00D04AB3" w:rsidRPr="00CE712A">
              <w:rPr>
                <w:rFonts w:ascii="Times New Roman" w:hAnsi="Times New Roman" w:cs="Times New Roman"/>
                <w:lang w:val="en-GB"/>
              </w:rPr>
              <w:t>8</w:t>
            </w:r>
          </w:p>
        </w:tc>
      </w:tr>
      <w:tr w:rsidR="000151C3" w:rsidRPr="00CE712A" w14:paraId="4A2E290D" w14:textId="77777777" w:rsidTr="000151C3">
        <w:tc>
          <w:tcPr>
            <w:tcW w:w="3005" w:type="dxa"/>
          </w:tcPr>
          <w:p w14:paraId="3CFA976D" w14:textId="78C8BF14" w:rsidR="000151C3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AKI</w:t>
            </w:r>
          </w:p>
        </w:tc>
        <w:tc>
          <w:tcPr>
            <w:tcW w:w="4645" w:type="dxa"/>
          </w:tcPr>
          <w:p w14:paraId="748FF873" w14:textId="54BB79B6" w:rsidR="000151C3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1.80 (0.89 – 3.65)</w:t>
            </w:r>
          </w:p>
        </w:tc>
        <w:tc>
          <w:tcPr>
            <w:tcW w:w="1366" w:type="dxa"/>
          </w:tcPr>
          <w:p w14:paraId="523B5B66" w14:textId="2C8C31BC" w:rsidR="000151C3" w:rsidRPr="00CE712A" w:rsidRDefault="000151C3" w:rsidP="00964F00">
            <w:pPr>
              <w:rPr>
                <w:rFonts w:ascii="Times New Roman" w:hAnsi="Times New Roman" w:cs="Times New Roman"/>
                <w:lang w:val="en-GB"/>
              </w:rPr>
            </w:pPr>
            <w:r w:rsidRPr="00CE712A">
              <w:rPr>
                <w:rFonts w:ascii="Times New Roman" w:hAnsi="Times New Roman" w:cs="Times New Roman"/>
                <w:lang w:val="en-GB"/>
              </w:rPr>
              <w:t>0.10</w:t>
            </w:r>
          </w:p>
        </w:tc>
      </w:tr>
    </w:tbl>
    <w:p w14:paraId="65CD2C20" w14:textId="556E9F77" w:rsidR="00FD44D0" w:rsidRPr="00CE712A" w:rsidRDefault="0014023E">
      <w:pPr>
        <w:rPr>
          <w:rFonts w:ascii="Times New Roman" w:hAnsi="Times New Roman" w:cs="Times New Roman"/>
          <w:lang w:val="en-GB"/>
        </w:rPr>
      </w:pPr>
      <w:r w:rsidRPr="00CE712A">
        <w:rPr>
          <w:rFonts w:ascii="Times New Roman" w:hAnsi="Times New Roman" w:cs="Times New Roman"/>
          <w:lang w:val="en-GB"/>
        </w:rPr>
        <w:t xml:space="preserve">PCT slope calculated per patient using linear regression on log-transformed PCT over time. </w:t>
      </w:r>
    </w:p>
    <w:p w14:paraId="5C0C6C78" w14:textId="4FD361DB" w:rsidR="0014023E" w:rsidRPr="00CE712A" w:rsidRDefault="0014023E">
      <w:pPr>
        <w:rPr>
          <w:rFonts w:ascii="Times New Roman" w:hAnsi="Times New Roman" w:cs="Times New Roman"/>
          <w:lang w:val="en-GB"/>
        </w:rPr>
      </w:pPr>
      <w:r w:rsidRPr="00CE712A">
        <w:rPr>
          <w:rFonts w:ascii="Times New Roman" w:hAnsi="Times New Roman" w:cs="Times New Roman"/>
          <w:lang w:val="en-GB"/>
        </w:rPr>
        <w:t>CI: confidence interval, PCT: procalcitonin, HIV: human immunodeficiency virus, AKI: acute kidney injury</w:t>
      </w:r>
    </w:p>
    <w:p w14:paraId="634A6FC3" w14:textId="483E0D09" w:rsidR="0014023E" w:rsidRPr="00CE712A" w:rsidRDefault="0014023E">
      <w:pPr>
        <w:rPr>
          <w:rFonts w:ascii="Times New Roman" w:hAnsi="Times New Roman" w:cs="Times New Roman"/>
          <w:lang w:val="en-GB"/>
        </w:rPr>
      </w:pPr>
    </w:p>
    <w:sectPr w:rsidR="0014023E" w:rsidRPr="00CE7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00D00"/>
    <w:multiLevelType w:val="hybridMultilevel"/>
    <w:tmpl w:val="E6BEA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6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78"/>
    <w:rsid w:val="000151C3"/>
    <w:rsid w:val="000F5C32"/>
    <w:rsid w:val="00114269"/>
    <w:rsid w:val="00122F20"/>
    <w:rsid w:val="0014023E"/>
    <w:rsid w:val="00243910"/>
    <w:rsid w:val="003129A5"/>
    <w:rsid w:val="00363DEB"/>
    <w:rsid w:val="00382218"/>
    <w:rsid w:val="005104C1"/>
    <w:rsid w:val="00552678"/>
    <w:rsid w:val="00580DE7"/>
    <w:rsid w:val="005C6FCB"/>
    <w:rsid w:val="006133C4"/>
    <w:rsid w:val="006F7B5C"/>
    <w:rsid w:val="008A410E"/>
    <w:rsid w:val="008C6331"/>
    <w:rsid w:val="00947B44"/>
    <w:rsid w:val="00A620B2"/>
    <w:rsid w:val="00B4410D"/>
    <w:rsid w:val="00BC361D"/>
    <w:rsid w:val="00C23603"/>
    <w:rsid w:val="00C505E8"/>
    <w:rsid w:val="00CE712A"/>
    <w:rsid w:val="00D04AB3"/>
    <w:rsid w:val="00DA6824"/>
    <w:rsid w:val="00F71420"/>
    <w:rsid w:val="00FD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BC234C"/>
  <w15:chartTrackingRefBased/>
  <w15:docId w15:val="{A38572E3-D3C0-EC47-8728-F595E51B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6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6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6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6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6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6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6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6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3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Fataar, Aaqilah, Dr [16992431@sun.ac.za]</dc:creator>
  <cp:keywords/>
  <dc:description/>
  <cp:lastModifiedBy>Fataar, Aaqilah, Dr [16992431@sun.ac.za]</cp:lastModifiedBy>
  <cp:revision>33</cp:revision>
  <dcterms:created xsi:type="dcterms:W3CDTF">2025-05-29T09:41:00Z</dcterms:created>
  <dcterms:modified xsi:type="dcterms:W3CDTF">2025-06-20T11:49:00Z</dcterms:modified>
</cp:coreProperties>
</file>