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6B1F" w14:textId="62296922" w:rsidR="00DA24A9" w:rsidRDefault="00DA24A9" w:rsidP="00DA24A9">
      <w:pPr>
        <w:rPr>
          <w:b/>
          <w:bCs/>
          <w:lang w:val="en-US"/>
        </w:rPr>
      </w:pPr>
      <w:r>
        <w:rPr>
          <w:b/>
          <w:bCs/>
          <w:lang w:val="en-US"/>
        </w:rPr>
        <w:t>Legends Supplementary Material</w:t>
      </w:r>
    </w:p>
    <w:p w14:paraId="2853A649" w14:textId="77777777" w:rsidR="00DA24A9" w:rsidRDefault="00DA24A9" w:rsidP="00DA24A9">
      <w:pPr>
        <w:rPr>
          <w:b/>
          <w:bCs/>
          <w:lang w:val="en-US"/>
        </w:rPr>
      </w:pPr>
    </w:p>
    <w:p w14:paraId="16490B62" w14:textId="16DB20FC" w:rsidR="00DA24A9" w:rsidRPr="00690CAE" w:rsidRDefault="00DA24A9" w:rsidP="00DA24A9">
      <w:pPr>
        <w:rPr>
          <w:b/>
          <w:bCs/>
          <w:lang w:val="en-US"/>
        </w:rPr>
      </w:pPr>
      <w:r w:rsidRPr="00690CAE">
        <w:rPr>
          <w:b/>
          <w:bCs/>
          <w:lang w:val="en-US"/>
        </w:rPr>
        <w:t xml:space="preserve">Supplementary </w:t>
      </w:r>
      <w:r>
        <w:rPr>
          <w:b/>
          <w:bCs/>
          <w:lang w:val="en-US"/>
        </w:rPr>
        <w:t>F</w:t>
      </w:r>
      <w:r w:rsidRPr="00690CAE">
        <w:rPr>
          <w:b/>
          <w:bCs/>
          <w:lang w:val="en-US"/>
        </w:rPr>
        <w:t>igure 1</w:t>
      </w:r>
    </w:p>
    <w:p w14:paraId="0B46726A" w14:textId="185DBDA1" w:rsidR="00DA24A9" w:rsidRDefault="00DA24A9" w:rsidP="00DA24A9">
      <w:pPr>
        <w:rPr>
          <w:b/>
          <w:bCs/>
          <w:lang w:val="en-US"/>
        </w:rPr>
      </w:pPr>
      <w:r>
        <w:rPr>
          <w:lang w:val="en-US"/>
        </w:rPr>
        <w:t xml:space="preserve">IR spectra of kidney stones from all 7 patients described in the paper. The patients in </w:t>
      </w:r>
      <w:r>
        <w:rPr>
          <w:lang w:val="en-US"/>
        </w:rPr>
        <w:t xml:space="preserve">F </w:t>
      </w:r>
      <w:proofErr w:type="spellStart"/>
      <w:r>
        <w:rPr>
          <w:lang w:val="en-US"/>
        </w:rPr>
        <w:t>igure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(</w:t>
      </w:r>
      <w:r>
        <w:rPr>
          <w:lang w:val="en-US"/>
        </w:rPr>
        <w:t>A – E</w:t>
      </w:r>
      <w:r>
        <w:rPr>
          <w:lang w:val="en-US"/>
        </w:rPr>
        <w:t xml:space="preserve">) </w:t>
      </w:r>
      <w:r>
        <w:rPr>
          <w:lang w:val="en-US"/>
        </w:rPr>
        <w:t xml:space="preserve">and </w:t>
      </w:r>
      <w:r>
        <w:rPr>
          <w:lang w:val="en-US"/>
        </w:rPr>
        <w:t>(</w:t>
      </w:r>
      <w:r>
        <w:rPr>
          <w:lang w:val="en-US"/>
        </w:rPr>
        <w:t>G</w:t>
      </w:r>
      <w:r>
        <w:rPr>
          <w:lang w:val="en-US"/>
        </w:rPr>
        <w:t>)</w:t>
      </w:r>
      <w:r>
        <w:rPr>
          <w:lang w:val="en-US"/>
        </w:rPr>
        <w:t xml:space="preserve"> have stones predominantly containing 1-methyluric acid and a small amount of uric acid, whereas the patient in </w:t>
      </w:r>
      <w:r>
        <w:rPr>
          <w:lang w:val="en-US"/>
        </w:rPr>
        <w:t>(</w:t>
      </w:r>
      <w:r>
        <w:rPr>
          <w:lang w:val="en-US"/>
        </w:rPr>
        <w:t>F</w:t>
      </w:r>
      <w:r>
        <w:rPr>
          <w:lang w:val="en-US"/>
        </w:rPr>
        <w:t>)</w:t>
      </w:r>
      <w:r>
        <w:rPr>
          <w:lang w:val="en-US"/>
        </w:rPr>
        <w:t xml:space="preserve"> has a stone mainly containing </w:t>
      </w:r>
      <w:proofErr w:type="spellStart"/>
      <w:r>
        <w:rPr>
          <w:lang w:val="en-US"/>
        </w:rPr>
        <w:t>Whewellit</w:t>
      </w:r>
      <w:proofErr w:type="spellEnd"/>
      <w:r>
        <w:rPr>
          <w:lang w:val="en-US"/>
        </w:rPr>
        <w:t xml:space="preserve"> (Calcium Oxalate, monohydrate) with a small admixture of 1-methyluric acid (20 – 30 %) and Calcium Apatite (10 %). </w:t>
      </w:r>
    </w:p>
    <w:p w14:paraId="4A6845FC" w14:textId="77777777" w:rsidR="00DA24A9" w:rsidRDefault="00DA24A9" w:rsidP="00DA24A9">
      <w:pPr>
        <w:rPr>
          <w:b/>
          <w:bCs/>
          <w:lang w:val="en-US"/>
        </w:rPr>
      </w:pPr>
    </w:p>
    <w:p w14:paraId="5D55408F" w14:textId="7C3B5179" w:rsidR="00DA24A9" w:rsidRPr="00857BFC" w:rsidRDefault="00DA24A9" w:rsidP="00DA24A9">
      <w:pPr>
        <w:rPr>
          <w:rFonts w:eastAsia="Source Sans Pro" w:cs="Times New Roman"/>
          <w:b/>
          <w:bCs/>
        </w:rPr>
      </w:pPr>
      <w:r>
        <w:rPr>
          <w:rFonts w:eastAsia="Source Sans Pro" w:cs="Times New Roman"/>
          <w:b/>
          <w:bCs/>
        </w:rPr>
        <w:t xml:space="preserve">Supplementary </w:t>
      </w:r>
      <w:r>
        <w:rPr>
          <w:rFonts w:eastAsia="Source Sans Pro" w:cs="Times New Roman"/>
          <w:b/>
          <w:bCs/>
        </w:rPr>
        <w:t>T</w:t>
      </w:r>
      <w:r w:rsidRPr="00857BFC">
        <w:rPr>
          <w:rFonts w:eastAsia="Source Sans Pro" w:cs="Times New Roman"/>
          <w:b/>
          <w:bCs/>
        </w:rPr>
        <w:t>able 1. Biochemical information and daily intake of coffee / tea</w:t>
      </w:r>
      <w:r>
        <w:rPr>
          <w:rFonts w:eastAsia="Source Sans Pro" w:cs="Times New Roman"/>
          <w:b/>
          <w:bCs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8"/>
        <w:gridCol w:w="1507"/>
        <w:gridCol w:w="1636"/>
        <w:gridCol w:w="1392"/>
        <w:gridCol w:w="1508"/>
        <w:gridCol w:w="1511"/>
      </w:tblGrid>
      <w:tr w:rsidR="00DA24A9" w:rsidRPr="00867E41" w14:paraId="655C9AB3" w14:textId="77777777" w:rsidTr="001003A7">
        <w:trPr>
          <w:trHeight w:val="474"/>
        </w:trPr>
        <w:tc>
          <w:tcPr>
            <w:tcW w:w="1517" w:type="dxa"/>
          </w:tcPr>
          <w:p w14:paraId="2A9A8685" w14:textId="77777777" w:rsidR="00DA24A9" w:rsidRPr="00CC610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</w:p>
        </w:tc>
        <w:tc>
          <w:tcPr>
            <w:tcW w:w="1517" w:type="dxa"/>
          </w:tcPr>
          <w:p w14:paraId="05275B43" w14:textId="77777777" w:rsidR="00DA24A9" w:rsidRPr="00867E4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867E41">
              <w:rPr>
                <w:rFonts w:eastAsia="Source Sans Pro"/>
                <w:b/>
                <w:bCs/>
              </w:rPr>
              <w:t>Sex</w:t>
            </w:r>
          </w:p>
        </w:tc>
        <w:tc>
          <w:tcPr>
            <w:tcW w:w="1639" w:type="dxa"/>
          </w:tcPr>
          <w:p w14:paraId="51E4BCA1" w14:textId="77777777" w:rsidR="00DA24A9" w:rsidRPr="00867E4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867E41">
              <w:rPr>
                <w:rFonts w:eastAsia="Source Sans Pro"/>
                <w:b/>
                <w:bCs/>
              </w:rPr>
              <w:t>P-Creatinine*</w:t>
            </w:r>
          </w:p>
        </w:tc>
        <w:tc>
          <w:tcPr>
            <w:tcW w:w="1396" w:type="dxa"/>
          </w:tcPr>
          <w:p w14:paraId="4F255B88" w14:textId="77777777" w:rsidR="00DA24A9" w:rsidRPr="00867E4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867E41">
              <w:rPr>
                <w:rFonts w:eastAsia="Source Sans Pro"/>
                <w:b/>
                <w:bCs/>
              </w:rPr>
              <w:t>P-Urate**</w:t>
            </w:r>
          </w:p>
        </w:tc>
        <w:tc>
          <w:tcPr>
            <w:tcW w:w="1518" w:type="dxa"/>
          </w:tcPr>
          <w:p w14:paraId="67355196" w14:textId="77777777" w:rsidR="00DA24A9" w:rsidRPr="00867E4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867E41">
              <w:rPr>
                <w:rFonts w:eastAsia="Source Sans Pro"/>
                <w:b/>
                <w:bCs/>
              </w:rPr>
              <w:t>U-pH</w:t>
            </w:r>
          </w:p>
        </w:tc>
        <w:tc>
          <w:tcPr>
            <w:tcW w:w="1518" w:type="dxa"/>
          </w:tcPr>
          <w:p w14:paraId="0387D7E3" w14:textId="77777777" w:rsidR="00DA24A9" w:rsidRPr="00867E4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867E41">
              <w:rPr>
                <w:rFonts w:eastAsia="Source Sans Pro"/>
                <w:b/>
                <w:bCs/>
              </w:rPr>
              <w:t>Intake of</w:t>
            </w:r>
          </w:p>
          <w:p w14:paraId="0D71E4A1" w14:textId="65442BB2" w:rsidR="00DA24A9" w:rsidRPr="00867E4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>
              <w:rPr>
                <w:rFonts w:eastAsia="Source Sans Pro"/>
                <w:b/>
                <w:bCs/>
              </w:rPr>
              <w:t>c</w:t>
            </w:r>
            <w:r w:rsidRPr="00867E41">
              <w:rPr>
                <w:rFonts w:eastAsia="Source Sans Pro"/>
                <w:b/>
                <w:bCs/>
              </w:rPr>
              <w:t xml:space="preserve">offee / </w:t>
            </w:r>
            <w:r>
              <w:rPr>
                <w:rFonts w:eastAsia="Source Sans Pro"/>
                <w:b/>
                <w:bCs/>
              </w:rPr>
              <w:t>t</w:t>
            </w:r>
            <w:r w:rsidRPr="00867E41">
              <w:rPr>
                <w:rFonts w:eastAsia="Source Sans Pro"/>
                <w:b/>
                <w:bCs/>
              </w:rPr>
              <w:t>ea</w:t>
            </w:r>
          </w:p>
        </w:tc>
      </w:tr>
      <w:tr w:rsidR="00DA24A9" w:rsidRPr="00867E41" w14:paraId="4395720F" w14:textId="77777777" w:rsidTr="001003A7">
        <w:trPr>
          <w:trHeight w:val="458"/>
        </w:trPr>
        <w:tc>
          <w:tcPr>
            <w:tcW w:w="1517" w:type="dxa"/>
          </w:tcPr>
          <w:p w14:paraId="2CA7B74B" w14:textId="77777777" w:rsidR="00DA24A9" w:rsidRPr="00CC610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Case</w:t>
            </w:r>
          </w:p>
        </w:tc>
        <w:tc>
          <w:tcPr>
            <w:tcW w:w="1517" w:type="dxa"/>
          </w:tcPr>
          <w:p w14:paraId="392F9229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</w:p>
        </w:tc>
        <w:tc>
          <w:tcPr>
            <w:tcW w:w="1639" w:type="dxa"/>
          </w:tcPr>
          <w:p w14:paraId="71070788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µmol/L</w:t>
            </w:r>
          </w:p>
        </w:tc>
        <w:tc>
          <w:tcPr>
            <w:tcW w:w="1396" w:type="dxa"/>
          </w:tcPr>
          <w:p w14:paraId="35B8E80A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mmol/L</w:t>
            </w:r>
          </w:p>
        </w:tc>
        <w:tc>
          <w:tcPr>
            <w:tcW w:w="1518" w:type="dxa"/>
          </w:tcPr>
          <w:p w14:paraId="11AA9663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</w:p>
        </w:tc>
        <w:tc>
          <w:tcPr>
            <w:tcW w:w="1518" w:type="dxa"/>
          </w:tcPr>
          <w:p w14:paraId="585803C5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Cups</w:t>
            </w:r>
          </w:p>
        </w:tc>
      </w:tr>
      <w:tr w:rsidR="00DA24A9" w:rsidRPr="00867E41" w14:paraId="5F2FCE65" w14:textId="77777777" w:rsidTr="001003A7">
        <w:trPr>
          <w:trHeight w:val="474"/>
        </w:trPr>
        <w:tc>
          <w:tcPr>
            <w:tcW w:w="1517" w:type="dxa"/>
          </w:tcPr>
          <w:p w14:paraId="57458CF4" w14:textId="77777777" w:rsidR="00DA24A9" w:rsidRPr="00CC610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1</w:t>
            </w:r>
          </w:p>
        </w:tc>
        <w:tc>
          <w:tcPr>
            <w:tcW w:w="1517" w:type="dxa"/>
          </w:tcPr>
          <w:p w14:paraId="223D4EE0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M </w:t>
            </w:r>
          </w:p>
        </w:tc>
        <w:tc>
          <w:tcPr>
            <w:tcW w:w="1639" w:type="dxa"/>
          </w:tcPr>
          <w:p w14:paraId="25079FDF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148 – 170</w:t>
            </w:r>
          </w:p>
        </w:tc>
        <w:tc>
          <w:tcPr>
            <w:tcW w:w="1396" w:type="dxa"/>
          </w:tcPr>
          <w:p w14:paraId="308D0634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0.37</w:t>
            </w:r>
          </w:p>
        </w:tc>
        <w:tc>
          <w:tcPr>
            <w:tcW w:w="1518" w:type="dxa"/>
          </w:tcPr>
          <w:p w14:paraId="2D33CAB7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6.0</w:t>
            </w:r>
          </w:p>
        </w:tc>
        <w:tc>
          <w:tcPr>
            <w:tcW w:w="1518" w:type="dxa"/>
          </w:tcPr>
          <w:p w14:paraId="36F48F72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</w:p>
        </w:tc>
      </w:tr>
      <w:tr w:rsidR="00DA24A9" w:rsidRPr="00867E41" w14:paraId="45F5CB1E" w14:textId="77777777" w:rsidTr="001003A7">
        <w:trPr>
          <w:trHeight w:val="474"/>
        </w:trPr>
        <w:tc>
          <w:tcPr>
            <w:tcW w:w="1517" w:type="dxa"/>
          </w:tcPr>
          <w:p w14:paraId="480DEB8E" w14:textId="77777777" w:rsidR="00DA24A9" w:rsidRPr="00CC610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2</w:t>
            </w:r>
          </w:p>
        </w:tc>
        <w:tc>
          <w:tcPr>
            <w:tcW w:w="1517" w:type="dxa"/>
          </w:tcPr>
          <w:p w14:paraId="591291E2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M </w:t>
            </w:r>
          </w:p>
        </w:tc>
        <w:tc>
          <w:tcPr>
            <w:tcW w:w="1639" w:type="dxa"/>
          </w:tcPr>
          <w:p w14:paraId="38736923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192</w:t>
            </w:r>
          </w:p>
        </w:tc>
        <w:tc>
          <w:tcPr>
            <w:tcW w:w="1396" w:type="dxa"/>
          </w:tcPr>
          <w:p w14:paraId="3E953BFB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0.57</w:t>
            </w:r>
          </w:p>
        </w:tc>
        <w:tc>
          <w:tcPr>
            <w:tcW w:w="1518" w:type="dxa"/>
          </w:tcPr>
          <w:p w14:paraId="7E2AE4F8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6.0</w:t>
            </w:r>
          </w:p>
        </w:tc>
        <w:tc>
          <w:tcPr>
            <w:tcW w:w="1518" w:type="dxa"/>
          </w:tcPr>
          <w:p w14:paraId="4E9F07A9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8</w:t>
            </w:r>
          </w:p>
        </w:tc>
      </w:tr>
      <w:tr w:rsidR="00DA24A9" w:rsidRPr="00867E41" w14:paraId="00FCF5FA" w14:textId="77777777" w:rsidTr="001003A7">
        <w:trPr>
          <w:trHeight w:val="458"/>
        </w:trPr>
        <w:tc>
          <w:tcPr>
            <w:tcW w:w="1517" w:type="dxa"/>
          </w:tcPr>
          <w:p w14:paraId="017E06E2" w14:textId="77777777" w:rsidR="00DA24A9" w:rsidRPr="00CC610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3</w:t>
            </w:r>
          </w:p>
        </w:tc>
        <w:tc>
          <w:tcPr>
            <w:tcW w:w="1517" w:type="dxa"/>
          </w:tcPr>
          <w:p w14:paraId="5ADABC6E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F</w:t>
            </w:r>
          </w:p>
        </w:tc>
        <w:tc>
          <w:tcPr>
            <w:tcW w:w="1639" w:type="dxa"/>
          </w:tcPr>
          <w:p w14:paraId="147BA7E0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149</w:t>
            </w:r>
          </w:p>
        </w:tc>
        <w:tc>
          <w:tcPr>
            <w:tcW w:w="1396" w:type="dxa"/>
          </w:tcPr>
          <w:p w14:paraId="66E3E822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</w:p>
        </w:tc>
        <w:tc>
          <w:tcPr>
            <w:tcW w:w="1518" w:type="dxa"/>
          </w:tcPr>
          <w:p w14:paraId="504D3D30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</w:p>
        </w:tc>
        <w:tc>
          <w:tcPr>
            <w:tcW w:w="1518" w:type="dxa"/>
          </w:tcPr>
          <w:p w14:paraId="3E31364D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</w:p>
        </w:tc>
      </w:tr>
      <w:tr w:rsidR="00DA24A9" w:rsidRPr="00867E41" w14:paraId="38A2B85D" w14:textId="77777777" w:rsidTr="001003A7">
        <w:trPr>
          <w:trHeight w:val="474"/>
        </w:trPr>
        <w:tc>
          <w:tcPr>
            <w:tcW w:w="1517" w:type="dxa"/>
          </w:tcPr>
          <w:p w14:paraId="03752EAC" w14:textId="77777777" w:rsidR="00DA24A9" w:rsidRPr="00CC610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4</w:t>
            </w:r>
          </w:p>
        </w:tc>
        <w:tc>
          <w:tcPr>
            <w:tcW w:w="1517" w:type="dxa"/>
          </w:tcPr>
          <w:p w14:paraId="418C2E77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F </w:t>
            </w:r>
          </w:p>
        </w:tc>
        <w:tc>
          <w:tcPr>
            <w:tcW w:w="1639" w:type="dxa"/>
          </w:tcPr>
          <w:p w14:paraId="39DF5020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120</w:t>
            </w:r>
          </w:p>
        </w:tc>
        <w:tc>
          <w:tcPr>
            <w:tcW w:w="1396" w:type="dxa"/>
          </w:tcPr>
          <w:p w14:paraId="47119B64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0.48</w:t>
            </w:r>
          </w:p>
        </w:tc>
        <w:tc>
          <w:tcPr>
            <w:tcW w:w="1518" w:type="dxa"/>
          </w:tcPr>
          <w:p w14:paraId="098314E9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5.5</w:t>
            </w:r>
          </w:p>
        </w:tc>
        <w:tc>
          <w:tcPr>
            <w:tcW w:w="1518" w:type="dxa"/>
          </w:tcPr>
          <w:p w14:paraId="04C5F05C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3-4</w:t>
            </w:r>
          </w:p>
        </w:tc>
      </w:tr>
      <w:tr w:rsidR="00DA24A9" w:rsidRPr="00867E41" w14:paraId="5801AFA8" w14:textId="77777777" w:rsidTr="001003A7">
        <w:trPr>
          <w:trHeight w:val="474"/>
        </w:trPr>
        <w:tc>
          <w:tcPr>
            <w:tcW w:w="1517" w:type="dxa"/>
          </w:tcPr>
          <w:p w14:paraId="55879170" w14:textId="77777777" w:rsidR="00DA24A9" w:rsidRPr="00CC610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5</w:t>
            </w:r>
          </w:p>
        </w:tc>
        <w:tc>
          <w:tcPr>
            <w:tcW w:w="1517" w:type="dxa"/>
          </w:tcPr>
          <w:p w14:paraId="4CE364BB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M </w:t>
            </w:r>
          </w:p>
        </w:tc>
        <w:tc>
          <w:tcPr>
            <w:tcW w:w="1639" w:type="dxa"/>
          </w:tcPr>
          <w:p w14:paraId="4A9C3B1E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84</w:t>
            </w:r>
          </w:p>
        </w:tc>
        <w:tc>
          <w:tcPr>
            <w:tcW w:w="1396" w:type="dxa"/>
          </w:tcPr>
          <w:p w14:paraId="6694B7ED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0.47</w:t>
            </w:r>
          </w:p>
        </w:tc>
        <w:tc>
          <w:tcPr>
            <w:tcW w:w="1518" w:type="dxa"/>
          </w:tcPr>
          <w:p w14:paraId="7260EA9E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5.5</w:t>
            </w:r>
          </w:p>
        </w:tc>
        <w:tc>
          <w:tcPr>
            <w:tcW w:w="1518" w:type="dxa"/>
          </w:tcPr>
          <w:p w14:paraId="0B15A258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</w:p>
        </w:tc>
      </w:tr>
      <w:tr w:rsidR="00DA24A9" w:rsidRPr="00867E41" w14:paraId="2346A75F" w14:textId="77777777" w:rsidTr="001003A7">
        <w:trPr>
          <w:trHeight w:val="458"/>
        </w:trPr>
        <w:tc>
          <w:tcPr>
            <w:tcW w:w="1517" w:type="dxa"/>
          </w:tcPr>
          <w:p w14:paraId="53BCA7E2" w14:textId="77777777" w:rsidR="00DA24A9" w:rsidRPr="00CC610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6</w:t>
            </w:r>
          </w:p>
        </w:tc>
        <w:tc>
          <w:tcPr>
            <w:tcW w:w="1517" w:type="dxa"/>
          </w:tcPr>
          <w:p w14:paraId="07815981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M </w:t>
            </w:r>
          </w:p>
        </w:tc>
        <w:tc>
          <w:tcPr>
            <w:tcW w:w="1639" w:type="dxa"/>
          </w:tcPr>
          <w:p w14:paraId="08535985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160-200</w:t>
            </w:r>
          </w:p>
        </w:tc>
        <w:tc>
          <w:tcPr>
            <w:tcW w:w="1396" w:type="dxa"/>
          </w:tcPr>
          <w:p w14:paraId="009E0AE1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0.49 – 0.51</w:t>
            </w:r>
          </w:p>
        </w:tc>
        <w:tc>
          <w:tcPr>
            <w:tcW w:w="1518" w:type="dxa"/>
          </w:tcPr>
          <w:p w14:paraId="4A13F8C2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5.5</w:t>
            </w:r>
          </w:p>
        </w:tc>
        <w:tc>
          <w:tcPr>
            <w:tcW w:w="1518" w:type="dxa"/>
          </w:tcPr>
          <w:p w14:paraId="7B3B0BF5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4-5 / 1</w:t>
            </w:r>
          </w:p>
        </w:tc>
      </w:tr>
      <w:tr w:rsidR="00DA24A9" w:rsidRPr="00867E41" w14:paraId="18B8CC57" w14:textId="77777777" w:rsidTr="001003A7">
        <w:trPr>
          <w:trHeight w:val="474"/>
        </w:trPr>
        <w:tc>
          <w:tcPr>
            <w:tcW w:w="1517" w:type="dxa"/>
          </w:tcPr>
          <w:p w14:paraId="688FBA9B" w14:textId="77777777" w:rsidR="00DA24A9" w:rsidRPr="00CC6101" w:rsidRDefault="00DA24A9" w:rsidP="001003A7">
            <w:pPr>
              <w:jc w:val="center"/>
              <w:rPr>
                <w:rFonts w:eastAsia="Source Sans Pro"/>
                <w:b/>
                <w:bCs/>
              </w:rPr>
            </w:pPr>
            <w:r w:rsidRPr="00CC6101">
              <w:rPr>
                <w:rFonts w:eastAsia="Source Sans Pro"/>
                <w:b/>
                <w:bCs/>
              </w:rPr>
              <w:t>7</w:t>
            </w:r>
          </w:p>
        </w:tc>
        <w:tc>
          <w:tcPr>
            <w:tcW w:w="1517" w:type="dxa"/>
          </w:tcPr>
          <w:p w14:paraId="6CF6B701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 xml:space="preserve">F </w:t>
            </w:r>
          </w:p>
        </w:tc>
        <w:tc>
          <w:tcPr>
            <w:tcW w:w="1639" w:type="dxa"/>
          </w:tcPr>
          <w:p w14:paraId="4FD79461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197</w:t>
            </w:r>
          </w:p>
        </w:tc>
        <w:tc>
          <w:tcPr>
            <w:tcW w:w="1396" w:type="dxa"/>
          </w:tcPr>
          <w:p w14:paraId="1C642030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0.72</w:t>
            </w:r>
          </w:p>
        </w:tc>
        <w:tc>
          <w:tcPr>
            <w:tcW w:w="1518" w:type="dxa"/>
          </w:tcPr>
          <w:p w14:paraId="483387D6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6.0</w:t>
            </w:r>
          </w:p>
        </w:tc>
        <w:tc>
          <w:tcPr>
            <w:tcW w:w="1518" w:type="dxa"/>
          </w:tcPr>
          <w:p w14:paraId="7BEEF1A2" w14:textId="77777777" w:rsidR="00DA24A9" w:rsidRPr="00867E41" w:rsidRDefault="00DA24A9" w:rsidP="001003A7">
            <w:pPr>
              <w:jc w:val="center"/>
              <w:rPr>
                <w:rFonts w:eastAsia="Source Sans Pro"/>
              </w:rPr>
            </w:pPr>
            <w:r w:rsidRPr="00867E41">
              <w:rPr>
                <w:rFonts w:eastAsia="Source Sans Pro"/>
              </w:rPr>
              <w:t>6-8</w:t>
            </w:r>
          </w:p>
        </w:tc>
      </w:tr>
    </w:tbl>
    <w:p w14:paraId="0483DC15" w14:textId="77777777" w:rsidR="00DA24A9" w:rsidRPr="00867E41" w:rsidRDefault="00DA24A9" w:rsidP="00DA24A9">
      <w:pPr>
        <w:spacing w:after="0"/>
        <w:rPr>
          <w:rFonts w:eastAsia="Source Sans Pro" w:cs="Times New Roman"/>
        </w:rPr>
      </w:pPr>
      <w:r w:rsidRPr="00867E41">
        <w:rPr>
          <w:rFonts w:eastAsia="Source Sans Pro" w:cs="Times New Roman"/>
        </w:rPr>
        <w:t>* Reference interval: Females 45-90 µmol/L; Males 60 – 105 µmol/L</w:t>
      </w:r>
    </w:p>
    <w:p w14:paraId="519EC721" w14:textId="77777777" w:rsidR="00DA24A9" w:rsidRPr="00867E41" w:rsidRDefault="00DA24A9" w:rsidP="00DA24A9">
      <w:pPr>
        <w:rPr>
          <w:rFonts w:eastAsia="Source Sans Pro" w:cs="Times New Roman"/>
        </w:rPr>
      </w:pPr>
      <w:r w:rsidRPr="00867E41">
        <w:rPr>
          <w:rFonts w:eastAsia="Source Sans Pro" w:cs="Times New Roman"/>
        </w:rPr>
        <w:t>** Reference interval: Females 0.16 – 0.40 mmol/L; Males 0.23 – 0.48 mmol/L</w:t>
      </w:r>
    </w:p>
    <w:p w14:paraId="62D80F69" w14:textId="77777777" w:rsidR="00DA24A9" w:rsidRPr="00DA24A9" w:rsidRDefault="00DA24A9" w:rsidP="00DA24A9"/>
    <w:p w14:paraId="3399C73E" w14:textId="77777777" w:rsidR="003F7049" w:rsidRPr="00DA24A9" w:rsidRDefault="003F7049">
      <w:pPr>
        <w:rPr>
          <w:lang w:val="en-US"/>
        </w:rPr>
      </w:pPr>
    </w:p>
    <w:sectPr w:rsidR="003F7049" w:rsidRPr="00DA24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A9"/>
    <w:rsid w:val="003F7049"/>
    <w:rsid w:val="00455F37"/>
    <w:rsid w:val="008B1869"/>
    <w:rsid w:val="00957092"/>
    <w:rsid w:val="00B91659"/>
    <w:rsid w:val="00DA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47B6"/>
  <w15:chartTrackingRefBased/>
  <w15:docId w15:val="{9C025E94-49D3-44F1-8C93-5BA9C815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24A9"/>
    <w:pPr>
      <w:spacing w:after="170" w:line="280" w:lineRule="atLeast"/>
    </w:pPr>
    <w:rPr>
      <w:rFonts w:ascii="Source Sans Pro" w:hAnsi="Source Sans Pro"/>
      <w:kern w:val="0"/>
      <w:lang w:val="da-DK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A24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24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24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24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24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24A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24A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24A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24A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2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2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2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24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24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24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24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24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24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2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A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24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2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24A9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A24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24A9"/>
    <w:pPr>
      <w:spacing w:after="160" w:line="259" w:lineRule="auto"/>
      <w:ind w:left="720"/>
      <w:contextualSpacing/>
    </w:pPr>
    <w:rPr>
      <w:rFonts w:asciiTheme="minorHAnsi" w:hAnsiTheme="minorHAnsi"/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A24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2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24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24A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DA24A9"/>
    <w:pPr>
      <w:spacing w:after="0" w:line="280" w:lineRule="atLeast"/>
    </w:pPr>
    <w:rPr>
      <w:rFonts w:ascii="Source Sans Pro" w:hAnsi="Source Sans Pro"/>
      <w:kern w:val="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Company>Walter de Gruyter GmbH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2025-08-11T14:18:00Z</dcterms:created>
  <dcterms:modified xsi:type="dcterms:W3CDTF">2025-08-11T14:20:00Z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2025-08-11T14:20:41Z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cb38baa0-d315-4b61-898a-61107fb1f3e2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