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293EE5" w:rsidP="6282E75D" w:rsidRDefault="5AC7A3A7" w14:paraId="47994294" w14:textId="636388C9">
      <w:pPr>
        <w:spacing w:after="0" w:line="240" w:lineRule="auto"/>
        <w:rPr>
          <w:sz w:val="20"/>
          <w:szCs w:val="20"/>
          <w:lang w:val="en-US"/>
        </w:rPr>
      </w:pPr>
      <w:r w:rsidRPr="6282E75D">
        <w:rPr>
          <w:b/>
          <w:bCs/>
          <w:sz w:val="20"/>
          <w:szCs w:val="20"/>
          <w:lang w:val="en-US"/>
        </w:rPr>
        <w:t>Supplemental Methods</w:t>
      </w:r>
      <w:r w:rsidRPr="6282E75D" w:rsidR="61788959">
        <w:rPr>
          <w:b/>
          <w:bCs/>
          <w:sz w:val="20"/>
          <w:szCs w:val="20"/>
          <w:lang w:val="en-US"/>
        </w:rPr>
        <w:t>:</w:t>
      </w:r>
    </w:p>
    <w:p w:rsidRPr="006A4384" w:rsidR="00293EE5" w:rsidP="686BD993" w:rsidRDefault="583C3B27" w14:paraId="03562153" w14:textId="35C8CFE1">
      <w:pPr>
        <w:spacing w:after="0" w:line="240" w:lineRule="auto"/>
        <w:jc w:val="both"/>
        <w:rPr>
          <w:sz w:val="20"/>
          <w:szCs w:val="20"/>
          <w:lang w:val="en-US"/>
        </w:rPr>
      </w:pPr>
      <w:r w:rsidRPr="3DAE8182">
        <w:rPr>
          <w:sz w:val="20"/>
          <w:szCs w:val="20"/>
          <w:lang w:val="en-US"/>
        </w:rPr>
        <w:t xml:space="preserve">The average values and dispersion of </w:t>
      </w:r>
      <w:r w:rsidRPr="3DAE8182" w:rsidR="572012F9">
        <w:rPr>
          <w:sz w:val="20"/>
          <w:szCs w:val="20"/>
          <w:lang w:val="en-US"/>
        </w:rPr>
        <w:t xml:space="preserve">the results obtained in the </w:t>
      </w:r>
      <w:r w:rsidRPr="3DAE8182" w:rsidR="28506510">
        <w:rPr>
          <w:sz w:val="20"/>
          <w:szCs w:val="20"/>
          <w:lang w:val="en-US"/>
        </w:rPr>
        <w:t>external quality assessment (</w:t>
      </w:r>
      <w:r w:rsidRPr="3DAE8182" w:rsidR="572012F9">
        <w:rPr>
          <w:sz w:val="20"/>
          <w:szCs w:val="20"/>
          <w:lang w:val="en-US"/>
        </w:rPr>
        <w:t>EQA</w:t>
      </w:r>
      <w:r w:rsidRPr="3DAE8182" w:rsidR="411D812A">
        <w:rPr>
          <w:sz w:val="20"/>
          <w:szCs w:val="20"/>
          <w:lang w:val="en-US"/>
        </w:rPr>
        <w:t>)</w:t>
      </w:r>
      <w:r w:rsidRPr="3DAE8182" w:rsidR="572012F9">
        <w:rPr>
          <w:sz w:val="20"/>
          <w:szCs w:val="20"/>
          <w:lang w:val="en-US"/>
        </w:rPr>
        <w:t xml:space="preserve"> round</w:t>
      </w:r>
      <w:r w:rsidRPr="3DAE8182">
        <w:rPr>
          <w:sz w:val="20"/>
          <w:szCs w:val="20"/>
          <w:lang w:val="en-US"/>
        </w:rPr>
        <w:t xml:space="preserve"> were estimated using robust statistics</w:t>
      </w:r>
      <w:r w:rsidRPr="3DAE8182" w:rsidR="693BD3EB">
        <w:rPr>
          <w:sz w:val="20"/>
          <w:szCs w:val="20"/>
          <w:lang w:val="en-US"/>
        </w:rPr>
        <w:t xml:space="preserve">. </w:t>
      </w:r>
      <w:r w:rsidRPr="006A4384" w:rsidR="693BD3EB">
        <w:rPr>
          <w:sz w:val="20"/>
          <w:szCs w:val="20"/>
          <w:lang w:val="en-US"/>
        </w:rPr>
        <w:t xml:space="preserve">Robust statistics are less sensitive to outliers and </w:t>
      </w:r>
      <w:r w:rsidRPr="006A4384" w:rsidR="4C8A943E">
        <w:rPr>
          <w:sz w:val="20"/>
          <w:szCs w:val="20"/>
          <w:lang w:val="en-US"/>
        </w:rPr>
        <w:t>incorrectly specified distributional assumptions.</w:t>
      </w:r>
      <w:r w:rsidRPr="006A4384" w:rsidR="580B8889">
        <w:rPr>
          <w:sz w:val="20"/>
          <w:szCs w:val="20"/>
          <w:lang w:val="en-US"/>
        </w:rPr>
        <w:t xml:space="preserve"> As defined in the current manual of the Dutch Foundation for Quality Assessment in Medical Laboratory Diagnostics (SKML)</w:t>
      </w:r>
      <w:r w:rsidRPr="006A4384" w:rsidR="50F3E95E">
        <w:rPr>
          <w:sz w:val="20"/>
          <w:szCs w:val="20"/>
          <w:lang w:val="en-US"/>
        </w:rPr>
        <w:t xml:space="preserve"> </w:t>
      </w:r>
      <w:r w:rsidRPr="006A4384" w:rsidR="00DE089B">
        <w:rPr>
          <w:sz w:val="20"/>
          <w:szCs w:val="20"/>
          <w:lang w:val="en-US"/>
        </w:rPr>
        <w:fldChar w:fldCharType="begin"/>
      </w:r>
      <w:r w:rsidRPr="006A4384" w:rsidR="00DE089B">
        <w:rPr>
          <w:sz w:val="20"/>
          <w:szCs w:val="20"/>
          <w:lang w:val="en-US"/>
        </w:rPr>
        <w:instrText xml:space="preserve"> ADDIN ZOTERO_ITEM CSL_CITATION {"citationID":"Pe02HJQ3","properties":{"formattedCitation":"(1)","plainCitation":"(1)","noteIndex":0},"citationItems":[{"id":168,"uris":["http://zotero.org/users/14108098/items/VZF883C4"],"itemData":{"id":168,"type":"article-journal","abstract":"Abstract\n            \n              Background:\n              To provide its participants with an external quality assessment system (EQAS) that can be used to check trueness, the Dutch EQAS organizer, Organization for Quality Assessment of Laboratory Diagnostics (SKML), has innovated its general chemistry scheme over the last decade by introducing fresh frozen commutable samples whose values were assigned by Joint Committee for Traceability in Laboratory Medicine (JCTLM)-listed reference laboratories using reference methods where possible. Here we present some important innovations in our feedback reports that allow participants to judge whether their trueness and imprecision meet predefined analytical performance specifications.\n            \n            \n              Methods:\n              Sigma metrics are used to calculate performance indicators named ‘sigma values’. Tolerance intervals are based on both Total Error allowable (TEa) according to biological variation data and state of the art (SA) in line with the European Federation of Clinical Chemistry and Laboratory Medicine (EFLM) Milan consensus.\n            \n            \n              Results:\n              The existing SKML feedback reports that express trueness as the agreement between the regression line through the results of the last 12 months and the values obtained from reference laboratories and calculate imprecision from the residuals of the regression line are now enriched with sigma values calculated from the degree to which the combination of trueness and imprecision are within tolerance limits. The information and its conclusion to a simple two-point scoring system are also graphically represented in addition to the existing difference plot.\n            \n            \n              Conclusions:\n              By adding sigma metrics-based performance evaluation in relation to both TEa and SA tolerance intervals to its EQAS schemes, SKML provides its participants with a powerful and actionable check on accuracy.","container-title":"Clinical Chemistry and Laboratory Medicine (CCLM)","DOI":"10.1515/cclm-2016-0970","ISSN":"1437-4331, 1434-6621","issue":"10","journalAbbreviation":"Clin Chem Lab Med","page":"1509-1516","source":"DOI.org (Crossref)","title":"Expressing analytical performance from multi-sample evaluation in laboratory EQA","volume":"55","author":[{"family":"Thelen","given":"Marc H.M."},{"family":"Jansen","given":"Rob T.P."},{"family":"Weykamp","given":"Cas W."},{"family":"Steigstra","given":"Herman"},{"family":"Meijer","given":"Ron"},{"family":"Cobbaert","given":"Christa M."}],"issued":{"date-parts":[["2017",2,9]]}}}],"schema":"https://github.com/citation-style-language/schema/raw/master/csl-citation.json"} </w:instrText>
      </w:r>
      <w:r w:rsidRPr="006A4384" w:rsidR="00DE089B">
        <w:rPr>
          <w:sz w:val="20"/>
          <w:szCs w:val="20"/>
          <w:lang w:val="en-US"/>
        </w:rPr>
        <w:fldChar w:fldCharType="separate"/>
      </w:r>
      <w:r w:rsidRPr="006A4384" w:rsidR="39368513">
        <w:rPr>
          <w:rFonts w:ascii="Arial" w:hAnsi="Arial" w:cs="Arial"/>
          <w:sz w:val="20"/>
          <w:szCs w:val="20"/>
          <w:lang w:val="en-US"/>
        </w:rPr>
        <w:t>(1)</w:t>
      </w:r>
      <w:r w:rsidRPr="006A4384" w:rsidR="00DE089B">
        <w:rPr>
          <w:sz w:val="20"/>
          <w:szCs w:val="20"/>
          <w:lang w:val="en-US"/>
        </w:rPr>
        <w:fldChar w:fldCharType="end"/>
      </w:r>
      <w:r w:rsidRPr="006A4384" w:rsidR="580B8889">
        <w:rPr>
          <w:sz w:val="20"/>
          <w:szCs w:val="20"/>
          <w:lang w:val="en-US"/>
        </w:rPr>
        <w:t>:</w:t>
      </w:r>
    </w:p>
    <w:p w:rsidRPr="006A4384" w:rsidR="00293EE5" w:rsidP="686BD993" w:rsidRDefault="15779843" w14:paraId="763EBE08" w14:textId="48876028">
      <w:pPr>
        <w:pStyle w:val="Lijstalinea"/>
        <w:numPr>
          <w:ilvl w:val="0"/>
          <w:numId w:val="1"/>
        </w:numPr>
        <w:spacing w:after="0" w:line="240" w:lineRule="auto"/>
        <w:jc w:val="both"/>
        <w:rPr>
          <w:sz w:val="20"/>
          <w:szCs w:val="20"/>
          <w:lang w:val="en-US"/>
        </w:rPr>
      </w:pPr>
      <w:r w:rsidRPr="006A4384">
        <w:rPr>
          <w:sz w:val="20"/>
          <w:szCs w:val="20"/>
          <w:lang w:val="en-US"/>
        </w:rPr>
        <w:t xml:space="preserve">The center of a set of results (mean) is approximated by taking the median. </w:t>
      </w:r>
    </w:p>
    <w:p w:rsidRPr="006A4384" w:rsidR="00293EE5" w:rsidP="686BD993" w:rsidRDefault="15779843" w14:paraId="4A81425B" w14:textId="062DF516">
      <w:pPr>
        <w:pStyle w:val="Lijstalinea"/>
        <w:numPr>
          <w:ilvl w:val="0"/>
          <w:numId w:val="1"/>
        </w:numPr>
        <w:spacing w:after="0" w:line="240" w:lineRule="auto"/>
        <w:jc w:val="both"/>
        <w:rPr>
          <w:sz w:val="20"/>
          <w:szCs w:val="20"/>
          <w:lang w:val="en-US"/>
        </w:rPr>
      </w:pPr>
      <w:r w:rsidRPr="006A4384">
        <w:rPr>
          <w:sz w:val="20"/>
          <w:szCs w:val="20"/>
          <w:lang w:val="en-US"/>
        </w:rPr>
        <w:t>The dispersion within a set of results (</w:t>
      </w:r>
      <w:r w:rsidRPr="006A4384" w:rsidR="215E09C3">
        <w:rPr>
          <w:sz w:val="20"/>
          <w:szCs w:val="20"/>
          <w:lang w:val="en-US"/>
        </w:rPr>
        <w:t>standard deviation (</w:t>
      </w:r>
      <w:r w:rsidRPr="006A4384">
        <w:rPr>
          <w:sz w:val="20"/>
          <w:szCs w:val="20"/>
          <w:lang w:val="en-US"/>
        </w:rPr>
        <w:t>SD)</w:t>
      </w:r>
      <w:r w:rsidRPr="006A4384" w:rsidR="29D21285">
        <w:rPr>
          <w:sz w:val="20"/>
          <w:szCs w:val="20"/>
          <w:lang w:val="en-US"/>
        </w:rPr>
        <w:t>)</w:t>
      </w:r>
      <w:r w:rsidRPr="006A4384">
        <w:rPr>
          <w:sz w:val="20"/>
          <w:szCs w:val="20"/>
          <w:lang w:val="en-US"/>
        </w:rPr>
        <w:t xml:space="preserve"> is approximated as follows: </w:t>
      </w:r>
    </w:p>
    <w:p w:rsidRPr="006A4384" w:rsidR="00293EE5" w:rsidP="686BD993" w:rsidRDefault="15779843" w14:paraId="1B2CAA2E" w14:textId="0730E8CE">
      <w:pPr>
        <w:pStyle w:val="Lijstalinea"/>
        <w:numPr>
          <w:ilvl w:val="1"/>
          <w:numId w:val="1"/>
        </w:numPr>
        <w:spacing w:after="0" w:line="240" w:lineRule="auto"/>
        <w:jc w:val="both"/>
        <w:rPr>
          <w:sz w:val="20"/>
          <w:szCs w:val="20"/>
          <w:lang w:val="en-US"/>
        </w:rPr>
      </w:pPr>
      <w:r w:rsidRPr="006A4384">
        <w:rPr>
          <w:sz w:val="20"/>
          <w:szCs w:val="20"/>
          <w:lang w:val="en-US"/>
        </w:rPr>
        <w:t>if n = 2, then | result 1 – result 2 | / square root (2)</w:t>
      </w:r>
      <w:r w:rsidRPr="006A4384" w:rsidR="2C1291EB">
        <w:rPr>
          <w:sz w:val="20"/>
          <w:szCs w:val="20"/>
          <w:lang w:val="en-US"/>
        </w:rPr>
        <w:t>;</w:t>
      </w:r>
    </w:p>
    <w:p w:rsidRPr="006A4384" w:rsidR="00293EE5" w:rsidP="686BD993" w:rsidRDefault="15779843" w14:paraId="7CA9FAD0" w14:textId="3B3A8E97">
      <w:pPr>
        <w:pStyle w:val="Lijstalinea"/>
        <w:numPr>
          <w:ilvl w:val="1"/>
          <w:numId w:val="1"/>
        </w:numPr>
        <w:spacing w:after="0" w:line="240" w:lineRule="auto"/>
        <w:jc w:val="both"/>
        <w:rPr>
          <w:sz w:val="20"/>
          <w:szCs w:val="20"/>
          <w:lang w:val="en-US"/>
        </w:rPr>
      </w:pPr>
      <w:r w:rsidRPr="006A4384">
        <w:rPr>
          <w:sz w:val="20"/>
          <w:szCs w:val="20"/>
          <w:lang w:val="en-US"/>
        </w:rPr>
        <w:t>if n &gt; 2, then</w:t>
      </w:r>
      <w:r w:rsidRPr="006A4384" w:rsidR="6DB067C6">
        <w:rPr>
          <w:sz w:val="20"/>
          <w:szCs w:val="20"/>
          <w:lang w:val="en-US"/>
        </w:rPr>
        <w:t xml:space="preserve"> the scaled</w:t>
      </w:r>
      <w:r w:rsidRPr="006A4384">
        <w:rPr>
          <w:sz w:val="20"/>
          <w:szCs w:val="20"/>
          <w:lang w:val="en-US"/>
        </w:rPr>
        <w:t xml:space="preserve"> </w:t>
      </w:r>
      <w:r w:rsidRPr="006A4384" w:rsidR="40BB9E8B">
        <w:rPr>
          <w:sz w:val="20"/>
          <w:szCs w:val="20"/>
          <w:lang w:val="en-US"/>
        </w:rPr>
        <w:t>median absolute deviation</w:t>
      </w:r>
      <w:r w:rsidRPr="006A4384" w:rsidR="74729E0A">
        <w:rPr>
          <w:sz w:val="20"/>
          <w:szCs w:val="20"/>
          <w:lang w:val="en-US"/>
        </w:rPr>
        <w:t xml:space="preserve"> (</w:t>
      </w:r>
      <w:proofErr w:type="spellStart"/>
      <w:r w:rsidRPr="006A4384" w:rsidR="74729E0A">
        <w:rPr>
          <w:sz w:val="20"/>
          <w:szCs w:val="20"/>
          <w:lang w:val="en-US"/>
        </w:rPr>
        <w:t>MADe</w:t>
      </w:r>
      <w:proofErr w:type="spellEnd"/>
      <w:r w:rsidRPr="006A4384" w:rsidR="74729E0A">
        <w:rPr>
          <w:sz w:val="20"/>
          <w:szCs w:val="20"/>
          <w:lang w:val="en-US"/>
        </w:rPr>
        <w:t>)</w:t>
      </w:r>
      <w:r w:rsidRPr="006A4384">
        <w:rPr>
          <w:sz w:val="20"/>
          <w:szCs w:val="20"/>
          <w:lang w:val="en-US"/>
        </w:rPr>
        <w:t xml:space="preserve">; </w:t>
      </w:r>
    </w:p>
    <w:p w:rsidRPr="006A4384" w:rsidR="00293EE5" w:rsidP="686BD993" w:rsidRDefault="15779843" w14:paraId="585F3E2D" w14:textId="2AD8B7F2">
      <w:pPr>
        <w:pStyle w:val="Lijstalinea"/>
        <w:numPr>
          <w:ilvl w:val="1"/>
          <w:numId w:val="1"/>
        </w:numPr>
        <w:spacing w:after="0" w:line="240" w:lineRule="auto"/>
        <w:jc w:val="both"/>
        <w:rPr>
          <w:sz w:val="20"/>
          <w:szCs w:val="20"/>
          <w:lang w:val="en-US"/>
        </w:rPr>
      </w:pPr>
      <w:r w:rsidRPr="006A4384">
        <w:rPr>
          <w:sz w:val="20"/>
          <w:szCs w:val="20"/>
          <w:lang w:val="en-US"/>
        </w:rPr>
        <w:t xml:space="preserve">if </w:t>
      </w:r>
      <w:proofErr w:type="spellStart"/>
      <w:r w:rsidRPr="006A4384">
        <w:rPr>
          <w:sz w:val="20"/>
          <w:szCs w:val="20"/>
          <w:lang w:val="en-US"/>
        </w:rPr>
        <w:t>MADe</w:t>
      </w:r>
      <w:proofErr w:type="spellEnd"/>
      <w:r w:rsidRPr="006A4384">
        <w:rPr>
          <w:sz w:val="20"/>
          <w:szCs w:val="20"/>
          <w:lang w:val="en-US"/>
        </w:rPr>
        <w:t xml:space="preserve"> = 0, then </w:t>
      </w:r>
      <w:r w:rsidRPr="006A4384" w:rsidR="6D69B04C">
        <w:rPr>
          <w:sz w:val="20"/>
          <w:szCs w:val="20"/>
          <w:lang w:val="en-US"/>
        </w:rPr>
        <w:t>the normalized interquartile range (</w:t>
      </w:r>
      <w:proofErr w:type="spellStart"/>
      <w:r w:rsidRPr="006A4384">
        <w:rPr>
          <w:sz w:val="20"/>
          <w:szCs w:val="20"/>
          <w:lang w:val="en-US"/>
        </w:rPr>
        <w:t>nIQR</w:t>
      </w:r>
      <w:proofErr w:type="spellEnd"/>
      <w:r w:rsidRPr="006A4384" w:rsidR="6D9C279B">
        <w:rPr>
          <w:sz w:val="20"/>
          <w:szCs w:val="20"/>
          <w:lang w:val="en-US"/>
        </w:rPr>
        <w:t>)</w:t>
      </w:r>
      <w:r w:rsidRPr="006A4384">
        <w:rPr>
          <w:sz w:val="20"/>
          <w:szCs w:val="20"/>
          <w:lang w:val="en-US"/>
        </w:rPr>
        <w:t xml:space="preserve">; </w:t>
      </w:r>
    </w:p>
    <w:p w:rsidRPr="006A4384" w:rsidR="00293EE5" w:rsidP="686BD993" w:rsidRDefault="15779843" w14:paraId="5BE3BAF2" w14:textId="3E74772C">
      <w:pPr>
        <w:pStyle w:val="Lijstalinea"/>
        <w:numPr>
          <w:ilvl w:val="1"/>
          <w:numId w:val="1"/>
        </w:numPr>
        <w:spacing w:after="0" w:line="240" w:lineRule="auto"/>
        <w:jc w:val="both"/>
        <w:rPr>
          <w:sz w:val="20"/>
          <w:szCs w:val="20"/>
          <w:lang w:val="en-US"/>
        </w:rPr>
      </w:pPr>
      <w:proofErr w:type="gramStart"/>
      <w:r w:rsidRPr="006A4384">
        <w:rPr>
          <w:sz w:val="20"/>
          <w:szCs w:val="20"/>
          <w:lang w:val="en-US"/>
        </w:rPr>
        <w:t>if</w:t>
      </w:r>
      <w:proofErr w:type="gramEnd"/>
      <w:r w:rsidRPr="006A4384">
        <w:rPr>
          <w:sz w:val="20"/>
          <w:szCs w:val="20"/>
          <w:lang w:val="en-US"/>
        </w:rPr>
        <w:t xml:space="preserve"> </w:t>
      </w:r>
      <w:proofErr w:type="spellStart"/>
      <w:r w:rsidRPr="006A4384">
        <w:rPr>
          <w:sz w:val="20"/>
          <w:szCs w:val="20"/>
          <w:lang w:val="en-US"/>
        </w:rPr>
        <w:t>nIQR</w:t>
      </w:r>
      <w:proofErr w:type="spellEnd"/>
      <w:r w:rsidRPr="006A4384">
        <w:rPr>
          <w:sz w:val="20"/>
          <w:szCs w:val="20"/>
          <w:lang w:val="en-US"/>
        </w:rPr>
        <w:t xml:space="preserve"> = 0, then the arithmetic SD</w:t>
      </w:r>
      <w:r w:rsidRPr="006A4384" w:rsidR="7A72B29D">
        <w:rPr>
          <w:sz w:val="20"/>
          <w:szCs w:val="20"/>
          <w:lang w:val="en-US"/>
        </w:rPr>
        <w:t>.</w:t>
      </w:r>
    </w:p>
    <w:p w:rsidRPr="006A4384" w:rsidR="00293EE5" w:rsidP="686BD993" w:rsidRDefault="00293EE5" w14:paraId="2F515705" w14:textId="044BDE93">
      <w:pPr>
        <w:spacing w:after="0" w:line="240" w:lineRule="auto"/>
        <w:jc w:val="both"/>
        <w:rPr>
          <w:sz w:val="20"/>
          <w:szCs w:val="20"/>
          <w:lang w:val="en-US"/>
        </w:rPr>
      </w:pPr>
    </w:p>
    <w:p w:rsidRPr="006A4384" w:rsidR="00293EE5" w:rsidP="686BD993" w:rsidRDefault="3ECDCE3D" w14:paraId="3130DB27" w14:textId="524522A4">
      <w:pPr>
        <w:spacing w:after="0" w:line="240" w:lineRule="auto"/>
        <w:jc w:val="both"/>
        <w:rPr>
          <w:sz w:val="20"/>
          <w:szCs w:val="20"/>
          <w:lang w:val="en-US"/>
        </w:rPr>
      </w:pPr>
      <w:r w:rsidRPr="006A4384">
        <w:rPr>
          <w:sz w:val="20"/>
          <w:szCs w:val="20"/>
          <w:lang w:val="en-US"/>
        </w:rPr>
        <w:t>Outliers were defined as results that deviated &gt; 3SD from the method’s mean.</w:t>
      </w:r>
      <w:r w:rsidRPr="006A4384" w:rsidR="4EC7998A">
        <w:rPr>
          <w:sz w:val="20"/>
          <w:szCs w:val="20"/>
          <w:lang w:val="en-US"/>
        </w:rPr>
        <w:t xml:space="preserve"> Mean and SD were </w:t>
      </w:r>
      <w:proofErr w:type="spellStart"/>
      <w:r w:rsidRPr="006A4384" w:rsidR="4EC7998A">
        <w:rPr>
          <w:sz w:val="20"/>
          <w:szCs w:val="20"/>
          <w:lang w:val="en-US"/>
        </w:rPr>
        <w:t>reapproximated</w:t>
      </w:r>
      <w:proofErr w:type="spellEnd"/>
      <w:r w:rsidRPr="006A4384" w:rsidR="0EE2FBCB">
        <w:rPr>
          <w:sz w:val="20"/>
          <w:szCs w:val="20"/>
          <w:lang w:val="en-US"/>
        </w:rPr>
        <w:t xml:space="preserve"> once</w:t>
      </w:r>
      <w:r w:rsidRPr="006A4384" w:rsidR="4EC7998A">
        <w:rPr>
          <w:sz w:val="20"/>
          <w:szCs w:val="20"/>
          <w:lang w:val="en-US"/>
        </w:rPr>
        <w:t xml:space="preserve"> after </w:t>
      </w:r>
      <w:r w:rsidRPr="006A4384" w:rsidR="7840AFBB">
        <w:rPr>
          <w:sz w:val="20"/>
          <w:szCs w:val="20"/>
          <w:lang w:val="en-US"/>
        </w:rPr>
        <w:t>outlier removal</w:t>
      </w:r>
      <w:r w:rsidRPr="006A4384" w:rsidR="1BB33EB8">
        <w:rPr>
          <w:sz w:val="20"/>
          <w:szCs w:val="20"/>
          <w:lang w:val="en-US"/>
        </w:rPr>
        <w:t xml:space="preserve"> </w:t>
      </w:r>
      <w:r w:rsidRPr="006A4384" w:rsidR="00DE089B">
        <w:rPr>
          <w:sz w:val="20"/>
          <w:szCs w:val="20"/>
          <w:lang w:val="en-US"/>
        </w:rPr>
        <w:fldChar w:fldCharType="begin"/>
      </w:r>
      <w:r w:rsidR="006A4384">
        <w:rPr>
          <w:sz w:val="20"/>
          <w:szCs w:val="20"/>
          <w:lang w:val="en-US"/>
        </w:rPr>
        <w:instrText xml:space="preserve"> ADDIN ZOTERO_ITEM CSL_CITATION {"citationID":"mWFl9gbW","properties":{"formattedCitation":"(1)","plainCitation":"(1)","noteIndex":0},"citationItems":[{"id":168,"uris":["http://zotero.org/users/14108098/items/VZF883C4"],"itemData":{"id":168,"type":"article-journal","abstract":"Abstract\n            \n              Background:\n              To provide its participants with an external quality assessment system (EQAS) that can be used to check trueness, the Dutch EQAS organizer, Organization for Quality Assessment of Laboratory Diagnostics (SKML), has innovated its general chemistry scheme over the last decade by introducing fresh frozen commutable samples whose values were assigned by Joint Committee for Traceability in Laboratory Medicine (JCTLM)-listed reference laboratories using reference methods where possible. Here we present some important innovations in our feedback reports that allow participants to judge whether their trueness and imprecision meet predefined analytical performance specifications.\n            \n            \n              Methods:\n              Sigma metrics are used to calculate performance indicators named ‘sigma values’. Tolerance intervals are based on both Total Error allowable (TEa) according to biological variation data and state of the art (SA) in line with the European Federation of Clinical Chemistry and Laboratory Medicine (EFLM) Milan consensus.\n            \n            \n              Results:\n              The existing SKML feedback reports that express trueness as the agreement between the regression line through the results of the last 12 months and the values obtained from reference laboratories and calculate imprecision from the residuals of the regression line are now enriched with sigma values calculated from the degree to which the combination of trueness and imprecision are within tolerance limits. The information and its conclusion to a simple two-point scoring system are also graphically represented in addition to the existing difference plot.\n            \n            \n              Conclusions:\n              By adding sigma metrics-based performance evaluation in relation to both TEa and SA tolerance intervals to its EQAS schemes, SKML provides its participants with a powerful and actionable check on accuracy.","container-title":"Clinical Chemistry and Laboratory Medicine (CCLM)","DOI":"10.1515/cclm-2016-0970","ISSN":"1437-4331, 1434-6621","issue":"10","journalAbbreviation":"Clin Chem Lab Med","page":"1509-1516","source":"DOI.org (Crossref)","title":"Expressing analytical performance from multi-sample evaluation in laboratory EQA","volume":"55","author":[{"family":"Thelen","given":"Marc H.M."},{"family":"Jansen","given":"Rob T.P."},{"family":"Weykamp","given":"Cas W."},{"family":"Steigstra","given":"Herman"},{"family":"Meijer","given":"Ron"},{"family":"Cobbaert","given":"Christa M."}],"issued":{"date-parts":[["2017",2,9]]}}}],"schema":"https://github.com/citation-style-language/schema/raw/master/csl-citation.json"} </w:instrText>
      </w:r>
      <w:r w:rsidRPr="006A4384" w:rsidR="00DE089B">
        <w:rPr>
          <w:sz w:val="20"/>
          <w:szCs w:val="20"/>
          <w:lang w:val="en-US"/>
        </w:rPr>
        <w:fldChar w:fldCharType="separate"/>
      </w:r>
      <w:r w:rsidRPr="006A4384" w:rsidR="547EA287">
        <w:rPr>
          <w:rFonts w:ascii="Arial" w:hAnsi="Arial" w:cs="Arial"/>
          <w:sz w:val="20"/>
          <w:szCs w:val="20"/>
          <w:lang w:val="en-US"/>
        </w:rPr>
        <w:t>(1)</w:t>
      </w:r>
      <w:r w:rsidRPr="006A4384" w:rsidR="00DE089B">
        <w:rPr>
          <w:sz w:val="20"/>
          <w:szCs w:val="20"/>
          <w:lang w:val="en-US"/>
        </w:rPr>
        <w:fldChar w:fldCharType="end"/>
      </w:r>
      <w:r w:rsidRPr="006A4384" w:rsidR="7840AFBB">
        <w:rPr>
          <w:sz w:val="20"/>
          <w:szCs w:val="20"/>
          <w:lang w:val="en-US"/>
        </w:rPr>
        <w:t>.</w:t>
      </w:r>
    </w:p>
    <w:p w:rsidRPr="006A4384" w:rsidR="00293EE5" w:rsidP="686BD993" w:rsidRDefault="00293EE5" w14:paraId="10588181" w14:textId="463EDC53">
      <w:pPr>
        <w:spacing w:after="0" w:line="240" w:lineRule="auto"/>
        <w:jc w:val="both"/>
        <w:rPr>
          <w:sz w:val="20"/>
          <w:szCs w:val="20"/>
          <w:lang w:val="en-US"/>
        </w:rPr>
      </w:pPr>
    </w:p>
    <w:p w:rsidRPr="006A4384" w:rsidR="00293EE5" w:rsidP="686BD993" w:rsidRDefault="62DD0635" w14:paraId="58332531" w14:textId="1FBB59BA">
      <w:pPr>
        <w:spacing w:after="0" w:line="240" w:lineRule="auto"/>
        <w:jc w:val="both"/>
        <w:rPr>
          <w:sz w:val="20"/>
          <w:szCs w:val="20"/>
          <w:lang w:val="en-US"/>
        </w:rPr>
      </w:pPr>
      <w:r w:rsidRPr="006A4384">
        <w:rPr>
          <w:sz w:val="20"/>
          <w:szCs w:val="20"/>
          <w:lang w:val="en-US"/>
        </w:rPr>
        <w:t>The All Labs Trimmed Mean (ALTM) was defined as the average and SD calculated for all results, regardless of the method used</w:t>
      </w:r>
      <w:r w:rsidRPr="006A4384" w:rsidR="4D273D06">
        <w:rPr>
          <w:sz w:val="20"/>
          <w:szCs w:val="20"/>
          <w:lang w:val="en-US"/>
        </w:rPr>
        <w:t>, after removal of outliers</w:t>
      </w:r>
      <w:r w:rsidRPr="006A4384" w:rsidR="3E31883C">
        <w:rPr>
          <w:sz w:val="20"/>
          <w:szCs w:val="20"/>
          <w:lang w:val="en-US"/>
        </w:rPr>
        <w:t xml:space="preserve"> </w:t>
      </w:r>
      <w:r w:rsidRPr="006A4384" w:rsidR="00DE089B">
        <w:rPr>
          <w:sz w:val="20"/>
          <w:szCs w:val="20"/>
          <w:lang w:val="en-US"/>
        </w:rPr>
        <w:fldChar w:fldCharType="begin"/>
      </w:r>
      <w:r w:rsidR="006A4384">
        <w:rPr>
          <w:sz w:val="20"/>
          <w:szCs w:val="20"/>
          <w:lang w:val="en-US"/>
        </w:rPr>
        <w:instrText xml:space="preserve"> ADDIN ZOTERO_ITEM CSL_CITATION {"citationID":"e6HpUzOt","properties":{"formattedCitation":"(1)","plainCitation":"(1)","noteIndex":0},"citationItems":[{"id":168,"uris":["http://zotero.org/users/14108098/items/VZF883C4"],"itemData":{"id":168,"type":"article-journal","abstract":"Abstract\n            \n              Background:\n              To provide its participants with an external quality assessment system (EQAS) that can be used to check trueness, the Dutch EQAS organizer, Organization for Quality Assessment of Laboratory Diagnostics (SKML), has innovated its general chemistry scheme over the last decade by introducing fresh frozen commutable samples whose values were assigned by Joint Committee for Traceability in Laboratory Medicine (JCTLM)-listed reference laboratories using reference methods where possible. Here we present some important innovations in our feedback reports that allow participants to judge whether their trueness and imprecision meet predefined analytical performance specifications.\n            \n            \n              Methods:\n              Sigma metrics are used to calculate performance indicators named ‘sigma values’. Tolerance intervals are based on both Total Error allowable (TEa) according to biological variation data and state of the art (SA) in line with the European Federation of Clinical Chemistry and Laboratory Medicine (EFLM) Milan consensus.\n            \n            \n              Results:\n              The existing SKML feedback reports that express trueness as the agreement between the regression line through the results of the last 12 months and the values obtained from reference laboratories and calculate imprecision from the residuals of the regression line are now enriched with sigma values calculated from the degree to which the combination of trueness and imprecision are within tolerance limits. The information and its conclusion to a simple two-point scoring system are also graphically represented in addition to the existing difference plot.\n            \n            \n              Conclusions:\n              By adding sigma metrics-based performance evaluation in relation to both TEa and SA tolerance intervals to its EQAS schemes, SKML provides its participants with a powerful and actionable check on accuracy.","container-title":"Clinical Chemistry and Laboratory Medicine (CCLM)","DOI":"10.1515/cclm-2016-0970","ISSN":"1437-4331, 1434-6621","issue":"10","journalAbbreviation":"Clin Chem Lab Med","page":"1509-1516","source":"DOI.org (Crossref)","title":"Expressing analytical performance from multi-sample evaluation in laboratory EQA","volume":"55","author":[{"family":"Thelen","given":"Marc H.M."},{"family":"Jansen","given":"Rob T.P."},{"family":"Weykamp","given":"Cas W."},{"family":"Steigstra","given":"Herman"},{"family":"Meijer","given":"Ron"},{"family":"Cobbaert","given":"Christa M."}],"issued":{"date-parts":[["2017",2,9]]}}}],"schema":"https://github.com/citation-style-language/schema/raw/master/csl-citation.json"} </w:instrText>
      </w:r>
      <w:r w:rsidRPr="006A4384" w:rsidR="00DE089B">
        <w:rPr>
          <w:sz w:val="20"/>
          <w:szCs w:val="20"/>
          <w:lang w:val="en-US"/>
        </w:rPr>
        <w:fldChar w:fldCharType="separate"/>
      </w:r>
      <w:r w:rsidRPr="006A4384" w:rsidR="141019DA">
        <w:rPr>
          <w:rFonts w:ascii="Arial" w:hAnsi="Arial" w:cs="Arial"/>
          <w:sz w:val="20"/>
          <w:szCs w:val="20"/>
          <w:lang w:val="en-US"/>
        </w:rPr>
        <w:t>(1)</w:t>
      </w:r>
      <w:r w:rsidRPr="006A4384" w:rsidR="00DE089B">
        <w:rPr>
          <w:sz w:val="20"/>
          <w:szCs w:val="20"/>
          <w:lang w:val="en-US"/>
        </w:rPr>
        <w:fldChar w:fldCharType="end"/>
      </w:r>
      <w:r w:rsidRPr="006A4384">
        <w:rPr>
          <w:sz w:val="20"/>
          <w:szCs w:val="20"/>
          <w:lang w:val="en-US"/>
        </w:rPr>
        <w:t>.</w:t>
      </w:r>
    </w:p>
    <w:p w:rsidRPr="006A4384" w:rsidR="686BD993" w:rsidP="686BD993" w:rsidRDefault="686BD993" w14:paraId="4C27D073" w14:textId="13C5C2C0">
      <w:pPr>
        <w:spacing w:after="0" w:line="240" w:lineRule="auto"/>
        <w:jc w:val="both"/>
        <w:rPr>
          <w:sz w:val="20"/>
          <w:szCs w:val="20"/>
          <w:lang w:val="en-US"/>
        </w:rPr>
      </w:pPr>
    </w:p>
    <w:p w:rsidRPr="006A4384" w:rsidR="0F3AA05A" w:rsidP="686BD993" w:rsidRDefault="0F3AA05A" w14:paraId="1177D71F" w14:textId="29D890C8">
      <w:pPr>
        <w:spacing w:after="0" w:line="240" w:lineRule="auto"/>
        <w:jc w:val="both"/>
        <w:rPr>
          <w:sz w:val="20"/>
          <w:szCs w:val="20"/>
          <w:lang w:val="en-US"/>
        </w:rPr>
      </w:pPr>
      <w:r w:rsidRPr="006A4384">
        <w:rPr>
          <w:sz w:val="20"/>
          <w:szCs w:val="20"/>
          <w:lang w:val="en-US"/>
        </w:rPr>
        <w:t>The con</w:t>
      </w:r>
      <w:r w:rsidRPr="006A4384" w:rsidR="3D0817D2">
        <w:rPr>
          <w:sz w:val="20"/>
          <w:szCs w:val="20"/>
          <w:lang w:val="en-US"/>
        </w:rPr>
        <w:t>s</w:t>
      </w:r>
      <w:r w:rsidRPr="006A4384">
        <w:rPr>
          <w:sz w:val="20"/>
          <w:szCs w:val="20"/>
          <w:lang w:val="en-US"/>
        </w:rPr>
        <w:t>en</w:t>
      </w:r>
      <w:r w:rsidRPr="006A4384" w:rsidR="50AF6D19">
        <w:rPr>
          <w:sz w:val="20"/>
          <w:szCs w:val="20"/>
          <w:lang w:val="en-US"/>
        </w:rPr>
        <w:t>s</w:t>
      </w:r>
      <w:r w:rsidRPr="006A4384">
        <w:rPr>
          <w:sz w:val="20"/>
          <w:szCs w:val="20"/>
          <w:lang w:val="en-US"/>
        </w:rPr>
        <w:t>us value was defined as the non-weighted mean of th</w:t>
      </w:r>
      <w:r w:rsidRPr="006A4384" w:rsidR="1F05DADB">
        <w:rPr>
          <w:sz w:val="20"/>
          <w:szCs w:val="20"/>
          <w:lang w:val="en-US"/>
        </w:rPr>
        <w:t>e included individual me</w:t>
      </w:r>
      <w:r w:rsidRPr="006A4384" w:rsidR="4035E31E">
        <w:rPr>
          <w:sz w:val="20"/>
          <w:szCs w:val="20"/>
          <w:lang w:val="en-US"/>
        </w:rPr>
        <w:t>thod</w:t>
      </w:r>
      <w:r w:rsidRPr="006A4384" w:rsidR="1F05DADB">
        <w:rPr>
          <w:sz w:val="20"/>
          <w:szCs w:val="20"/>
          <w:lang w:val="en-US"/>
        </w:rPr>
        <w:t xml:space="preserve"> mean values</w:t>
      </w:r>
      <w:r w:rsidR="006A4384">
        <w:rPr>
          <w:sz w:val="20"/>
          <w:szCs w:val="20"/>
          <w:lang w:val="en-US"/>
        </w:rPr>
        <w:t xml:space="preserve"> </w:t>
      </w:r>
      <w:r w:rsidR="006A4384">
        <w:rPr>
          <w:sz w:val="20"/>
          <w:szCs w:val="20"/>
          <w:lang w:val="en-US"/>
        </w:rPr>
        <w:fldChar w:fldCharType="begin"/>
      </w:r>
      <w:r w:rsidR="006A4384">
        <w:rPr>
          <w:sz w:val="20"/>
          <w:szCs w:val="20"/>
          <w:lang w:val="en-US"/>
        </w:rPr>
        <w:instrText xml:space="preserve"> ADDIN ZOTERO_ITEM CSL_CITATION {"citationID":"9CvhLPwc","properties":{"formattedCitation":"(2)","plainCitation":"(2)","noteIndex":0},"citationItems":[{"id":165,"uris":["http://zotero.org/users/14108098/items/P65ULCT9"],"itemData":{"id":165,"type":"article-journal","abstract":"Abstract\n            \n              Background\n              The harmonization status of most tumor markers (TMs) is unknown. We report a feasibility study performed to determine whether external quality assessment (EQA) programs can be used to obtain insights into the current harmonization status of the tumor markers α-fetoprotein (AFP), prostate specific antigen (PSA), carcinoembryonic antigen (CEA), cancer antigen (CA)125, CA15-3 and CA19-9.\n            \n            \n              Methods\n              EQA sample results provided by 6 EQA providers (INSTAND [Germany], Korean Association of External Quality Assessment Service [KEQAS, South Korea], National Center for Clinical Laboratories [NCCL, China], United Kingdom National External Quality Assessment Service [UK NEQAS, United Kingdom], Stichting Kwaliteitsbewaking Medische Laboratoriumdiagnostiek [SKML, the Netherlands], and the Royal College of Pathologists of Australasia Quality Assurance Programs [RCPAQAP, Australia]) between 2020 and 2021 were used. The consensus means, calculated from the measurement procedures present in all EQA programs (Abbott Alinity, Beckman Coulter DxI, Roche Cobas, and Siemens Atellica), was used as reference values. Per measurement procedure, the relative difference between consensus mean for each EQA sample and the mean of all patient-pool–based EQA samples were calculated and compared to minimum, desirable, and optimal allowable bias criteria based on biological variation.\n            \n            \n              Results\n              Between 19040 (CA15-3) and 25398 (PSA) individual results and 56 (PSA) to 76 (AFP) unique EQA samples were included in the final analysis. The mean differences with the consensus mean of patient-pool–based EQA samples for all measurement procedures were within the optimum bias criterion for AFP, the desirable bias for PSA, and the minimum bias criterion for CEA. However, CEA results &amp;lt;8 µg/L exceeded the minimum bias criterion. For CA125, CA15-3, and CA19-9, the harmonization status was outside the minimum bias criterion, with systematic differences identified.\n            \n            \n              Conclusions\n              This study provides relevant information about the current harmonization status of 6 tumor markers. A pilot harmonization investigation for CEA, CA125, CA15-3, and CA19-9 would be desirable.","container-title":"Clinical Chemistry","DOI":"10.1093/clinchem/hvae005","ISSN":"0009-9147, 1530-8561","issue":"4","journalAbbreviation":"Clin Chem","language":"en","license":"https://academic.oup.com/pages/standard-publication-reuse-rights","page":"669-679","source":"DOI.org (Crossref)","title":"Investigating the current harmonization status of tumor markers using global external quality assessment programs: a feasibility study","title-short":"Investigating the current harmonization status of tumor markers using global external quality assessment programs","volume":"70","author":[{"family":"Van Rossum","given":"Huub H"},{"family":"Holdenrieder","given":"Stefan"},{"family":"Ballieux","given":"Bart E P B"},{"family":"Badrick","given":"Tony C"},{"family":"Yun","given":"Yeo-Min"},{"family":"Zhang","given":"Chuanbao"},{"family":"Patel","given":"Dina"},{"family":"Thelen","given":"Marc"},{"family":"Song","given":"Junghan"},{"family":"Wojtalewicz","given":"Nathalie"},{"family":"Unsworth","given":"Nick"},{"family":"Vesper","given":"Hubert W"},{"family":"Cui","given":"Wei"},{"family":"Ramanathan","given":"Lakshmi V"},{"family":"Sturgeon","given":"Catharine"},{"family":"Meng","given":"Qing H"}],"issued":{"date-parts":[["2024",2,22]]}}}],"schema":"https://github.com/citation-style-language/schema/raw/master/csl-citation.json"} </w:instrText>
      </w:r>
      <w:r w:rsidR="006A4384">
        <w:rPr>
          <w:sz w:val="20"/>
          <w:szCs w:val="20"/>
          <w:lang w:val="en-US"/>
        </w:rPr>
        <w:fldChar w:fldCharType="separate"/>
      </w:r>
      <w:r w:rsidRPr="006A4384" w:rsidR="006A4384">
        <w:rPr>
          <w:rFonts w:ascii="Arial" w:hAnsi="Arial" w:cs="Arial"/>
          <w:sz w:val="20"/>
        </w:rPr>
        <w:t>(2)</w:t>
      </w:r>
      <w:r w:rsidR="006A4384">
        <w:rPr>
          <w:sz w:val="20"/>
          <w:szCs w:val="20"/>
          <w:lang w:val="en-US"/>
        </w:rPr>
        <w:fldChar w:fldCharType="end"/>
      </w:r>
      <w:r w:rsidRPr="006A4384" w:rsidR="1F05DADB">
        <w:rPr>
          <w:sz w:val="20"/>
          <w:szCs w:val="20"/>
          <w:lang w:val="en-US"/>
        </w:rPr>
        <w:t>.</w:t>
      </w:r>
      <w:r w:rsidRPr="006A4384" w:rsidR="645BE93A">
        <w:rPr>
          <w:sz w:val="20"/>
          <w:szCs w:val="20"/>
          <w:lang w:val="en-US"/>
        </w:rPr>
        <w:t xml:space="preserve"> This reduces the impact of </w:t>
      </w:r>
      <w:r w:rsidRPr="006A4384" w:rsidR="13FD4C75">
        <w:rPr>
          <w:sz w:val="20"/>
          <w:szCs w:val="20"/>
          <w:lang w:val="en-US"/>
        </w:rPr>
        <w:t xml:space="preserve">methods </w:t>
      </w:r>
      <w:r w:rsidRPr="006A4384" w:rsidR="159CCF17">
        <w:rPr>
          <w:sz w:val="20"/>
          <w:szCs w:val="20"/>
          <w:lang w:val="en-US"/>
        </w:rPr>
        <w:t>t</w:t>
      </w:r>
      <w:r w:rsidRPr="006A4384" w:rsidR="29CD0C5A">
        <w:rPr>
          <w:sz w:val="20"/>
          <w:szCs w:val="20"/>
          <w:lang w:val="en-US"/>
        </w:rPr>
        <w:t>hat are disproportionally represented in the</w:t>
      </w:r>
      <w:r w:rsidRPr="006A4384" w:rsidR="37872654">
        <w:rPr>
          <w:sz w:val="20"/>
          <w:szCs w:val="20"/>
          <w:lang w:val="en-US"/>
        </w:rPr>
        <w:t xml:space="preserve"> </w:t>
      </w:r>
      <w:r w:rsidRPr="006A4384" w:rsidR="728971AB">
        <w:rPr>
          <w:sz w:val="20"/>
          <w:szCs w:val="20"/>
          <w:lang w:val="en-US"/>
        </w:rPr>
        <w:t>EQA</w:t>
      </w:r>
      <w:r w:rsidRPr="006A4384" w:rsidR="3CF21545">
        <w:rPr>
          <w:sz w:val="20"/>
          <w:szCs w:val="20"/>
          <w:lang w:val="en-US"/>
        </w:rPr>
        <w:t xml:space="preserve"> round</w:t>
      </w:r>
      <w:r w:rsidRPr="006A4384" w:rsidR="159CCF17">
        <w:rPr>
          <w:sz w:val="20"/>
          <w:szCs w:val="20"/>
          <w:lang w:val="en-US"/>
        </w:rPr>
        <w:t xml:space="preserve"> as</w:t>
      </w:r>
      <w:r w:rsidRPr="006A4384" w:rsidR="645BE93A">
        <w:rPr>
          <w:sz w:val="20"/>
          <w:szCs w:val="20"/>
          <w:lang w:val="en-US"/>
        </w:rPr>
        <w:t xml:space="preserve"> compared with the ALTM</w:t>
      </w:r>
      <w:r w:rsidRPr="006A4384" w:rsidR="7F24B1EF">
        <w:rPr>
          <w:sz w:val="20"/>
          <w:szCs w:val="20"/>
          <w:lang w:val="en-US"/>
        </w:rPr>
        <w:t>.</w:t>
      </w:r>
    </w:p>
    <w:p w:rsidRPr="006A4384" w:rsidR="00293EE5" w:rsidP="686BD993" w:rsidRDefault="00293EE5" w14:paraId="64ED71EE" w14:textId="4EE34C35">
      <w:pPr>
        <w:spacing w:after="0" w:line="240" w:lineRule="auto"/>
        <w:rPr>
          <w:sz w:val="20"/>
          <w:szCs w:val="20"/>
          <w:lang w:val="en-US"/>
        </w:rPr>
      </w:pPr>
    </w:p>
    <w:p w:rsidR="00293EE5" w:rsidP="6282E75D" w:rsidRDefault="42DD8283" w14:paraId="5BF93E5B" w14:textId="1B317C93">
      <w:pPr>
        <w:spacing w:after="0" w:line="240" w:lineRule="auto"/>
        <w:rPr>
          <w:b/>
          <w:bCs/>
          <w:sz w:val="20"/>
          <w:szCs w:val="20"/>
          <w:lang w:val="en-US"/>
        </w:rPr>
      </w:pPr>
      <w:r w:rsidRPr="6282E75D">
        <w:rPr>
          <w:b/>
          <w:bCs/>
          <w:sz w:val="20"/>
          <w:szCs w:val="20"/>
          <w:lang w:val="en-US"/>
        </w:rPr>
        <w:t>Supplemental Table</w:t>
      </w:r>
      <w:r w:rsidRPr="6282E75D" w:rsidR="6DCD7666">
        <w:rPr>
          <w:b/>
          <w:bCs/>
          <w:sz w:val="20"/>
          <w:szCs w:val="20"/>
          <w:lang w:val="en-US"/>
        </w:rPr>
        <w:t>:</w:t>
      </w:r>
    </w:p>
    <w:p w:rsidR="00293EE5" w:rsidP="6282E75D" w:rsidRDefault="00293EE5" w14:paraId="3B431067" w14:textId="2C6D2F32">
      <w:pPr>
        <w:spacing w:after="0" w:line="240" w:lineRule="auto"/>
        <w:rPr>
          <w:sz w:val="20"/>
          <w:szCs w:val="20"/>
          <w:lang w:val="en-US"/>
        </w:rPr>
      </w:pPr>
    </w:p>
    <w:p w:rsidR="00293EE5" w:rsidP="6282E75D" w:rsidRDefault="5EBFA0FE" w14:paraId="5454A8A7" w14:textId="42D027AE">
      <w:pPr>
        <w:spacing w:after="0" w:line="240" w:lineRule="auto"/>
        <w:rPr>
          <w:sz w:val="20"/>
          <w:szCs w:val="20"/>
          <w:lang w:val="en-US"/>
        </w:rPr>
      </w:pPr>
      <w:r w:rsidRPr="48058D76" w:rsidR="5EBFA0FE">
        <w:rPr>
          <w:sz w:val="20"/>
          <w:szCs w:val="20"/>
          <w:lang w:val="en-US"/>
        </w:rPr>
        <w:t>Supplemental Table</w:t>
      </w:r>
      <w:r w:rsidRPr="48058D76" w:rsidR="778306F5">
        <w:rPr>
          <w:sz w:val="20"/>
          <w:szCs w:val="20"/>
          <w:lang w:val="en-US"/>
        </w:rPr>
        <w:t xml:space="preserve"> </w:t>
      </w:r>
      <w:r w:rsidRPr="48058D76" w:rsidR="209C6668">
        <w:rPr>
          <w:sz w:val="20"/>
          <w:szCs w:val="20"/>
          <w:lang w:val="en-US"/>
        </w:rPr>
        <w:t>1</w:t>
      </w:r>
      <w:r w:rsidRPr="48058D76" w:rsidR="5EBFA0FE">
        <w:rPr>
          <w:sz w:val="20"/>
          <w:szCs w:val="20"/>
          <w:lang w:val="en-US"/>
        </w:rPr>
        <w:t>. Inter-method comparison of PSA results at the low end of the measurement range based on a single external quality assessment sample</w:t>
      </w:r>
    </w:p>
    <w:tbl>
      <w:tblPr>
        <w:tblStyle w:val="Tabelraster"/>
        <w:tblW w:w="9720" w:type="dxa"/>
        <w:tblLook w:val="04A0" w:firstRow="1" w:lastRow="0" w:firstColumn="1" w:lastColumn="0" w:noHBand="0" w:noVBand="1"/>
      </w:tblPr>
      <w:tblGrid>
        <w:gridCol w:w="2694"/>
        <w:gridCol w:w="675"/>
        <w:gridCol w:w="1205"/>
        <w:gridCol w:w="1530"/>
        <w:gridCol w:w="796"/>
        <w:gridCol w:w="1455"/>
        <w:gridCol w:w="1365"/>
      </w:tblGrid>
      <w:tr w:rsidR="009A5107" w:rsidTr="72DFF27F" w14:paraId="44A1AB44" w14:textId="77777777">
        <w:tc>
          <w:tcPr>
            <w:tcW w:w="2694" w:type="dxa"/>
            <w:tcMar/>
          </w:tcPr>
          <w:p w:rsidRPr="00DE089B" w:rsidR="009A5107" w:rsidP="00DE089B" w:rsidRDefault="009A5107" w14:paraId="206DFFD0" w14:textId="77777777">
            <w:pPr>
              <w:rPr>
                <w:b/>
                <w:sz w:val="20"/>
                <w:lang w:val="en-US"/>
              </w:rPr>
            </w:pPr>
            <w:r w:rsidRPr="00DE089B">
              <w:rPr>
                <w:b/>
                <w:sz w:val="20"/>
                <w:lang w:val="en-US"/>
              </w:rPr>
              <w:t>Method</w:t>
            </w:r>
          </w:p>
        </w:tc>
        <w:tc>
          <w:tcPr>
            <w:tcW w:w="675" w:type="dxa"/>
            <w:tcMar/>
          </w:tcPr>
          <w:p w:rsidRPr="00DE089B" w:rsidR="009A5107" w:rsidP="00DE089B" w:rsidRDefault="009A5107" w14:paraId="35615B70" w14:textId="77777777">
            <w:pPr>
              <w:rPr>
                <w:b/>
                <w:sz w:val="20"/>
                <w:lang w:val="en-US"/>
              </w:rPr>
            </w:pPr>
            <w:r w:rsidRPr="00DE089B">
              <w:rPr>
                <w:b/>
                <w:i/>
                <w:sz w:val="20"/>
                <w:lang w:val="en-US"/>
              </w:rPr>
              <w:t>N</w:t>
            </w:r>
            <w:r>
              <w:rPr>
                <w:b/>
                <w:i/>
                <w:sz w:val="20"/>
                <w:vertAlign w:val="superscript"/>
                <w:lang w:val="en-US"/>
              </w:rPr>
              <w:t>a</w:t>
            </w:r>
          </w:p>
        </w:tc>
        <w:tc>
          <w:tcPr>
            <w:tcW w:w="1205" w:type="dxa"/>
            <w:tcMar/>
          </w:tcPr>
          <w:p w:rsidRPr="00E02095" w:rsidR="009A5107" w:rsidP="00DE089B" w:rsidRDefault="009A5107" w14:paraId="15866E86" w14:textId="3F44B42A">
            <w:pPr>
              <w:rPr>
                <w:b/>
                <w:sz w:val="20"/>
                <w:lang w:val="en-US"/>
              </w:rPr>
            </w:pPr>
            <w:proofErr w:type="spellStart"/>
            <w:r>
              <w:rPr>
                <w:b/>
                <w:sz w:val="20"/>
                <w:lang w:val="en-US"/>
              </w:rPr>
              <w:t>LoD</w:t>
            </w:r>
            <w:r w:rsidR="00E02095">
              <w:rPr>
                <w:b/>
                <w:sz w:val="20"/>
                <w:vertAlign w:val="superscript"/>
                <w:lang w:val="en-US"/>
              </w:rPr>
              <w:t>b</w:t>
            </w:r>
            <w:proofErr w:type="spellEnd"/>
          </w:p>
          <w:p w:rsidR="009A5107" w:rsidP="00DE089B" w:rsidRDefault="009A5107" w14:paraId="718E5376" w14:textId="6EC60F45">
            <w:pPr>
              <w:rPr>
                <w:b/>
                <w:sz w:val="20"/>
                <w:szCs w:val="20"/>
                <w:lang w:val="en-US"/>
              </w:rPr>
            </w:pPr>
            <w:r w:rsidRPr="6922F701">
              <w:rPr>
                <w:b/>
                <w:sz w:val="20"/>
                <w:szCs w:val="20"/>
                <w:lang w:val="en-US"/>
              </w:rPr>
              <w:t>(</w:t>
            </w:r>
            <w:proofErr w:type="spellStart"/>
            <w:r w:rsidRPr="6922F701">
              <w:rPr>
                <w:b/>
                <w:sz w:val="20"/>
                <w:szCs w:val="20"/>
                <w:lang w:val="en-US"/>
              </w:rPr>
              <w:t>μg</w:t>
            </w:r>
            <w:proofErr w:type="spellEnd"/>
            <w:r w:rsidRPr="6922F701">
              <w:rPr>
                <w:b/>
                <w:sz w:val="20"/>
                <w:szCs w:val="20"/>
                <w:lang w:val="en-US"/>
              </w:rPr>
              <w:t>/L)</w:t>
            </w:r>
          </w:p>
        </w:tc>
        <w:tc>
          <w:tcPr>
            <w:tcW w:w="1530" w:type="dxa"/>
            <w:tcMar/>
          </w:tcPr>
          <w:p w:rsidR="009A5107" w:rsidP="00DE089B" w:rsidRDefault="009A5107" w14:paraId="1BBD65C7" w14:textId="6A76E898">
            <w:pPr>
              <w:rPr>
                <w:b/>
                <w:sz w:val="20"/>
                <w:lang w:val="en-US"/>
              </w:rPr>
            </w:pPr>
            <w:r>
              <w:rPr>
                <w:b/>
                <w:sz w:val="20"/>
                <w:lang w:val="en-US"/>
              </w:rPr>
              <w:t>Mean (SD)</w:t>
            </w:r>
            <w:r w:rsidRPr="00E02095" w:rsidR="00E02095">
              <w:rPr>
                <w:b/>
                <w:sz w:val="20"/>
                <w:vertAlign w:val="superscript"/>
                <w:lang w:val="en-US"/>
              </w:rPr>
              <w:t>c</w:t>
            </w:r>
          </w:p>
          <w:p w:rsidRPr="009A5107" w:rsidR="009A5107" w:rsidP="00DE089B" w:rsidRDefault="009A5107" w14:paraId="401DD43A" w14:textId="4033B5A9">
            <w:pPr>
              <w:rPr>
                <w:b/>
                <w:sz w:val="20"/>
                <w:lang w:val="en-US"/>
              </w:rPr>
            </w:pPr>
            <w:r>
              <w:rPr>
                <w:b/>
                <w:sz w:val="20"/>
                <w:lang w:val="en-US"/>
              </w:rPr>
              <w:t>(</w:t>
            </w:r>
            <w:proofErr w:type="spellStart"/>
            <w:r>
              <w:rPr>
                <w:b/>
                <w:sz w:val="20"/>
                <w:lang w:val="en-US"/>
              </w:rPr>
              <w:t>μg</w:t>
            </w:r>
            <w:proofErr w:type="spellEnd"/>
            <w:r>
              <w:rPr>
                <w:b/>
                <w:sz w:val="20"/>
                <w:lang w:val="en-US"/>
              </w:rPr>
              <w:t>/L)</w:t>
            </w:r>
          </w:p>
        </w:tc>
        <w:tc>
          <w:tcPr>
            <w:tcW w:w="796" w:type="dxa"/>
            <w:tcMar/>
          </w:tcPr>
          <w:p w:rsidR="009A5107" w:rsidP="00DE089B" w:rsidRDefault="009A5107" w14:paraId="42D685BA" w14:textId="77777777">
            <w:pPr>
              <w:rPr>
                <w:b/>
                <w:sz w:val="20"/>
                <w:lang w:val="en-US"/>
              </w:rPr>
            </w:pPr>
            <w:r>
              <w:rPr>
                <w:b/>
                <w:sz w:val="20"/>
                <w:lang w:val="en-US"/>
              </w:rPr>
              <w:t xml:space="preserve">CV </w:t>
            </w:r>
          </w:p>
          <w:p w:rsidR="009A5107" w:rsidP="00DE089B" w:rsidRDefault="009A5107" w14:paraId="71128F29" w14:textId="1ACCEE16">
            <w:pPr>
              <w:rPr>
                <w:b/>
                <w:sz w:val="20"/>
                <w:lang w:val="en-US"/>
              </w:rPr>
            </w:pPr>
            <w:r>
              <w:rPr>
                <w:b/>
                <w:sz w:val="20"/>
                <w:lang w:val="en-US"/>
              </w:rPr>
              <w:t>(%)</w:t>
            </w:r>
          </w:p>
        </w:tc>
        <w:tc>
          <w:tcPr>
            <w:tcW w:w="1455" w:type="dxa"/>
            <w:tcMar/>
          </w:tcPr>
          <w:p w:rsidR="009A5107" w:rsidP="00DE089B" w:rsidRDefault="009A5107" w14:paraId="340577B6" w14:textId="3EE924B4">
            <w:pPr>
              <w:rPr>
                <w:b/>
                <w:sz w:val="20"/>
                <w:lang w:val="en-US"/>
              </w:rPr>
            </w:pPr>
            <w:r>
              <w:rPr>
                <w:b/>
                <w:sz w:val="20"/>
                <w:lang w:val="en-US"/>
              </w:rPr>
              <w:t>Range (</w:t>
            </w:r>
            <w:proofErr w:type="spellStart"/>
            <w:r>
              <w:rPr>
                <w:b/>
                <w:sz w:val="20"/>
                <w:lang w:val="en-US"/>
              </w:rPr>
              <w:t>μg</w:t>
            </w:r>
            <w:proofErr w:type="spellEnd"/>
            <w:r>
              <w:rPr>
                <w:b/>
                <w:sz w:val="20"/>
                <w:lang w:val="en-US"/>
              </w:rPr>
              <w:t>/L)</w:t>
            </w:r>
          </w:p>
        </w:tc>
        <w:tc>
          <w:tcPr>
            <w:tcW w:w="1365" w:type="dxa"/>
            <w:tcMar/>
          </w:tcPr>
          <w:p w:rsidR="009A5107" w:rsidP="00DE089B" w:rsidRDefault="009A5107" w14:paraId="1B28225E" w14:textId="5796D6CE">
            <w:pPr>
              <w:rPr>
                <w:b/>
                <w:sz w:val="20"/>
                <w:lang w:val="en-US"/>
              </w:rPr>
            </w:pPr>
            <w:r>
              <w:rPr>
                <w:b/>
                <w:sz w:val="20"/>
                <w:lang w:val="en-US"/>
              </w:rPr>
              <w:t>Bias (SEM)</w:t>
            </w:r>
            <w:r w:rsidRPr="00D42943" w:rsidR="00D42943">
              <w:rPr>
                <w:b/>
                <w:sz w:val="20"/>
                <w:vertAlign w:val="superscript"/>
                <w:lang w:val="en-US"/>
              </w:rPr>
              <w:t>d</w:t>
            </w:r>
          </w:p>
          <w:p w:rsidRPr="009D1FF3" w:rsidR="009A5107" w:rsidP="00DE089B" w:rsidRDefault="009A5107" w14:paraId="4BAA8492" w14:textId="44040CBD">
            <w:pPr>
              <w:rPr>
                <w:b/>
                <w:sz w:val="20"/>
                <w:lang w:val="en-US"/>
              </w:rPr>
            </w:pPr>
            <w:r>
              <w:rPr>
                <w:b/>
                <w:sz w:val="20"/>
                <w:lang w:val="en-US"/>
              </w:rPr>
              <w:t>(%)</w:t>
            </w:r>
          </w:p>
        </w:tc>
      </w:tr>
      <w:tr w:rsidR="009A5107" w:rsidTr="72DFF27F" w14:paraId="1A792761" w14:textId="77777777">
        <w:tc>
          <w:tcPr>
            <w:tcW w:w="2694" w:type="dxa"/>
            <w:tcMar/>
          </w:tcPr>
          <w:p w:rsidR="009A5107" w:rsidP="04D52F09" w:rsidRDefault="023FE303" w14:paraId="200F6448" w14:textId="3287489A">
            <w:pPr>
              <w:rPr>
                <w:sz w:val="20"/>
                <w:szCs w:val="20"/>
                <w:lang w:val="en-US"/>
              </w:rPr>
            </w:pPr>
            <w:r w:rsidRPr="6282E75D">
              <w:rPr>
                <w:sz w:val="20"/>
                <w:szCs w:val="20"/>
                <w:lang w:val="en-US"/>
              </w:rPr>
              <w:t>Abbott</w:t>
            </w:r>
            <w:r w:rsidRPr="6282E75D" w:rsidR="0EDE21C2">
              <w:rPr>
                <w:sz w:val="20"/>
                <w:szCs w:val="20"/>
                <w:lang w:val="en-US"/>
              </w:rPr>
              <w:t xml:space="preserve"> Architect/</w:t>
            </w:r>
            <w:proofErr w:type="spellStart"/>
            <w:r w:rsidRPr="6282E75D" w:rsidR="0EDE21C2">
              <w:rPr>
                <w:sz w:val="20"/>
                <w:szCs w:val="20"/>
                <w:lang w:val="en-US"/>
              </w:rPr>
              <w:t>Alinity</w:t>
            </w:r>
            <w:proofErr w:type="spellEnd"/>
          </w:p>
        </w:tc>
        <w:tc>
          <w:tcPr>
            <w:tcW w:w="675" w:type="dxa"/>
            <w:tcMar/>
          </w:tcPr>
          <w:p w:rsidR="009A5107" w:rsidP="00E6786A" w:rsidRDefault="009A5107" w14:paraId="0E3246B0" w14:textId="77777777">
            <w:pPr>
              <w:pStyle w:val="paragraph"/>
              <w:spacing w:before="0" w:beforeAutospacing="0" w:after="0" w:afterAutospacing="0"/>
              <w:textAlignment w:val="baseline"/>
              <w:divId w:val="288437199"/>
              <w:rPr>
                <w:rFonts w:ascii="Segoe UI" w:hAnsi="Segoe UI" w:cs="Segoe UI"/>
                <w:sz w:val="18"/>
                <w:szCs w:val="18"/>
              </w:rPr>
            </w:pPr>
            <w:r>
              <w:rPr>
                <w:rStyle w:val="normaltextrun"/>
                <w:rFonts w:ascii="Arial" w:hAnsi="Arial" w:cs="Arial"/>
                <w:sz w:val="20"/>
                <w:szCs w:val="20"/>
                <w:lang w:val="en-US"/>
              </w:rPr>
              <w:t>8</w:t>
            </w:r>
            <w:r>
              <w:rPr>
                <w:rStyle w:val="eop"/>
                <w:rFonts w:ascii="Arial" w:hAnsi="Arial" w:cs="Arial"/>
                <w:sz w:val="20"/>
                <w:szCs w:val="20"/>
              </w:rPr>
              <w:t> </w:t>
            </w:r>
          </w:p>
        </w:tc>
        <w:tc>
          <w:tcPr>
            <w:tcW w:w="1205" w:type="dxa"/>
            <w:tcMar/>
          </w:tcPr>
          <w:p w:rsidR="009A5107" w:rsidP="561F9059" w:rsidRDefault="59B59E50" w14:paraId="4627C077" w14:textId="5427A1C1">
            <w:pPr>
              <w:pStyle w:val="paragraph"/>
              <w:spacing w:before="0" w:beforeAutospacing="off" w:after="0" w:afterAutospacing="off"/>
              <w:textAlignment w:val="baseline"/>
              <w:rPr>
                <w:rStyle w:val="normaltextrun"/>
                <w:rFonts w:ascii="Arial" w:hAnsi="Arial" w:cs="Arial"/>
                <w:sz w:val="20"/>
                <w:szCs w:val="20"/>
                <w:lang w:val="en-US"/>
              </w:rPr>
            </w:pPr>
            <w:r w:rsidRPr="561F9059" w:rsidR="59B59E50">
              <w:rPr>
                <w:rStyle w:val="normaltextrun"/>
                <w:rFonts w:ascii="Arial" w:hAnsi="Arial" w:cs="Arial"/>
                <w:sz w:val="20"/>
                <w:szCs w:val="20"/>
                <w:lang w:val="en-US"/>
              </w:rPr>
              <w:t>0.008/</w:t>
            </w:r>
          </w:p>
          <w:p w:rsidR="009A5107" w:rsidP="561F9059" w:rsidRDefault="59B59E50" w14:paraId="1C8ABCF6" w14:textId="72C4A363">
            <w:pPr>
              <w:pStyle w:val="paragraph"/>
              <w:spacing w:before="0" w:beforeAutospacing="off" w:after="0" w:afterAutospacing="off"/>
              <w:textAlignment w:val="baseline"/>
              <w:rPr>
                <w:rStyle w:val="normaltextrun"/>
                <w:rFonts w:ascii="Arial" w:hAnsi="Arial" w:cs="Arial"/>
                <w:sz w:val="20"/>
                <w:szCs w:val="20"/>
                <w:lang w:val="en-US"/>
              </w:rPr>
            </w:pPr>
            <w:r w:rsidRPr="561F9059" w:rsidR="5EC3ACBF">
              <w:rPr>
                <w:rStyle w:val="normaltextrun"/>
                <w:rFonts w:ascii="Arial" w:hAnsi="Arial" w:cs="Arial"/>
                <w:sz w:val="20"/>
                <w:szCs w:val="20"/>
                <w:lang w:val="en-US"/>
              </w:rPr>
              <w:t>0.003</w:t>
            </w:r>
          </w:p>
        </w:tc>
        <w:tc>
          <w:tcPr>
            <w:tcW w:w="1530" w:type="dxa"/>
            <w:tcMar/>
          </w:tcPr>
          <w:p w:rsidR="009A5107" w:rsidP="00E6786A" w:rsidRDefault="009A5107" w14:paraId="458D9A62" w14:textId="37F7126D">
            <w:pPr>
              <w:pStyle w:val="paragraph"/>
              <w:spacing w:before="0" w:beforeAutospacing="0" w:after="0" w:afterAutospacing="0"/>
              <w:textAlignment w:val="baseline"/>
              <w:divId w:val="1999840879"/>
              <w:rPr>
                <w:rFonts w:ascii="Segoe UI" w:hAnsi="Segoe UI" w:cs="Segoe UI"/>
                <w:sz w:val="18"/>
                <w:szCs w:val="18"/>
              </w:rPr>
            </w:pPr>
            <w:r>
              <w:rPr>
                <w:rStyle w:val="normaltextrun"/>
                <w:rFonts w:ascii="Arial" w:hAnsi="Arial" w:cs="Arial"/>
                <w:sz w:val="20"/>
                <w:szCs w:val="20"/>
                <w:lang w:val="en-US"/>
              </w:rPr>
              <w:t>0.060 (0.007)</w:t>
            </w:r>
            <w:r>
              <w:rPr>
                <w:rStyle w:val="eop"/>
                <w:rFonts w:ascii="Arial" w:hAnsi="Arial" w:cs="Arial"/>
                <w:sz w:val="20"/>
                <w:szCs w:val="20"/>
              </w:rPr>
              <w:t> </w:t>
            </w:r>
          </w:p>
        </w:tc>
        <w:tc>
          <w:tcPr>
            <w:tcW w:w="796" w:type="dxa"/>
            <w:tcMar/>
          </w:tcPr>
          <w:p w:rsidR="009A5107" w:rsidP="00E6786A" w:rsidRDefault="009A5107" w14:paraId="4D483E72" w14:textId="77777777">
            <w:pPr>
              <w:pStyle w:val="paragraph"/>
              <w:spacing w:before="0" w:beforeAutospacing="0" w:after="0" w:afterAutospacing="0"/>
              <w:textAlignment w:val="baseline"/>
              <w:divId w:val="1330405587"/>
              <w:rPr>
                <w:rFonts w:ascii="Segoe UI" w:hAnsi="Segoe UI" w:cs="Segoe UI"/>
                <w:sz w:val="18"/>
                <w:szCs w:val="18"/>
              </w:rPr>
            </w:pPr>
            <w:r>
              <w:rPr>
                <w:rStyle w:val="normaltextrun"/>
                <w:rFonts w:ascii="Arial" w:hAnsi="Arial" w:cs="Arial"/>
                <w:sz w:val="20"/>
                <w:szCs w:val="20"/>
                <w:lang w:val="en-US"/>
              </w:rPr>
              <w:t>11.7</w:t>
            </w:r>
            <w:r>
              <w:rPr>
                <w:rStyle w:val="eop"/>
                <w:rFonts w:ascii="Arial" w:hAnsi="Arial" w:cs="Arial"/>
                <w:sz w:val="20"/>
                <w:szCs w:val="20"/>
              </w:rPr>
              <w:t> </w:t>
            </w:r>
          </w:p>
        </w:tc>
        <w:tc>
          <w:tcPr>
            <w:tcW w:w="1455" w:type="dxa"/>
            <w:tcMar/>
          </w:tcPr>
          <w:p w:rsidR="009A5107" w:rsidP="00E6786A" w:rsidRDefault="009A5107" w14:paraId="7F949307" w14:textId="77777777">
            <w:pPr>
              <w:pStyle w:val="paragraph"/>
              <w:spacing w:before="0" w:beforeAutospacing="0" w:after="0" w:afterAutospacing="0"/>
              <w:textAlignment w:val="baseline"/>
              <w:divId w:val="1619945362"/>
              <w:rPr>
                <w:rFonts w:ascii="Segoe UI" w:hAnsi="Segoe UI" w:cs="Segoe UI"/>
                <w:sz w:val="18"/>
                <w:szCs w:val="18"/>
              </w:rPr>
            </w:pPr>
            <w:r>
              <w:rPr>
                <w:rStyle w:val="normaltextrun"/>
                <w:rFonts w:ascii="Arial" w:hAnsi="Arial" w:cs="Arial"/>
                <w:sz w:val="20"/>
                <w:szCs w:val="20"/>
                <w:lang w:val="en-US"/>
              </w:rPr>
              <w:t>0.050-0.070</w:t>
            </w:r>
            <w:r>
              <w:rPr>
                <w:rStyle w:val="eop"/>
                <w:rFonts w:ascii="Arial" w:hAnsi="Arial" w:cs="Arial"/>
                <w:sz w:val="20"/>
                <w:szCs w:val="20"/>
              </w:rPr>
              <w:t> </w:t>
            </w:r>
          </w:p>
        </w:tc>
        <w:tc>
          <w:tcPr>
            <w:tcW w:w="1365" w:type="dxa"/>
            <w:tcMar/>
          </w:tcPr>
          <w:p w:rsidR="009A5107" w:rsidP="00E6786A" w:rsidRDefault="009A5107" w14:paraId="1E33E46B" w14:textId="77777777">
            <w:pPr>
              <w:pStyle w:val="paragraph"/>
              <w:spacing w:before="0" w:beforeAutospacing="0" w:after="0" w:afterAutospacing="0"/>
              <w:textAlignment w:val="baseline"/>
              <w:divId w:val="1120297083"/>
              <w:rPr>
                <w:rFonts w:ascii="Segoe UI" w:hAnsi="Segoe UI" w:cs="Segoe UI"/>
                <w:sz w:val="18"/>
                <w:szCs w:val="18"/>
              </w:rPr>
            </w:pPr>
            <w:r>
              <w:rPr>
                <w:rStyle w:val="normaltextrun"/>
                <w:rFonts w:ascii="Arial" w:hAnsi="Arial" w:cs="Arial"/>
                <w:sz w:val="20"/>
                <w:szCs w:val="20"/>
                <w:lang w:val="en-US"/>
              </w:rPr>
              <w:t>-34.6 (2.9)</w:t>
            </w:r>
            <w:r>
              <w:rPr>
                <w:rStyle w:val="eop"/>
                <w:rFonts w:ascii="Arial" w:hAnsi="Arial" w:cs="Arial"/>
                <w:sz w:val="20"/>
                <w:szCs w:val="20"/>
              </w:rPr>
              <w:t> </w:t>
            </w:r>
          </w:p>
        </w:tc>
      </w:tr>
      <w:tr w:rsidR="009A5107" w:rsidTr="72DFF27F" w14:paraId="54E8BBF9" w14:textId="77777777">
        <w:tc>
          <w:tcPr>
            <w:tcW w:w="2694" w:type="dxa"/>
            <w:tcMar/>
          </w:tcPr>
          <w:p w:rsidR="009A5107" w:rsidP="04D52F09" w:rsidRDefault="009A5107" w14:paraId="2D4AFC16" w14:textId="77777777">
            <w:pPr>
              <w:rPr>
                <w:sz w:val="20"/>
                <w:szCs w:val="20"/>
                <w:lang w:val="en-US"/>
              </w:rPr>
            </w:pPr>
            <w:r w:rsidRPr="04D52F09">
              <w:rPr>
                <w:sz w:val="20"/>
                <w:szCs w:val="20"/>
                <w:lang w:val="en-US"/>
              </w:rPr>
              <w:t>Beckman Coulter Access/DXI</w:t>
            </w:r>
          </w:p>
        </w:tc>
        <w:tc>
          <w:tcPr>
            <w:tcW w:w="675" w:type="dxa"/>
            <w:tcMar/>
          </w:tcPr>
          <w:p w:rsidR="009A5107" w:rsidP="00E6786A" w:rsidRDefault="009A5107" w14:paraId="065765F6" w14:textId="77777777">
            <w:pPr>
              <w:pStyle w:val="paragraph"/>
              <w:spacing w:before="0" w:beforeAutospacing="0" w:after="0" w:afterAutospacing="0"/>
              <w:textAlignment w:val="baseline"/>
              <w:divId w:val="1308700649"/>
              <w:rPr>
                <w:rFonts w:ascii="Segoe UI" w:hAnsi="Segoe UI" w:cs="Segoe UI"/>
                <w:sz w:val="18"/>
                <w:szCs w:val="18"/>
              </w:rPr>
            </w:pPr>
            <w:r>
              <w:rPr>
                <w:rStyle w:val="normaltextrun"/>
                <w:rFonts w:ascii="Arial" w:hAnsi="Arial" w:cs="Arial"/>
                <w:sz w:val="20"/>
                <w:szCs w:val="20"/>
                <w:lang w:val="en-US"/>
              </w:rPr>
              <w:t>9</w:t>
            </w:r>
            <w:r>
              <w:rPr>
                <w:rStyle w:val="eop"/>
                <w:rFonts w:ascii="Arial" w:hAnsi="Arial" w:cs="Arial"/>
                <w:sz w:val="20"/>
                <w:szCs w:val="20"/>
              </w:rPr>
              <w:t> </w:t>
            </w:r>
          </w:p>
        </w:tc>
        <w:tc>
          <w:tcPr>
            <w:tcW w:w="1205" w:type="dxa"/>
            <w:tcMar/>
          </w:tcPr>
          <w:p w:rsidR="009A5107" w:rsidP="00E6786A" w:rsidRDefault="00CE4672" w14:paraId="5BB94D8D" w14:textId="7072C251">
            <w:pPr>
              <w:pStyle w:val="paragraph"/>
              <w:spacing w:before="0" w:beforeAutospacing="0" w:after="0" w:afterAutospacing="0"/>
              <w:textAlignment w:val="baseline"/>
              <w:rPr>
                <w:rStyle w:val="normaltextrun"/>
                <w:rFonts w:ascii="Arial" w:hAnsi="Arial" w:cs="Arial"/>
                <w:sz w:val="20"/>
                <w:szCs w:val="20"/>
                <w:lang w:val="en-US"/>
              </w:rPr>
            </w:pPr>
            <w:r>
              <w:rPr>
                <w:rStyle w:val="normaltextrun"/>
                <w:rFonts w:ascii="Arial" w:hAnsi="Arial" w:cs="Arial"/>
                <w:sz w:val="20"/>
                <w:szCs w:val="20"/>
                <w:lang w:val="en-US"/>
              </w:rPr>
              <w:t>0</w:t>
            </w:r>
            <w:r>
              <w:rPr>
                <w:rStyle w:val="normaltextrun"/>
                <w:rFonts w:ascii="Arial" w:hAnsi="Arial" w:cs="Arial"/>
                <w:sz w:val="20"/>
                <w:szCs w:val="20"/>
              </w:rPr>
              <w:t>.008</w:t>
            </w:r>
          </w:p>
        </w:tc>
        <w:tc>
          <w:tcPr>
            <w:tcW w:w="1530" w:type="dxa"/>
            <w:tcMar/>
          </w:tcPr>
          <w:p w:rsidR="009A5107" w:rsidP="00E6786A" w:rsidRDefault="009A5107" w14:paraId="1EDDF33D" w14:textId="78151451">
            <w:pPr>
              <w:pStyle w:val="paragraph"/>
              <w:spacing w:before="0" w:beforeAutospacing="0" w:after="0" w:afterAutospacing="0"/>
              <w:textAlignment w:val="baseline"/>
              <w:divId w:val="1961063515"/>
              <w:rPr>
                <w:rFonts w:ascii="Segoe UI" w:hAnsi="Segoe UI" w:cs="Segoe UI"/>
                <w:sz w:val="18"/>
                <w:szCs w:val="18"/>
              </w:rPr>
            </w:pPr>
            <w:r>
              <w:rPr>
                <w:rStyle w:val="normaltextrun"/>
                <w:rFonts w:ascii="Arial" w:hAnsi="Arial" w:cs="Arial"/>
                <w:sz w:val="20"/>
                <w:szCs w:val="20"/>
                <w:lang w:val="en-US"/>
              </w:rPr>
              <w:t>0.100 (0.007)</w:t>
            </w:r>
            <w:r>
              <w:rPr>
                <w:rStyle w:val="eop"/>
                <w:rFonts w:ascii="Arial" w:hAnsi="Arial" w:cs="Arial"/>
                <w:sz w:val="20"/>
                <w:szCs w:val="20"/>
              </w:rPr>
              <w:t> </w:t>
            </w:r>
          </w:p>
        </w:tc>
        <w:tc>
          <w:tcPr>
            <w:tcW w:w="796" w:type="dxa"/>
            <w:tcMar/>
          </w:tcPr>
          <w:p w:rsidR="009A5107" w:rsidP="00E6786A" w:rsidRDefault="009A5107" w14:paraId="22694AA4" w14:textId="77777777">
            <w:pPr>
              <w:pStyle w:val="paragraph"/>
              <w:spacing w:before="0" w:beforeAutospacing="0" w:after="0" w:afterAutospacing="0"/>
              <w:textAlignment w:val="baseline"/>
              <w:divId w:val="993414701"/>
              <w:rPr>
                <w:rFonts w:ascii="Segoe UI" w:hAnsi="Segoe UI" w:cs="Segoe UI"/>
                <w:sz w:val="18"/>
                <w:szCs w:val="18"/>
              </w:rPr>
            </w:pPr>
            <w:r>
              <w:rPr>
                <w:rStyle w:val="normaltextrun"/>
                <w:rFonts w:ascii="Arial" w:hAnsi="Arial" w:cs="Arial"/>
                <w:sz w:val="20"/>
                <w:szCs w:val="20"/>
                <w:lang w:val="en-US"/>
              </w:rPr>
              <w:t>7.0</w:t>
            </w:r>
            <w:r>
              <w:rPr>
                <w:rStyle w:val="eop"/>
                <w:rFonts w:ascii="Arial" w:hAnsi="Arial" w:cs="Arial"/>
                <w:sz w:val="20"/>
                <w:szCs w:val="20"/>
              </w:rPr>
              <w:t> </w:t>
            </w:r>
          </w:p>
        </w:tc>
        <w:tc>
          <w:tcPr>
            <w:tcW w:w="1455" w:type="dxa"/>
            <w:tcMar/>
          </w:tcPr>
          <w:p w:rsidR="009A5107" w:rsidP="00E6786A" w:rsidRDefault="009A5107" w14:paraId="3A43FAE9" w14:textId="77777777">
            <w:pPr>
              <w:pStyle w:val="paragraph"/>
              <w:spacing w:before="0" w:beforeAutospacing="0" w:after="0" w:afterAutospacing="0"/>
              <w:textAlignment w:val="baseline"/>
              <w:divId w:val="1895388847"/>
              <w:rPr>
                <w:rFonts w:ascii="Segoe UI" w:hAnsi="Segoe UI" w:cs="Segoe UI"/>
                <w:sz w:val="18"/>
                <w:szCs w:val="18"/>
              </w:rPr>
            </w:pPr>
            <w:r>
              <w:rPr>
                <w:rStyle w:val="normaltextrun"/>
                <w:rFonts w:ascii="Arial" w:hAnsi="Arial" w:cs="Arial"/>
                <w:sz w:val="20"/>
                <w:szCs w:val="20"/>
                <w:lang w:val="en-US"/>
              </w:rPr>
              <w:t>0.090-0.120</w:t>
            </w:r>
            <w:r>
              <w:rPr>
                <w:rStyle w:val="eop"/>
                <w:rFonts w:ascii="Arial" w:hAnsi="Arial" w:cs="Arial"/>
                <w:sz w:val="20"/>
                <w:szCs w:val="20"/>
              </w:rPr>
              <w:t> </w:t>
            </w:r>
          </w:p>
        </w:tc>
        <w:tc>
          <w:tcPr>
            <w:tcW w:w="1365" w:type="dxa"/>
            <w:tcMar/>
          </w:tcPr>
          <w:p w:rsidR="009A5107" w:rsidP="00E6786A" w:rsidRDefault="009A5107" w14:paraId="33B1C347" w14:textId="77777777">
            <w:pPr>
              <w:pStyle w:val="paragraph"/>
              <w:spacing w:before="0" w:beforeAutospacing="0" w:after="0" w:afterAutospacing="0"/>
              <w:textAlignment w:val="baseline"/>
              <w:divId w:val="420566655"/>
              <w:rPr>
                <w:rFonts w:ascii="Segoe UI" w:hAnsi="Segoe UI" w:cs="Segoe UI"/>
                <w:sz w:val="18"/>
                <w:szCs w:val="18"/>
              </w:rPr>
            </w:pPr>
            <w:r>
              <w:rPr>
                <w:rStyle w:val="normaltextrun"/>
                <w:rFonts w:ascii="Arial" w:hAnsi="Arial" w:cs="Arial"/>
                <w:sz w:val="20"/>
                <w:szCs w:val="20"/>
                <w:lang w:val="en-US"/>
              </w:rPr>
              <w:t>18.9 (3.9)</w:t>
            </w:r>
            <w:r>
              <w:rPr>
                <w:rStyle w:val="eop"/>
                <w:rFonts w:ascii="Arial" w:hAnsi="Arial" w:cs="Arial"/>
                <w:sz w:val="20"/>
                <w:szCs w:val="20"/>
              </w:rPr>
              <w:t> </w:t>
            </w:r>
          </w:p>
        </w:tc>
      </w:tr>
      <w:tr w:rsidR="009A5107" w:rsidTr="72DFF27F" w14:paraId="6F9AB2FE" w14:textId="77777777">
        <w:tc>
          <w:tcPr>
            <w:tcW w:w="2694" w:type="dxa"/>
            <w:tcMar/>
          </w:tcPr>
          <w:p w:rsidR="009A5107" w:rsidP="04D52F09" w:rsidRDefault="009A5107" w14:paraId="11920DA8" w14:textId="77777777">
            <w:pPr>
              <w:rPr>
                <w:sz w:val="20"/>
                <w:szCs w:val="20"/>
                <w:lang w:val="en-US"/>
              </w:rPr>
            </w:pPr>
            <w:r w:rsidRPr="04D52F09">
              <w:rPr>
                <w:sz w:val="20"/>
                <w:szCs w:val="20"/>
                <w:lang w:val="en-US"/>
              </w:rPr>
              <w:t xml:space="preserve">Roche </w:t>
            </w:r>
            <w:proofErr w:type="spellStart"/>
            <w:r w:rsidRPr="04D52F09">
              <w:rPr>
                <w:sz w:val="20"/>
                <w:szCs w:val="20"/>
                <w:lang w:val="en-US"/>
              </w:rPr>
              <w:t>Cobas</w:t>
            </w:r>
            <w:proofErr w:type="spellEnd"/>
          </w:p>
        </w:tc>
        <w:tc>
          <w:tcPr>
            <w:tcW w:w="675" w:type="dxa"/>
            <w:tcMar/>
          </w:tcPr>
          <w:p w:rsidR="009A5107" w:rsidP="00E6786A" w:rsidRDefault="009A5107" w14:paraId="39A13D82" w14:textId="77777777">
            <w:pPr>
              <w:pStyle w:val="paragraph"/>
              <w:spacing w:before="0" w:beforeAutospacing="0" w:after="0" w:afterAutospacing="0"/>
              <w:textAlignment w:val="baseline"/>
              <w:divId w:val="1987009379"/>
              <w:rPr>
                <w:rFonts w:ascii="Segoe UI" w:hAnsi="Segoe UI" w:cs="Segoe UI"/>
                <w:sz w:val="18"/>
                <w:szCs w:val="18"/>
              </w:rPr>
            </w:pPr>
            <w:r>
              <w:rPr>
                <w:rStyle w:val="normaltextrun"/>
                <w:rFonts w:ascii="Arial" w:hAnsi="Arial" w:cs="Arial"/>
                <w:sz w:val="20"/>
                <w:szCs w:val="20"/>
                <w:lang w:val="en-US"/>
              </w:rPr>
              <w:t>75</w:t>
            </w:r>
            <w:r>
              <w:rPr>
                <w:rStyle w:val="eop"/>
                <w:rFonts w:ascii="Arial" w:hAnsi="Arial" w:cs="Arial"/>
                <w:sz w:val="20"/>
                <w:szCs w:val="20"/>
              </w:rPr>
              <w:t> </w:t>
            </w:r>
          </w:p>
        </w:tc>
        <w:tc>
          <w:tcPr>
            <w:tcW w:w="1205" w:type="dxa"/>
            <w:tcMar/>
          </w:tcPr>
          <w:p w:rsidR="009A5107" w:rsidP="00E6786A" w:rsidRDefault="005A578B" w14:paraId="78B0FBAB" w14:textId="3ECBC79B">
            <w:pPr>
              <w:pStyle w:val="paragraph"/>
              <w:spacing w:before="0" w:beforeAutospacing="0" w:after="0" w:afterAutospacing="0"/>
              <w:textAlignment w:val="baseline"/>
              <w:rPr>
                <w:rStyle w:val="normaltextrun"/>
                <w:rFonts w:ascii="Arial" w:hAnsi="Arial" w:cs="Arial"/>
                <w:sz w:val="20"/>
                <w:szCs w:val="20"/>
                <w:lang w:val="en-US"/>
              </w:rPr>
            </w:pPr>
            <w:r>
              <w:rPr>
                <w:rStyle w:val="normaltextrun"/>
                <w:rFonts w:ascii="Arial" w:hAnsi="Arial" w:cs="Arial"/>
                <w:sz w:val="20"/>
                <w:szCs w:val="20"/>
                <w:lang w:val="en-US"/>
              </w:rPr>
              <w:t>0</w:t>
            </w:r>
            <w:r>
              <w:rPr>
                <w:rStyle w:val="normaltextrun"/>
                <w:rFonts w:ascii="Arial" w:hAnsi="Arial" w:cs="Arial"/>
                <w:sz w:val="20"/>
                <w:szCs w:val="20"/>
              </w:rPr>
              <w:t>.010</w:t>
            </w:r>
          </w:p>
        </w:tc>
        <w:tc>
          <w:tcPr>
            <w:tcW w:w="1530" w:type="dxa"/>
            <w:tcMar/>
          </w:tcPr>
          <w:p w:rsidR="009A5107" w:rsidP="00E6786A" w:rsidRDefault="009A5107" w14:paraId="48D3720E" w14:textId="61FE6D39">
            <w:pPr>
              <w:pStyle w:val="paragraph"/>
              <w:spacing w:before="0" w:beforeAutospacing="0" w:after="0" w:afterAutospacing="0"/>
              <w:textAlignment w:val="baseline"/>
              <w:divId w:val="235022110"/>
              <w:rPr>
                <w:rFonts w:ascii="Segoe UI" w:hAnsi="Segoe UI" w:cs="Segoe UI"/>
                <w:sz w:val="18"/>
                <w:szCs w:val="18"/>
              </w:rPr>
            </w:pPr>
            <w:r>
              <w:rPr>
                <w:rStyle w:val="normaltextrun"/>
                <w:rFonts w:ascii="Arial" w:hAnsi="Arial" w:cs="Arial"/>
                <w:sz w:val="20"/>
                <w:szCs w:val="20"/>
                <w:lang w:val="en-US"/>
              </w:rPr>
              <w:t>0.080 (0.008)</w:t>
            </w:r>
            <w:r>
              <w:rPr>
                <w:rStyle w:val="eop"/>
                <w:rFonts w:ascii="Arial" w:hAnsi="Arial" w:cs="Arial"/>
                <w:sz w:val="20"/>
                <w:szCs w:val="20"/>
              </w:rPr>
              <w:t> </w:t>
            </w:r>
          </w:p>
        </w:tc>
        <w:tc>
          <w:tcPr>
            <w:tcW w:w="796" w:type="dxa"/>
            <w:tcMar/>
          </w:tcPr>
          <w:p w:rsidR="009A5107" w:rsidP="00E6786A" w:rsidRDefault="009A5107" w14:paraId="35D975DE" w14:textId="77777777">
            <w:pPr>
              <w:pStyle w:val="paragraph"/>
              <w:spacing w:before="0" w:beforeAutospacing="0" w:after="0" w:afterAutospacing="0"/>
              <w:textAlignment w:val="baseline"/>
              <w:divId w:val="660160061"/>
              <w:rPr>
                <w:rFonts w:ascii="Segoe UI" w:hAnsi="Segoe UI" w:cs="Segoe UI"/>
                <w:sz w:val="18"/>
                <w:szCs w:val="18"/>
              </w:rPr>
            </w:pPr>
            <w:r>
              <w:rPr>
                <w:rStyle w:val="normaltextrun"/>
                <w:rFonts w:ascii="Arial" w:hAnsi="Arial" w:cs="Arial"/>
                <w:sz w:val="20"/>
                <w:szCs w:val="20"/>
                <w:lang w:val="en-US"/>
              </w:rPr>
              <w:t>10.0</w:t>
            </w:r>
            <w:r>
              <w:rPr>
                <w:rStyle w:val="eop"/>
                <w:rFonts w:ascii="Arial" w:hAnsi="Arial" w:cs="Arial"/>
                <w:sz w:val="20"/>
                <w:szCs w:val="20"/>
              </w:rPr>
              <w:t> </w:t>
            </w:r>
          </w:p>
        </w:tc>
        <w:tc>
          <w:tcPr>
            <w:tcW w:w="1455" w:type="dxa"/>
            <w:tcMar/>
          </w:tcPr>
          <w:p w:rsidR="009A5107" w:rsidP="00E6786A" w:rsidRDefault="009A5107" w14:paraId="2308450A" w14:textId="77777777">
            <w:pPr>
              <w:pStyle w:val="paragraph"/>
              <w:spacing w:before="0" w:beforeAutospacing="0" w:after="0" w:afterAutospacing="0"/>
              <w:textAlignment w:val="baseline"/>
              <w:divId w:val="86001261"/>
              <w:rPr>
                <w:rFonts w:ascii="Segoe UI" w:hAnsi="Segoe UI" w:cs="Segoe UI"/>
                <w:sz w:val="18"/>
                <w:szCs w:val="18"/>
              </w:rPr>
            </w:pPr>
            <w:r>
              <w:rPr>
                <w:rStyle w:val="normaltextrun"/>
                <w:rFonts w:ascii="Arial" w:hAnsi="Arial" w:cs="Arial"/>
                <w:sz w:val="20"/>
                <w:szCs w:val="20"/>
                <w:lang w:val="en-US"/>
              </w:rPr>
              <w:t>0.050-0.100</w:t>
            </w:r>
            <w:r>
              <w:rPr>
                <w:rStyle w:val="eop"/>
                <w:rFonts w:ascii="Arial" w:hAnsi="Arial" w:cs="Arial"/>
                <w:sz w:val="20"/>
                <w:szCs w:val="20"/>
              </w:rPr>
              <w:t> </w:t>
            </w:r>
          </w:p>
        </w:tc>
        <w:tc>
          <w:tcPr>
            <w:tcW w:w="1365" w:type="dxa"/>
            <w:tcMar/>
          </w:tcPr>
          <w:p w:rsidR="009A5107" w:rsidP="00E6786A" w:rsidRDefault="009A5107" w14:paraId="753398F2" w14:textId="77777777">
            <w:pPr>
              <w:pStyle w:val="paragraph"/>
              <w:spacing w:before="0" w:beforeAutospacing="0" w:after="0" w:afterAutospacing="0"/>
              <w:textAlignment w:val="baseline"/>
              <w:divId w:val="78216708"/>
              <w:rPr>
                <w:rFonts w:ascii="Segoe UI" w:hAnsi="Segoe UI" w:cs="Segoe UI"/>
                <w:sz w:val="18"/>
                <w:szCs w:val="18"/>
              </w:rPr>
            </w:pPr>
            <w:r>
              <w:rPr>
                <w:rStyle w:val="normaltextrun"/>
                <w:rFonts w:ascii="Arial" w:hAnsi="Arial" w:cs="Arial"/>
                <w:sz w:val="20"/>
                <w:szCs w:val="20"/>
                <w:lang w:val="en-US"/>
              </w:rPr>
              <w:t>-9.9 (1.1)</w:t>
            </w:r>
            <w:r>
              <w:rPr>
                <w:rStyle w:val="eop"/>
                <w:rFonts w:ascii="Arial" w:hAnsi="Arial" w:cs="Arial"/>
                <w:sz w:val="20"/>
                <w:szCs w:val="20"/>
              </w:rPr>
              <w:t> </w:t>
            </w:r>
          </w:p>
        </w:tc>
      </w:tr>
      <w:tr w:rsidR="009A5107" w:rsidTr="72DFF27F" w14:paraId="0A70FB9E" w14:textId="77777777">
        <w:tc>
          <w:tcPr>
            <w:tcW w:w="2694" w:type="dxa"/>
            <w:tcMar/>
          </w:tcPr>
          <w:p w:rsidR="009A5107" w:rsidP="04D52F09" w:rsidRDefault="009A5107" w14:paraId="7D78FAE1" w14:textId="77777777">
            <w:pPr>
              <w:rPr>
                <w:sz w:val="20"/>
                <w:szCs w:val="20"/>
                <w:lang w:val="en-US"/>
              </w:rPr>
            </w:pPr>
            <w:r w:rsidRPr="04D52F09">
              <w:rPr>
                <w:sz w:val="20"/>
                <w:szCs w:val="20"/>
                <w:lang w:val="en-US"/>
              </w:rPr>
              <w:t xml:space="preserve">Siemens </w:t>
            </w:r>
            <w:proofErr w:type="spellStart"/>
            <w:r w:rsidRPr="04D52F09">
              <w:rPr>
                <w:sz w:val="20"/>
                <w:szCs w:val="20"/>
                <w:lang w:val="en-US"/>
              </w:rPr>
              <w:t>Advia</w:t>
            </w:r>
            <w:proofErr w:type="spellEnd"/>
            <w:r w:rsidRPr="04D52F09">
              <w:rPr>
                <w:sz w:val="20"/>
                <w:szCs w:val="20"/>
                <w:lang w:val="en-US"/>
              </w:rPr>
              <w:t>/Centaur</w:t>
            </w:r>
          </w:p>
        </w:tc>
        <w:tc>
          <w:tcPr>
            <w:tcW w:w="675" w:type="dxa"/>
            <w:tcMar/>
          </w:tcPr>
          <w:p w:rsidR="009A5107" w:rsidP="00E6786A" w:rsidRDefault="009A5107" w14:paraId="0872288A" w14:textId="77777777">
            <w:pPr>
              <w:pStyle w:val="paragraph"/>
              <w:spacing w:before="0" w:beforeAutospacing="0" w:after="0" w:afterAutospacing="0"/>
              <w:textAlignment w:val="baseline"/>
              <w:divId w:val="352536101"/>
              <w:rPr>
                <w:rFonts w:ascii="Segoe UI" w:hAnsi="Segoe UI" w:cs="Segoe UI"/>
                <w:sz w:val="18"/>
                <w:szCs w:val="18"/>
              </w:rPr>
            </w:pPr>
            <w:r>
              <w:rPr>
                <w:rStyle w:val="normaltextrun"/>
                <w:rFonts w:ascii="Arial" w:hAnsi="Arial" w:cs="Arial"/>
                <w:sz w:val="20"/>
                <w:szCs w:val="20"/>
                <w:lang w:val="en-US"/>
              </w:rPr>
              <w:t>7</w:t>
            </w:r>
            <w:r>
              <w:rPr>
                <w:rStyle w:val="eop"/>
                <w:rFonts w:ascii="Arial" w:hAnsi="Arial" w:cs="Arial"/>
                <w:sz w:val="20"/>
                <w:szCs w:val="20"/>
              </w:rPr>
              <w:t> </w:t>
            </w:r>
          </w:p>
        </w:tc>
        <w:tc>
          <w:tcPr>
            <w:tcW w:w="1205" w:type="dxa"/>
            <w:tcMar/>
          </w:tcPr>
          <w:p w:rsidR="009A5107" w:rsidP="00E6786A" w:rsidRDefault="0086064B" w14:paraId="3EE803A9" w14:textId="619A0FA3">
            <w:pPr>
              <w:pStyle w:val="paragraph"/>
              <w:spacing w:before="0" w:beforeAutospacing="0" w:after="0" w:afterAutospacing="0"/>
              <w:textAlignment w:val="baseline"/>
              <w:rPr>
                <w:rStyle w:val="normaltextrun"/>
                <w:rFonts w:ascii="Arial" w:hAnsi="Arial" w:cs="Arial"/>
                <w:sz w:val="20"/>
                <w:szCs w:val="20"/>
                <w:lang w:val="en-US"/>
              </w:rPr>
            </w:pPr>
            <w:r>
              <w:rPr>
                <w:rStyle w:val="normaltextrun"/>
                <w:rFonts w:ascii="Arial" w:hAnsi="Arial" w:cs="Arial"/>
                <w:sz w:val="20"/>
                <w:szCs w:val="20"/>
                <w:lang w:val="en-US"/>
              </w:rPr>
              <w:t>0</w:t>
            </w:r>
            <w:r>
              <w:rPr>
                <w:rStyle w:val="normaltextrun"/>
                <w:rFonts w:ascii="Arial" w:hAnsi="Arial" w:cs="Arial"/>
                <w:sz w:val="20"/>
                <w:szCs w:val="20"/>
              </w:rPr>
              <w:t>.01</w:t>
            </w:r>
          </w:p>
        </w:tc>
        <w:tc>
          <w:tcPr>
            <w:tcW w:w="1530" w:type="dxa"/>
            <w:tcMar/>
          </w:tcPr>
          <w:p w:rsidR="009A5107" w:rsidP="00E6786A" w:rsidRDefault="009A5107" w14:paraId="108E2A94" w14:textId="2FAA9A23">
            <w:pPr>
              <w:pStyle w:val="paragraph"/>
              <w:spacing w:before="0" w:beforeAutospacing="0" w:after="0" w:afterAutospacing="0"/>
              <w:textAlignment w:val="baseline"/>
              <w:divId w:val="1151487002"/>
              <w:rPr>
                <w:rFonts w:ascii="Segoe UI" w:hAnsi="Segoe UI" w:cs="Segoe UI"/>
                <w:sz w:val="18"/>
                <w:szCs w:val="18"/>
              </w:rPr>
            </w:pPr>
            <w:r>
              <w:rPr>
                <w:rStyle w:val="normaltextrun"/>
                <w:rFonts w:ascii="Arial" w:hAnsi="Arial" w:cs="Arial"/>
                <w:sz w:val="20"/>
                <w:szCs w:val="20"/>
                <w:lang w:val="en-US"/>
              </w:rPr>
              <w:t>0.140 (0.044)</w:t>
            </w:r>
            <w:r>
              <w:rPr>
                <w:rStyle w:val="eop"/>
                <w:rFonts w:ascii="Arial" w:hAnsi="Arial" w:cs="Arial"/>
                <w:sz w:val="20"/>
                <w:szCs w:val="20"/>
              </w:rPr>
              <w:t> </w:t>
            </w:r>
          </w:p>
        </w:tc>
        <w:tc>
          <w:tcPr>
            <w:tcW w:w="796" w:type="dxa"/>
            <w:tcMar/>
          </w:tcPr>
          <w:p w:rsidR="009A5107" w:rsidP="00E6786A" w:rsidRDefault="009A5107" w14:paraId="08E32B07" w14:textId="77777777">
            <w:pPr>
              <w:pStyle w:val="paragraph"/>
              <w:spacing w:before="0" w:beforeAutospacing="0" w:after="0" w:afterAutospacing="0"/>
              <w:textAlignment w:val="baseline"/>
              <w:divId w:val="1567493924"/>
              <w:rPr>
                <w:rFonts w:ascii="Segoe UI" w:hAnsi="Segoe UI" w:cs="Segoe UI"/>
                <w:sz w:val="18"/>
                <w:szCs w:val="18"/>
              </w:rPr>
            </w:pPr>
            <w:r>
              <w:rPr>
                <w:rStyle w:val="normaltextrun"/>
                <w:rFonts w:ascii="Arial" w:hAnsi="Arial" w:cs="Arial"/>
                <w:sz w:val="20"/>
                <w:szCs w:val="20"/>
                <w:lang w:val="en-US"/>
              </w:rPr>
              <w:t>31.4</w:t>
            </w:r>
            <w:r>
              <w:rPr>
                <w:rStyle w:val="eop"/>
                <w:rFonts w:ascii="Arial" w:hAnsi="Arial" w:cs="Arial"/>
                <w:sz w:val="20"/>
                <w:szCs w:val="20"/>
              </w:rPr>
              <w:t> </w:t>
            </w:r>
          </w:p>
        </w:tc>
        <w:tc>
          <w:tcPr>
            <w:tcW w:w="1455" w:type="dxa"/>
            <w:tcMar/>
          </w:tcPr>
          <w:p w:rsidR="009A5107" w:rsidP="00E6786A" w:rsidRDefault="009A5107" w14:paraId="79D5281F" w14:textId="77777777">
            <w:pPr>
              <w:pStyle w:val="paragraph"/>
              <w:spacing w:before="0" w:beforeAutospacing="0" w:after="0" w:afterAutospacing="0"/>
              <w:textAlignment w:val="baseline"/>
              <w:divId w:val="431820453"/>
              <w:rPr>
                <w:rFonts w:ascii="Segoe UI" w:hAnsi="Segoe UI" w:cs="Segoe UI"/>
                <w:sz w:val="18"/>
                <w:szCs w:val="18"/>
              </w:rPr>
            </w:pPr>
            <w:r>
              <w:rPr>
                <w:rStyle w:val="normaltextrun"/>
                <w:rFonts w:ascii="Arial" w:hAnsi="Arial" w:cs="Arial"/>
                <w:sz w:val="20"/>
                <w:szCs w:val="20"/>
                <w:lang w:val="en-US"/>
              </w:rPr>
              <w:t>0.100-0.170</w:t>
            </w:r>
            <w:r>
              <w:rPr>
                <w:rStyle w:val="eop"/>
                <w:rFonts w:ascii="Arial" w:hAnsi="Arial" w:cs="Arial"/>
                <w:sz w:val="20"/>
                <w:szCs w:val="20"/>
              </w:rPr>
              <w:t> </w:t>
            </w:r>
          </w:p>
        </w:tc>
        <w:tc>
          <w:tcPr>
            <w:tcW w:w="1365" w:type="dxa"/>
            <w:tcMar/>
          </w:tcPr>
          <w:p w:rsidR="009A5107" w:rsidP="00E6786A" w:rsidRDefault="009A5107" w14:paraId="32287ACA" w14:textId="77777777">
            <w:pPr>
              <w:pStyle w:val="paragraph"/>
              <w:spacing w:before="0" w:beforeAutospacing="0" w:after="0" w:afterAutospacing="0"/>
              <w:textAlignment w:val="baseline"/>
              <w:divId w:val="1697004670"/>
              <w:rPr>
                <w:rFonts w:ascii="Segoe UI" w:hAnsi="Segoe UI" w:cs="Segoe UI"/>
                <w:sz w:val="18"/>
                <w:szCs w:val="18"/>
              </w:rPr>
            </w:pPr>
            <w:r>
              <w:rPr>
                <w:rStyle w:val="normaltextrun"/>
                <w:rFonts w:ascii="Arial" w:hAnsi="Arial" w:cs="Arial"/>
                <w:sz w:val="20"/>
                <w:szCs w:val="20"/>
                <w:lang w:val="en-US"/>
              </w:rPr>
              <w:t>49.6 (12.0)</w:t>
            </w:r>
            <w:r>
              <w:rPr>
                <w:rStyle w:val="eop"/>
                <w:rFonts w:ascii="Arial" w:hAnsi="Arial" w:cs="Arial"/>
                <w:sz w:val="20"/>
                <w:szCs w:val="20"/>
              </w:rPr>
              <w:t> </w:t>
            </w:r>
          </w:p>
        </w:tc>
      </w:tr>
      <w:tr w:rsidR="009A5107" w:rsidTr="72DFF27F" w14:paraId="189CC516" w14:textId="77777777">
        <w:tc>
          <w:tcPr>
            <w:tcW w:w="2694" w:type="dxa"/>
            <w:tcMar/>
          </w:tcPr>
          <w:p w:rsidR="009A5107" w:rsidP="04D52F09" w:rsidRDefault="009A5107" w14:paraId="535B2F4F" w14:textId="77777777">
            <w:pPr>
              <w:rPr>
                <w:sz w:val="20"/>
                <w:szCs w:val="20"/>
                <w:lang w:val="en-US"/>
              </w:rPr>
            </w:pPr>
            <w:r w:rsidRPr="04D52F09">
              <w:rPr>
                <w:sz w:val="20"/>
                <w:szCs w:val="20"/>
                <w:lang w:val="en-US"/>
              </w:rPr>
              <w:t xml:space="preserve">Siemens </w:t>
            </w:r>
            <w:proofErr w:type="spellStart"/>
            <w:r w:rsidRPr="04D52F09">
              <w:rPr>
                <w:sz w:val="20"/>
                <w:szCs w:val="20"/>
                <w:lang w:val="en-US"/>
              </w:rPr>
              <w:t>Atellica</w:t>
            </w:r>
            <w:proofErr w:type="spellEnd"/>
          </w:p>
        </w:tc>
        <w:tc>
          <w:tcPr>
            <w:tcW w:w="675" w:type="dxa"/>
            <w:tcMar/>
          </w:tcPr>
          <w:p w:rsidR="009A5107" w:rsidP="00E6786A" w:rsidRDefault="009A5107" w14:paraId="22C74577" w14:textId="77777777">
            <w:pPr>
              <w:pStyle w:val="paragraph"/>
              <w:spacing w:before="0" w:beforeAutospacing="0" w:after="0" w:afterAutospacing="0"/>
              <w:textAlignment w:val="baseline"/>
              <w:divId w:val="356078061"/>
              <w:rPr>
                <w:rFonts w:ascii="Segoe UI" w:hAnsi="Segoe UI" w:cs="Segoe UI"/>
                <w:sz w:val="18"/>
                <w:szCs w:val="18"/>
              </w:rPr>
            </w:pPr>
            <w:r>
              <w:rPr>
                <w:rStyle w:val="normaltextrun"/>
                <w:rFonts w:ascii="Arial" w:hAnsi="Arial" w:cs="Arial"/>
                <w:sz w:val="20"/>
                <w:szCs w:val="20"/>
                <w:lang w:val="en-US"/>
              </w:rPr>
              <w:t>8</w:t>
            </w:r>
            <w:r>
              <w:rPr>
                <w:rStyle w:val="eop"/>
                <w:rFonts w:ascii="Arial" w:hAnsi="Arial" w:cs="Arial"/>
                <w:sz w:val="20"/>
                <w:szCs w:val="20"/>
              </w:rPr>
              <w:t> </w:t>
            </w:r>
          </w:p>
        </w:tc>
        <w:tc>
          <w:tcPr>
            <w:tcW w:w="1205" w:type="dxa"/>
            <w:tcMar/>
          </w:tcPr>
          <w:p w:rsidR="009A5107" w:rsidP="00E6786A" w:rsidRDefault="45AC809A" w14:paraId="5EF6A8AE" w14:textId="19DDE21C">
            <w:pPr>
              <w:pStyle w:val="paragraph"/>
              <w:spacing w:before="0" w:beforeAutospacing="0" w:after="0" w:afterAutospacing="0"/>
              <w:textAlignment w:val="baseline"/>
              <w:rPr>
                <w:rStyle w:val="normaltextrun"/>
                <w:rFonts w:ascii="Arial" w:hAnsi="Arial" w:cs="Arial"/>
                <w:sz w:val="20"/>
                <w:szCs w:val="20"/>
                <w:lang w:val="en-US"/>
              </w:rPr>
            </w:pPr>
            <w:r w:rsidRPr="6922F701">
              <w:rPr>
                <w:rStyle w:val="normaltextrun"/>
                <w:rFonts w:ascii="Arial" w:hAnsi="Arial" w:cs="Arial"/>
                <w:sz w:val="20"/>
                <w:szCs w:val="20"/>
                <w:lang w:val="en-US"/>
              </w:rPr>
              <w:t>0.0</w:t>
            </w:r>
            <w:r w:rsidRPr="6922F701" w:rsidR="177BB402">
              <w:rPr>
                <w:rStyle w:val="normaltextrun"/>
                <w:rFonts w:ascii="Arial" w:hAnsi="Arial" w:cs="Arial"/>
                <w:sz w:val="20"/>
                <w:szCs w:val="20"/>
                <w:lang w:val="en-US"/>
              </w:rPr>
              <w:t>2</w:t>
            </w:r>
          </w:p>
        </w:tc>
        <w:tc>
          <w:tcPr>
            <w:tcW w:w="1530" w:type="dxa"/>
            <w:tcMar/>
          </w:tcPr>
          <w:p w:rsidR="009A5107" w:rsidP="00E6786A" w:rsidRDefault="009A5107" w14:paraId="04CAD6A1" w14:textId="04918DB9">
            <w:pPr>
              <w:pStyle w:val="paragraph"/>
              <w:spacing w:before="0" w:beforeAutospacing="0" w:after="0" w:afterAutospacing="0"/>
              <w:textAlignment w:val="baseline"/>
              <w:divId w:val="1551266756"/>
              <w:rPr>
                <w:rFonts w:ascii="Segoe UI" w:hAnsi="Segoe UI" w:cs="Segoe UI"/>
                <w:sz w:val="18"/>
                <w:szCs w:val="18"/>
              </w:rPr>
            </w:pPr>
            <w:r>
              <w:rPr>
                <w:rStyle w:val="normaltextrun"/>
                <w:rFonts w:ascii="Arial" w:hAnsi="Arial" w:cs="Arial"/>
                <w:sz w:val="20"/>
                <w:szCs w:val="20"/>
                <w:lang w:val="en-US"/>
              </w:rPr>
              <w:t>0.095 (0.007)</w:t>
            </w:r>
            <w:r>
              <w:rPr>
                <w:rStyle w:val="eop"/>
                <w:rFonts w:ascii="Arial" w:hAnsi="Arial" w:cs="Arial"/>
                <w:sz w:val="20"/>
                <w:szCs w:val="20"/>
              </w:rPr>
              <w:t> </w:t>
            </w:r>
          </w:p>
        </w:tc>
        <w:tc>
          <w:tcPr>
            <w:tcW w:w="796" w:type="dxa"/>
            <w:tcMar/>
          </w:tcPr>
          <w:p w:rsidR="009A5107" w:rsidP="00E6786A" w:rsidRDefault="009A5107" w14:paraId="42F2A528" w14:textId="77777777">
            <w:pPr>
              <w:pStyle w:val="paragraph"/>
              <w:spacing w:before="0" w:beforeAutospacing="0" w:after="0" w:afterAutospacing="0"/>
              <w:textAlignment w:val="baseline"/>
              <w:divId w:val="1847863312"/>
              <w:rPr>
                <w:rFonts w:ascii="Segoe UI" w:hAnsi="Segoe UI" w:cs="Segoe UI"/>
                <w:sz w:val="18"/>
                <w:szCs w:val="18"/>
              </w:rPr>
            </w:pPr>
            <w:r>
              <w:rPr>
                <w:rStyle w:val="normaltextrun"/>
                <w:rFonts w:ascii="Arial" w:hAnsi="Arial" w:cs="Arial"/>
                <w:sz w:val="20"/>
                <w:szCs w:val="20"/>
                <w:lang w:val="en-US"/>
              </w:rPr>
              <w:t>7.4</w:t>
            </w:r>
            <w:r>
              <w:rPr>
                <w:rStyle w:val="eop"/>
                <w:rFonts w:ascii="Arial" w:hAnsi="Arial" w:cs="Arial"/>
                <w:sz w:val="20"/>
                <w:szCs w:val="20"/>
              </w:rPr>
              <w:t> </w:t>
            </w:r>
          </w:p>
        </w:tc>
        <w:tc>
          <w:tcPr>
            <w:tcW w:w="1455" w:type="dxa"/>
            <w:tcMar/>
          </w:tcPr>
          <w:p w:rsidR="009A5107" w:rsidP="00E6786A" w:rsidRDefault="009A5107" w14:paraId="37942D93" w14:textId="77777777">
            <w:pPr>
              <w:pStyle w:val="paragraph"/>
              <w:spacing w:before="0" w:beforeAutospacing="0" w:after="0" w:afterAutospacing="0"/>
              <w:textAlignment w:val="baseline"/>
              <w:divId w:val="819543735"/>
              <w:rPr>
                <w:rFonts w:ascii="Segoe UI" w:hAnsi="Segoe UI" w:cs="Segoe UI"/>
                <w:sz w:val="18"/>
                <w:szCs w:val="18"/>
              </w:rPr>
            </w:pPr>
            <w:r>
              <w:rPr>
                <w:rStyle w:val="normaltextrun"/>
                <w:rFonts w:ascii="Arial" w:hAnsi="Arial" w:cs="Arial"/>
                <w:sz w:val="20"/>
                <w:szCs w:val="20"/>
                <w:lang w:val="en-US"/>
              </w:rPr>
              <w:t>0.080-0.100</w:t>
            </w:r>
            <w:r>
              <w:rPr>
                <w:rStyle w:val="eop"/>
                <w:rFonts w:ascii="Arial" w:hAnsi="Arial" w:cs="Arial"/>
                <w:sz w:val="20"/>
                <w:szCs w:val="20"/>
              </w:rPr>
              <w:t> </w:t>
            </w:r>
          </w:p>
        </w:tc>
        <w:tc>
          <w:tcPr>
            <w:tcW w:w="1365" w:type="dxa"/>
            <w:tcMar/>
          </w:tcPr>
          <w:p w:rsidR="009A5107" w:rsidP="00E6786A" w:rsidRDefault="009A5107" w14:paraId="1B823B9E" w14:textId="77777777">
            <w:pPr>
              <w:pStyle w:val="paragraph"/>
              <w:spacing w:before="0" w:beforeAutospacing="0" w:after="0" w:afterAutospacing="0"/>
              <w:textAlignment w:val="baseline"/>
              <w:divId w:val="699742359"/>
              <w:rPr>
                <w:rFonts w:ascii="Segoe UI" w:hAnsi="Segoe UI" w:cs="Segoe UI"/>
                <w:sz w:val="18"/>
                <w:szCs w:val="18"/>
              </w:rPr>
            </w:pPr>
            <w:r>
              <w:rPr>
                <w:rStyle w:val="normaltextrun"/>
                <w:rFonts w:ascii="Arial" w:hAnsi="Arial" w:cs="Arial"/>
                <w:sz w:val="20"/>
                <w:szCs w:val="20"/>
                <w:lang w:val="en-US"/>
              </w:rPr>
              <w:t>6.7 (3.0)</w:t>
            </w:r>
            <w:r>
              <w:rPr>
                <w:rStyle w:val="eop"/>
                <w:rFonts w:ascii="Arial" w:hAnsi="Arial" w:cs="Arial"/>
                <w:sz w:val="20"/>
                <w:szCs w:val="20"/>
              </w:rPr>
              <w:t> </w:t>
            </w:r>
          </w:p>
        </w:tc>
      </w:tr>
      <w:tr w:rsidR="009A5107" w:rsidTr="72DFF27F" w14:paraId="28ADB84B" w14:textId="77777777">
        <w:tc>
          <w:tcPr>
            <w:tcW w:w="2694" w:type="dxa"/>
            <w:tcMar/>
          </w:tcPr>
          <w:p w:rsidR="009A5107" w:rsidP="04D52F09" w:rsidRDefault="009A5107" w14:paraId="7608ADF6" w14:textId="77777777">
            <w:pPr>
              <w:rPr>
                <w:sz w:val="20"/>
                <w:szCs w:val="20"/>
                <w:lang w:val="en-US"/>
              </w:rPr>
            </w:pPr>
            <w:r w:rsidRPr="04D52F09">
              <w:rPr>
                <w:sz w:val="20"/>
                <w:szCs w:val="20"/>
                <w:lang w:val="en-US"/>
              </w:rPr>
              <w:t>Siemens Dimension Vista</w:t>
            </w:r>
          </w:p>
        </w:tc>
        <w:tc>
          <w:tcPr>
            <w:tcW w:w="675" w:type="dxa"/>
            <w:tcMar/>
          </w:tcPr>
          <w:p w:rsidR="009A5107" w:rsidP="00E6786A" w:rsidRDefault="009A5107" w14:paraId="708C175A" w14:textId="77777777">
            <w:pPr>
              <w:pStyle w:val="paragraph"/>
              <w:spacing w:before="0" w:beforeAutospacing="0" w:after="0" w:afterAutospacing="0"/>
              <w:textAlignment w:val="baseline"/>
              <w:divId w:val="901984142"/>
              <w:rPr>
                <w:rFonts w:ascii="Segoe UI" w:hAnsi="Segoe UI" w:cs="Segoe UI"/>
                <w:sz w:val="18"/>
                <w:szCs w:val="18"/>
              </w:rPr>
            </w:pPr>
            <w:r>
              <w:rPr>
                <w:rStyle w:val="normaltextrun"/>
                <w:rFonts w:ascii="Arial" w:hAnsi="Arial" w:cs="Arial"/>
                <w:sz w:val="20"/>
                <w:szCs w:val="20"/>
                <w:lang w:val="en-US"/>
              </w:rPr>
              <w:t>2</w:t>
            </w:r>
            <w:r>
              <w:rPr>
                <w:rStyle w:val="eop"/>
                <w:rFonts w:ascii="Arial" w:hAnsi="Arial" w:cs="Arial"/>
                <w:sz w:val="20"/>
                <w:szCs w:val="20"/>
              </w:rPr>
              <w:t> </w:t>
            </w:r>
          </w:p>
        </w:tc>
        <w:tc>
          <w:tcPr>
            <w:tcW w:w="1205" w:type="dxa"/>
            <w:tcMar/>
          </w:tcPr>
          <w:p w:rsidR="009A5107" w:rsidP="00E6786A" w:rsidRDefault="00D54019" w14:paraId="62DCA254" w14:textId="36B88FC9">
            <w:pPr>
              <w:pStyle w:val="paragraph"/>
              <w:spacing w:before="0" w:beforeAutospacing="0" w:after="0" w:afterAutospacing="0"/>
              <w:textAlignment w:val="baseline"/>
              <w:rPr>
                <w:rStyle w:val="normaltextrun"/>
                <w:rFonts w:ascii="Arial" w:hAnsi="Arial" w:cs="Arial"/>
                <w:sz w:val="20"/>
                <w:szCs w:val="20"/>
                <w:lang w:val="en-US"/>
              </w:rPr>
            </w:pPr>
            <w:r>
              <w:rPr>
                <w:rStyle w:val="normaltextrun"/>
                <w:rFonts w:ascii="Arial" w:hAnsi="Arial" w:cs="Arial"/>
                <w:sz w:val="20"/>
                <w:szCs w:val="20"/>
                <w:lang w:val="en-US"/>
              </w:rPr>
              <w:t>0</w:t>
            </w:r>
            <w:r>
              <w:rPr>
                <w:rStyle w:val="normaltextrun"/>
                <w:rFonts w:ascii="Arial" w:hAnsi="Arial" w:cs="Arial"/>
                <w:sz w:val="20"/>
                <w:szCs w:val="20"/>
              </w:rPr>
              <w:t>.0</w:t>
            </w:r>
            <w:r w:rsidR="004C1481">
              <w:rPr>
                <w:rStyle w:val="normaltextrun"/>
                <w:rFonts w:ascii="Arial" w:hAnsi="Arial" w:cs="Arial"/>
                <w:sz w:val="20"/>
                <w:szCs w:val="20"/>
              </w:rPr>
              <w:t>10</w:t>
            </w:r>
          </w:p>
        </w:tc>
        <w:tc>
          <w:tcPr>
            <w:tcW w:w="1530" w:type="dxa"/>
            <w:tcMar/>
          </w:tcPr>
          <w:p w:rsidR="009A5107" w:rsidP="00E6786A" w:rsidRDefault="009A5107" w14:paraId="75EFD90B" w14:textId="2998B821">
            <w:pPr>
              <w:pStyle w:val="paragraph"/>
              <w:spacing w:before="0" w:beforeAutospacing="0" w:after="0" w:afterAutospacing="0"/>
              <w:textAlignment w:val="baseline"/>
              <w:divId w:val="1091973047"/>
              <w:rPr>
                <w:rFonts w:ascii="Segoe UI" w:hAnsi="Segoe UI" w:cs="Segoe UI"/>
                <w:sz w:val="18"/>
                <w:szCs w:val="18"/>
              </w:rPr>
            </w:pPr>
            <w:r>
              <w:rPr>
                <w:rStyle w:val="normaltextrun"/>
                <w:rFonts w:ascii="Arial" w:hAnsi="Arial" w:cs="Arial"/>
                <w:sz w:val="20"/>
                <w:szCs w:val="20"/>
                <w:lang w:val="en-US"/>
              </w:rPr>
              <w:t>0.070 (N/A)</w:t>
            </w:r>
            <w:r>
              <w:rPr>
                <w:rStyle w:val="eop"/>
                <w:rFonts w:ascii="Arial" w:hAnsi="Arial" w:cs="Arial"/>
                <w:sz w:val="20"/>
                <w:szCs w:val="20"/>
              </w:rPr>
              <w:t> </w:t>
            </w:r>
          </w:p>
        </w:tc>
        <w:tc>
          <w:tcPr>
            <w:tcW w:w="796" w:type="dxa"/>
            <w:tcMar/>
          </w:tcPr>
          <w:p w:rsidR="009A5107" w:rsidP="00E6786A" w:rsidRDefault="009A5107" w14:paraId="2C650A56" w14:textId="77777777">
            <w:pPr>
              <w:pStyle w:val="paragraph"/>
              <w:spacing w:before="0" w:beforeAutospacing="0" w:after="0" w:afterAutospacing="0"/>
              <w:textAlignment w:val="baseline"/>
              <w:divId w:val="1386443167"/>
              <w:rPr>
                <w:rFonts w:ascii="Segoe UI" w:hAnsi="Segoe UI" w:cs="Segoe UI"/>
                <w:sz w:val="18"/>
                <w:szCs w:val="18"/>
              </w:rPr>
            </w:pPr>
            <w:r>
              <w:rPr>
                <w:rStyle w:val="normaltextrun"/>
                <w:rFonts w:ascii="Arial" w:hAnsi="Arial" w:cs="Arial"/>
                <w:sz w:val="20"/>
                <w:szCs w:val="20"/>
                <w:lang w:val="en-US"/>
              </w:rPr>
              <w:t>N/A</w:t>
            </w:r>
            <w:r>
              <w:rPr>
                <w:rStyle w:val="eop"/>
                <w:rFonts w:ascii="Arial" w:hAnsi="Arial" w:cs="Arial"/>
                <w:sz w:val="20"/>
                <w:szCs w:val="20"/>
              </w:rPr>
              <w:t> </w:t>
            </w:r>
          </w:p>
        </w:tc>
        <w:tc>
          <w:tcPr>
            <w:tcW w:w="1455" w:type="dxa"/>
            <w:tcMar/>
          </w:tcPr>
          <w:p w:rsidR="009A5107" w:rsidP="00E6786A" w:rsidRDefault="009A5107" w14:paraId="5CF1B653" w14:textId="77777777">
            <w:pPr>
              <w:pStyle w:val="paragraph"/>
              <w:spacing w:before="0" w:beforeAutospacing="0" w:after="0" w:afterAutospacing="0"/>
              <w:textAlignment w:val="baseline"/>
              <w:divId w:val="1164589453"/>
              <w:rPr>
                <w:rFonts w:ascii="Segoe UI" w:hAnsi="Segoe UI" w:cs="Segoe UI"/>
                <w:sz w:val="18"/>
                <w:szCs w:val="18"/>
              </w:rPr>
            </w:pPr>
            <w:r>
              <w:rPr>
                <w:rStyle w:val="normaltextrun"/>
                <w:rFonts w:ascii="Arial" w:hAnsi="Arial" w:cs="Arial"/>
                <w:sz w:val="20"/>
                <w:szCs w:val="20"/>
                <w:lang w:val="en-US"/>
              </w:rPr>
              <w:t>0.070-0.070</w:t>
            </w:r>
            <w:r>
              <w:rPr>
                <w:rStyle w:val="eop"/>
                <w:rFonts w:ascii="Arial" w:hAnsi="Arial" w:cs="Arial"/>
                <w:sz w:val="20"/>
                <w:szCs w:val="20"/>
              </w:rPr>
              <w:t> </w:t>
            </w:r>
          </w:p>
        </w:tc>
        <w:tc>
          <w:tcPr>
            <w:tcW w:w="1365" w:type="dxa"/>
            <w:tcMar/>
          </w:tcPr>
          <w:p w:rsidR="009A5107" w:rsidP="00E6786A" w:rsidRDefault="009A5107" w14:paraId="05319522" w14:textId="77777777">
            <w:pPr>
              <w:pStyle w:val="paragraph"/>
              <w:spacing w:before="0" w:beforeAutospacing="0" w:after="0" w:afterAutospacing="0"/>
              <w:textAlignment w:val="baseline"/>
              <w:divId w:val="952127427"/>
              <w:rPr>
                <w:rFonts w:ascii="Segoe UI" w:hAnsi="Segoe UI" w:cs="Segoe UI"/>
                <w:sz w:val="18"/>
                <w:szCs w:val="18"/>
              </w:rPr>
            </w:pPr>
            <w:r>
              <w:rPr>
                <w:rStyle w:val="normaltextrun"/>
                <w:rFonts w:ascii="Arial" w:hAnsi="Arial" w:cs="Arial"/>
                <w:sz w:val="20"/>
                <w:szCs w:val="20"/>
                <w:lang w:val="en-US"/>
              </w:rPr>
              <w:t>-20.3 (N/A)</w:t>
            </w:r>
            <w:r>
              <w:rPr>
                <w:rStyle w:val="eop"/>
                <w:rFonts w:ascii="Arial" w:hAnsi="Arial" w:cs="Arial"/>
                <w:sz w:val="20"/>
                <w:szCs w:val="20"/>
              </w:rPr>
              <w:t> </w:t>
            </w:r>
          </w:p>
        </w:tc>
      </w:tr>
      <w:tr w:rsidR="009A5107" w:rsidTr="72DFF27F" w14:paraId="27C88603" w14:textId="77777777">
        <w:tc>
          <w:tcPr>
            <w:tcW w:w="2694" w:type="dxa"/>
            <w:tcMar/>
          </w:tcPr>
          <w:p w:rsidR="009A5107" w:rsidP="04D52F09" w:rsidRDefault="009A5107" w14:paraId="02010124" w14:textId="77777777">
            <w:pPr>
              <w:rPr>
                <w:sz w:val="20"/>
                <w:szCs w:val="20"/>
                <w:lang w:val="en-US"/>
              </w:rPr>
            </w:pPr>
            <w:r w:rsidRPr="04D52F09">
              <w:rPr>
                <w:sz w:val="20"/>
                <w:szCs w:val="20"/>
                <w:lang w:val="en-US"/>
              </w:rPr>
              <w:t xml:space="preserve">Siemens </w:t>
            </w:r>
            <w:proofErr w:type="spellStart"/>
            <w:r w:rsidRPr="04D52F09">
              <w:rPr>
                <w:sz w:val="20"/>
                <w:szCs w:val="20"/>
                <w:lang w:val="en-US"/>
              </w:rPr>
              <w:t>Immulite</w:t>
            </w:r>
            <w:proofErr w:type="spellEnd"/>
            <w:r w:rsidRPr="04D52F09">
              <w:rPr>
                <w:sz w:val="20"/>
                <w:szCs w:val="20"/>
                <w:lang w:val="en-US"/>
              </w:rPr>
              <w:t xml:space="preserve"> 2x00/</w:t>
            </w:r>
            <w:proofErr w:type="spellStart"/>
            <w:r w:rsidRPr="04D52F09">
              <w:rPr>
                <w:sz w:val="20"/>
                <w:szCs w:val="20"/>
                <w:lang w:val="en-US"/>
              </w:rPr>
              <w:t>xpi</w:t>
            </w:r>
            <w:proofErr w:type="spellEnd"/>
          </w:p>
        </w:tc>
        <w:tc>
          <w:tcPr>
            <w:tcW w:w="675" w:type="dxa"/>
            <w:tcMar/>
          </w:tcPr>
          <w:p w:rsidR="009A5107" w:rsidP="00E6786A" w:rsidRDefault="009A5107" w14:paraId="14F757DE" w14:textId="77777777">
            <w:pPr>
              <w:pStyle w:val="paragraph"/>
              <w:spacing w:before="0" w:beforeAutospacing="0" w:after="0" w:afterAutospacing="0"/>
              <w:textAlignment w:val="baseline"/>
              <w:divId w:val="1633438171"/>
              <w:rPr>
                <w:rFonts w:ascii="Segoe UI" w:hAnsi="Segoe UI" w:cs="Segoe UI"/>
                <w:sz w:val="18"/>
                <w:szCs w:val="18"/>
              </w:rPr>
            </w:pPr>
            <w:r>
              <w:rPr>
                <w:rStyle w:val="normaltextrun"/>
                <w:rFonts w:ascii="Arial" w:hAnsi="Arial" w:cs="Arial"/>
                <w:sz w:val="20"/>
                <w:szCs w:val="20"/>
                <w:lang w:val="en-US"/>
              </w:rPr>
              <w:t>1</w:t>
            </w:r>
            <w:r>
              <w:rPr>
                <w:rStyle w:val="eop"/>
                <w:rFonts w:ascii="Arial" w:hAnsi="Arial" w:cs="Arial"/>
                <w:sz w:val="20"/>
                <w:szCs w:val="20"/>
              </w:rPr>
              <w:t> </w:t>
            </w:r>
          </w:p>
        </w:tc>
        <w:tc>
          <w:tcPr>
            <w:tcW w:w="1205" w:type="dxa"/>
            <w:tcMar/>
          </w:tcPr>
          <w:p w:rsidR="009A5107" w:rsidP="00E6786A" w:rsidRDefault="00D41D4D" w14:paraId="5C4F8765" w14:textId="499F76CA">
            <w:pPr>
              <w:pStyle w:val="paragraph"/>
              <w:spacing w:before="0" w:beforeAutospacing="0" w:after="0" w:afterAutospacing="0"/>
              <w:textAlignment w:val="baseline"/>
              <w:rPr>
                <w:rStyle w:val="normaltextrun"/>
                <w:rFonts w:ascii="Arial" w:hAnsi="Arial" w:cs="Arial"/>
                <w:sz w:val="20"/>
                <w:szCs w:val="20"/>
                <w:lang w:val="en-US"/>
              </w:rPr>
            </w:pPr>
            <w:r>
              <w:rPr>
                <w:rStyle w:val="normaltextrun"/>
                <w:rFonts w:ascii="Arial" w:hAnsi="Arial" w:cs="Arial"/>
                <w:sz w:val="20"/>
                <w:szCs w:val="20"/>
                <w:lang w:val="en-US"/>
              </w:rPr>
              <w:t>0</w:t>
            </w:r>
            <w:r>
              <w:rPr>
                <w:rStyle w:val="normaltextrun"/>
                <w:rFonts w:ascii="Arial" w:hAnsi="Arial" w:cs="Arial"/>
                <w:sz w:val="20"/>
                <w:szCs w:val="20"/>
              </w:rPr>
              <w:t>.04</w:t>
            </w:r>
          </w:p>
        </w:tc>
        <w:tc>
          <w:tcPr>
            <w:tcW w:w="1530" w:type="dxa"/>
            <w:tcMar/>
          </w:tcPr>
          <w:p w:rsidR="009A5107" w:rsidP="00E6786A" w:rsidRDefault="009A5107" w14:paraId="2AC90944" w14:textId="5A3FCAAF">
            <w:pPr>
              <w:pStyle w:val="paragraph"/>
              <w:spacing w:before="0" w:beforeAutospacing="0" w:after="0" w:afterAutospacing="0"/>
              <w:textAlignment w:val="baseline"/>
              <w:divId w:val="750353025"/>
              <w:rPr>
                <w:rFonts w:ascii="Segoe UI" w:hAnsi="Segoe UI" w:cs="Segoe UI"/>
                <w:sz w:val="18"/>
                <w:szCs w:val="18"/>
              </w:rPr>
            </w:pPr>
            <w:r>
              <w:rPr>
                <w:rStyle w:val="normaltextrun"/>
                <w:rFonts w:ascii="Arial" w:hAnsi="Arial" w:cs="Arial"/>
                <w:sz w:val="20"/>
                <w:szCs w:val="20"/>
                <w:lang w:val="en-US"/>
              </w:rPr>
              <w:t>0.070 (N/A)</w:t>
            </w:r>
            <w:r>
              <w:rPr>
                <w:rStyle w:val="eop"/>
                <w:rFonts w:ascii="Arial" w:hAnsi="Arial" w:cs="Arial"/>
                <w:sz w:val="20"/>
                <w:szCs w:val="20"/>
              </w:rPr>
              <w:t> </w:t>
            </w:r>
          </w:p>
        </w:tc>
        <w:tc>
          <w:tcPr>
            <w:tcW w:w="796" w:type="dxa"/>
            <w:tcMar/>
          </w:tcPr>
          <w:p w:rsidR="009A5107" w:rsidP="00E6786A" w:rsidRDefault="009A5107" w14:paraId="3DEB7A9D" w14:textId="77777777">
            <w:pPr>
              <w:pStyle w:val="paragraph"/>
              <w:spacing w:before="0" w:beforeAutospacing="0" w:after="0" w:afterAutospacing="0"/>
              <w:textAlignment w:val="baseline"/>
              <w:divId w:val="219829724"/>
              <w:rPr>
                <w:rFonts w:ascii="Segoe UI" w:hAnsi="Segoe UI" w:cs="Segoe UI"/>
                <w:sz w:val="18"/>
                <w:szCs w:val="18"/>
              </w:rPr>
            </w:pPr>
            <w:r>
              <w:rPr>
                <w:rStyle w:val="normaltextrun"/>
                <w:rFonts w:ascii="Arial" w:hAnsi="Arial" w:cs="Arial"/>
                <w:sz w:val="20"/>
                <w:szCs w:val="20"/>
                <w:lang w:val="en-US"/>
              </w:rPr>
              <w:t>N/A</w:t>
            </w:r>
            <w:r>
              <w:rPr>
                <w:rStyle w:val="eop"/>
                <w:rFonts w:ascii="Arial" w:hAnsi="Arial" w:cs="Arial"/>
                <w:sz w:val="20"/>
                <w:szCs w:val="20"/>
              </w:rPr>
              <w:t> </w:t>
            </w:r>
          </w:p>
        </w:tc>
        <w:tc>
          <w:tcPr>
            <w:tcW w:w="1455" w:type="dxa"/>
            <w:tcMar/>
          </w:tcPr>
          <w:p w:rsidR="009A5107" w:rsidP="00E6786A" w:rsidRDefault="009A5107" w14:paraId="1D36F82A" w14:textId="77777777">
            <w:pPr>
              <w:pStyle w:val="paragraph"/>
              <w:spacing w:before="0" w:beforeAutospacing="0" w:after="0" w:afterAutospacing="0"/>
              <w:textAlignment w:val="baseline"/>
              <w:divId w:val="157696283"/>
              <w:rPr>
                <w:rFonts w:ascii="Segoe UI" w:hAnsi="Segoe UI" w:cs="Segoe UI"/>
                <w:sz w:val="18"/>
                <w:szCs w:val="18"/>
              </w:rPr>
            </w:pPr>
            <w:r>
              <w:rPr>
                <w:rStyle w:val="normaltextrun"/>
                <w:rFonts w:ascii="Arial" w:hAnsi="Arial" w:cs="Arial"/>
                <w:sz w:val="20"/>
                <w:szCs w:val="20"/>
                <w:lang w:val="en-US"/>
              </w:rPr>
              <w:t>N/A</w:t>
            </w:r>
            <w:r>
              <w:rPr>
                <w:rStyle w:val="eop"/>
                <w:rFonts w:ascii="Arial" w:hAnsi="Arial" w:cs="Arial"/>
                <w:sz w:val="20"/>
                <w:szCs w:val="20"/>
              </w:rPr>
              <w:t> </w:t>
            </w:r>
          </w:p>
        </w:tc>
        <w:tc>
          <w:tcPr>
            <w:tcW w:w="1365" w:type="dxa"/>
            <w:tcMar/>
          </w:tcPr>
          <w:p w:rsidR="009A5107" w:rsidP="00E6786A" w:rsidRDefault="009A5107" w14:paraId="2D394E2E" w14:textId="77777777">
            <w:pPr>
              <w:pStyle w:val="paragraph"/>
              <w:spacing w:before="0" w:beforeAutospacing="0" w:after="0" w:afterAutospacing="0"/>
              <w:textAlignment w:val="baseline"/>
              <w:divId w:val="1975058511"/>
              <w:rPr>
                <w:rFonts w:ascii="Segoe UI" w:hAnsi="Segoe UI" w:cs="Segoe UI"/>
                <w:sz w:val="18"/>
                <w:szCs w:val="18"/>
              </w:rPr>
            </w:pPr>
            <w:r>
              <w:rPr>
                <w:rStyle w:val="normaltextrun"/>
                <w:rFonts w:ascii="Arial" w:hAnsi="Arial" w:cs="Arial"/>
                <w:sz w:val="20"/>
                <w:szCs w:val="20"/>
                <w:lang w:val="en-US"/>
              </w:rPr>
              <w:t>-20.3  (N/A)</w:t>
            </w:r>
            <w:r>
              <w:rPr>
                <w:rStyle w:val="eop"/>
                <w:rFonts w:ascii="Arial" w:hAnsi="Arial" w:cs="Arial"/>
                <w:sz w:val="20"/>
                <w:szCs w:val="20"/>
              </w:rPr>
              <w:t> </w:t>
            </w:r>
          </w:p>
        </w:tc>
      </w:tr>
      <w:tr w:rsidR="009A5107" w:rsidTr="72DFF27F" w14:paraId="2F1395A2" w14:textId="77777777">
        <w:tc>
          <w:tcPr>
            <w:tcW w:w="2694" w:type="dxa"/>
            <w:tcMar/>
          </w:tcPr>
          <w:p w:rsidR="009A5107" w:rsidP="04D52F09" w:rsidRDefault="009A5107" w14:paraId="7C14D3C8" w14:textId="5E1CB16B">
            <w:pPr>
              <w:rPr>
                <w:sz w:val="20"/>
                <w:szCs w:val="20"/>
                <w:lang w:val="en-US"/>
              </w:rPr>
            </w:pPr>
            <w:r>
              <w:rPr>
                <w:sz w:val="20"/>
                <w:szCs w:val="20"/>
                <w:lang w:val="en-US"/>
              </w:rPr>
              <w:t>All labs trimmed</w:t>
            </w:r>
          </w:p>
        </w:tc>
        <w:tc>
          <w:tcPr>
            <w:tcW w:w="675" w:type="dxa"/>
            <w:tcMar/>
          </w:tcPr>
          <w:p w:rsidR="009A5107" w:rsidP="04D52F09" w:rsidRDefault="009A5107" w14:paraId="347FCC85" w14:textId="6C51E8FD">
            <w:pPr>
              <w:pStyle w:val="paragraph"/>
              <w:spacing w:before="0" w:beforeAutospacing="0" w:after="0" w:afterAutospacing="0"/>
              <w:textAlignment w:val="baseline"/>
              <w:divId w:val="232282372"/>
              <w:rPr>
                <w:rStyle w:val="eop"/>
                <w:rFonts w:ascii="Arial" w:hAnsi="Arial" w:cs="Arial"/>
                <w:sz w:val="20"/>
                <w:szCs w:val="20"/>
              </w:rPr>
            </w:pPr>
            <w:r w:rsidRPr="04D52F09">
              <w:rPr>
                <w:rStyle w:val="normaltextrun"/>
                <w:rFonts w:ascii="Arial" w:hAnsi="Arial" w:cs="Arial"/>
                <w:sz w:val="20"/>
                <w:szCs w:val="20"/>
                <w:lang w:val="en-US"/>
              </w:rPr>
              <w:t>110</w:t>
            </w:r>
          </w:p>
        </w:tc>
        <w:tc>
          <w:tcPr>
            <w:tcW w:w="1205" w:type="dxa"/>
            <w:tcMar/>
          </w:tcPr>
          <w:p w:rsidR="009A5107" w:rsidP="00E6786A" w:rsidRDefault="000C473C" w14:paraId="7E7D98AA" w14:textId="5D1CE472">
            <w:pPr>
              <w:pStyle w:val="paragraph"/>
              <w:spacing w:before="0" w:beforeAutospacing="0" w:after="0" w:afterAutospacing="0"/>
              <w:textAlignment w:val="baseline"/>
              <w:rPr>
                <w:rStyle w:val="normaltextrun"/>
                <w:rFonts w:ascii="Arial" w:hAnsi="Arial" w:cs="Arial"/>
                <w:sz w:val="20"/>
                <w:szCs w:val="20"/>
                <w:lang w:val="en-US"/>
              </w:rPr>
            </w:pPr>
            <w:r>
              <w:rPr>
                <w:rStyle w:val="normaltextrun"/>
                <w:rFonts w:ascii="Arial" w:hAnsi="Arial" w:cs="Arial"/>
                <w:sz w:val="20"/>
                <w:szCs w:val="20"/>
                <w:lang w:val="en-US"/>
              </w:rPr>
              <w:t>N</w:t>
            </w:r>
            <w:r>
              <w:rPr>
                <w:rStyle w:val="normaltextrun"/>
                <w:rFonts w:ascii="Arial" w:hAnsi="Arial" w:cs="Arial"/>
                <w:sz w:val="20"/>
                <w:szCs w:val="20"/>
              </w:rPr>
              <w:t>/A</w:t>
            </w:r>
          </w:p>
        </w:tc>
        <w:tc>
          <w:tcPr>
            <w:tcW w:w="1530" w:type="dxa"/>
            <w:tcMar/>
          </w:tcPr>
          <w:p w:rsidR="009A5107" w:rsidP="00E6786A" w:rsidRDefault="009A5107" w14:paraId="3B558AF8" w14:textId="0D5E876A">
            <w:pPr>
              <w:pStyle w:val="paragraph"/>
              <w:spacing w:before="0" w:beforeAutospacing="0" w:after="0" w:afterAutospacing="0"/>
              <w:textAlignment w:val="baseline"/>
              <w:divId w:val="1077098370"/>
              <w:rPr>
                <w:rFonts w:ascii="Segoe UI" w:hAnsi="Segoe UI" w:cs="Segoe UI"/>
                <w:sz w:val="18"/>
                <w:szCs w:val="18"/>
              </w:rPr>
            </w:pPr>
            <w:r>
              <w:rPr>
                <w:rStyle w:val="normaltextrun"/>
                <w:rFonts w:ascii="Arial" w:hAnsi="Arial" w:cs="Arial"/>
                <w:sz w:val="20"/>
                <w:szCs w:val="20"/>
                <w:lang w:val="en-US"/>
              </w:rPr>
              <w:t>0.080 (0.015)</w:t>
            </w:r>
            <w:r>
              <w:rPr>
                <w:rStyle w:val="eop"/>
                <w:rFonts w:ascii="Arial" w:hAnsi="Arial" w:cs="Arial"/>
                <w:sz w:val="20"/>
                <w:szCs w:val="20"/>
              </w:rPr>
              <w:t> </w:t>
            </w:r>
          </w:p>
        </w:tc>
        <w:tc>
          <w:tcPr>
            <w:tcW w:w="796" w:type="dxa"/>
            <w:tcMar/>
          </w:tcPr>
          <w:p w:rsidR="009A5107" w:rsidP="00E6786A" w:rsidRDefault="009A5107" w14:paraId="10D40BBA" w14:textId="77777777">
            <w:pPr>
              <w:pStyle w:val="paragraph"/>
              <w:spacing w:before="0" w:beforeAutospacing="0" w:after="0" w:afterAutospacing="0"/>
              <w:textAlignment w:val="baseline"/>
              <w:divId w:val="616836207"/>
              <w:rPr>
                <w:rFonts w:ascii="Segoe UI" w:hAnsi="Segoe UI" w:cs="Segoe UI"/>
                <w:sz w:val="18"/>
                <w:szCs w:val="18"/>
              </w:rPr>
            </w:pPr>
            <w:r>
              <w:rPr>
                <w:rStyle w:val="normaltextrun"/>
                <w:rFonts w:ascii="Arial" w:hAnsi="Arial" w:cs="Arial"/>
                <w:sz w:val="20"/>
                <w:szCs w:val="20"/>
                <w:lang w:val="en-US"/>
              </w:rPr>
              <w:t>18.8</w:t>
            </w:r>
            <w:r>
              <w:rPr>
                <w:rStyle w:val="eop"/>
                <w:rFonts w:ascii="Arial" w:hAnsi="Arial" w:cs="Arial"/>
                <w:sz w:val="20"/>
                <w:szCs w:val="20"/>
              </w:rPr>
              <w:t> </w:t>
            </w:r>
          </w:p>
        </w:tc>
        <w:tc>
          <w:tcPr>
            <w:tcW w:w="1455" w:type="dxa"/>
            <w:tcMar/>
          </w:tcPr>
          <w:p w:rsidR="009A5107" w:rsidP="00E6786A" w:rsidRDefault="009A5107" w14:paraId="434BCCCE" w14:textId="77777777">
            <w:pPr>
              <w:pStyle w:val="paragraph"/>
              <w:spacing w:before="0" w:beforeAutospacing="0" w:after="0" w:afterAutospacing="0"/>
              <w:textAlignment w:val="baseline"/>
              <w:divId w:val="1888490514"/>
              <w:rPr>
                <w:rFonts w:ascii="Segoe UI" w:hAnsi="Segoe UI" w:cs="Segoe UI"/>
                <w:sz w:val="18"/>
                <w:szCs w:val="18"/>
              </w:rPr>
            </w:pPr>
            <w:r>
              <w:rPr>
                <w:rStyle w:val="normaltextrun"/>
                <w:rFonts w:ascii="Arial" w:hAnsi="Arial" w:cs="Arial"/>
                <w:sz w:val="20"/>
                <w:szCs w:val="20"/>
                <w:lang w:val="en-US"/>
              </w:rPr>
              <w:t>0.050-0.170</w:t>
            </w:r>
            <w:r>
              <w:rPr>
                <w:rStyle w:val="eop"/>
                <w:rFonts w:ascii="Arial" w:hAnsi="Arial" w:cs="Arial"/>
                <w:sz w:val="20"/>
                <w:szCs w:val="20"/>
              </w:rPr>
              <w:t> </w:t>
            </w:r>
          </w:p>
        </w:tc>
        <w:tc>
          <w:tcPr>
            <w:tcW w:w="1365" w:type="dxa"/>
            <w:tcMar/>
          </w:tcPr>
          <w:p w:rsidR="009A5107" w:rsidP="00E6786A" w:rsidRDefault="009A5107" w14:paraId="588F55A8" w14:textId="77777777">
            <w:pPr>
              <w:pStyle w:val="paragraph"/>
              <w:spacing w:before="0" w:beforeAutospacing="0" w:after="0" w:afterAutospacing="0"/>
              <w:textAlignment w:val="baseline"/>
              <w:divId w:val="1857385011"/>
              <w:rPr>
                <w:rFonts w:ascii="Segoe UI" w:hAnsi="Segoe UI" w:cs="Segoe UI"/>
                <w:sz w:val="18"/>
                <w:szCs w:val="18"/>
              </w:rPr>
            </w:pPr>
            <w:r>
              <w:rPr>
                <w:rStyle w:val="normaltextrun"/>
                <w:rFonts w:ascii="Arial" w:hAnsi="Arial" w:cs="Arial"/>
                <w:sz w:val="20"/>
                <w:szCs w:val="20"/>
                <w:lang w:val="en-US"/>
              </w:rPr>
              <w:t>N/A</w:t>
            </w:r>
            <w:r>
              <w:rPr>
                <w:rStyle w:val="eop"/>
                <w:rFonts w:ascii="Arial" w:hAnsi="Arial" w:cs="Arial"/>
                <w:sz w:val="20"/>
                <w:szCs w:val="20"/>
              </w:rPr>
              <w:t> </w:t>
            </w:r>
          </w:p>
        </w:tc>
      </w:tr>
    </w:tbl>
    <w:p w:rsidRPr="009D7989" w:rsidR="00DE089B" w:rsidP="686BD993" w:rsidRDefault="00DE089B" w14:paraId="76533633" w14:textId="350EE949">
      <w:pPr>
        <w:spacing w:after="0" w:line="240" w:lineRule="auto"/>
        <w:rPr>
          <w:sz w:val="18"/>
          <w:szCs w:val="18"/>
          <w:lang w:val="en-US"/>
        </w:rPr>
      </w:pPr>
      <w:proofErr w:type="gramStart"/>
      <w:r w:rsidRPr="686BD993">
        <w:rPr>
          <w:sz w:val="18"/>
          <w:szCs w:val="18"/>
          <w:vertAlign w:val="superscript"/>
          <w:lang w:val="en-US"/>
        </w:rPr>
        <w:t>a</w:t>
      </w:r>
      <w:proofErr w:type="gramEnd"/>
      <w:r w:rsidRPr="686BD993">
        <w:rPr>
          <w:sz w:val="18"/>
          <w:szCs w:val="18"/>
          <w:lang w:val="en-US"/>
        </w:rPr>
        <w:t xml:space="preserve"> Number of </w:t>
      </w:r>
      <w:r w:rsidRPr="686BD993" w:rsidR="007234C1">
        <w:rPr>
          <w:sz w:val="18"/>
          <w:szCs w:val="18"/>
          <w:lang w:val="en-US"/>
        </w:rPr>
        <w:t>individual</w:t>
      </w:r>
      <w:r w:rsidRPr="686BD993">
        <w:rPr>
          <w:sz w:val="18"/>
          <w:szCs w:val="18"/>
          <w:lang w:val="en-US"/>
        </w:rPr>
        <w:t xml:space="preserve"> results.</w:t>
      </w:r>
      <w:r w:rsidRPr="686BD993" w:rsidR="52996D2A">
        <w:rPr>
          <w:sz w:val="18"/>
          <w:szCs w:val="18"/>
          <w:lang w:val="en-US"/>
        </w:rPr>
        <w:t xml:space="preserve"> </w:t>
      </w:r>
    </w:p>
    <w:p w:rsidRPr="00D42943" w:rsidR="00D42943" w:rsidP="6282E75D" w:rsidRDefault="44BDC46E" w14:paraId="5F4DA72F" w14:textId="16B41572">
      <w:pPr>
        <w:spacing w:after="0" w:line="240" w:lineRule="auto"/>
        <w:rPr>
          <w:sz w:val="18"/>
          <w:szCs w:val="18"/>
          <w:lang w:val="en-US"/>
        </w:rPr>
      </w:pPr>
      <w:proofErr w:type="gramStart"/>
      <w:r w:rsidRPr="3DAE8182">
        <w:rPr>
          <w:sz w:val="18"/>
          <w:szCs w:val="18"/>
          <w:vertAlign w:val="superscript"/>
          <w:lang w:val="en-US"/>
        </w:rPr>
        <w:t>b</w:t>
      </w:r>
      <w:proofErr w:type="gramEnd"/>
      <w:r w:rsidRPr="3DAE8182">
        <w:rPr>
          <w:sz w:val="18"/>
          <w:szCs w:val="18"/>
          <w:lang w:val="en-US"/>
        </w:rPr>
        <w:t xml:space="preserve"> </w:t>
      </w:r>
      <w:r w:rsidRPr="3DAE8182" w:rsidR="7E563772">
        <w:rPr>
          <w:sz w:val="18"/>
          <w:szCs w:val="18"/>
          <w:lang w:val="en-US"/>
        </w:rPr>
        <w:t>Extracted</w:t>
      </w:r>
      <w:r w:rsidRPr="3DAE8182" w:rsidR="29CE3FCC">
        <w:rPr>
          <w:sz w:val="18"/>
          <w:szCs w:val="18"/>
          <w:lang w:val="en-US"/>
        </w:rPr>
        <w:t xml:space="preserve"> </w:t>
      </w:r>
      <w:r w:rsidRPr="3DAE8182" w:rsidR="7E563772">
        <w:rPr>
          <w:sz w:val="18"/>
          <w:szCs w:val="18"/>
          <w:lang w:val="en-US"/>
        </w:rPr>
        <w:t>from</w:t>
      </w:r>
      <w:r w:rsidRPr="3DAE8182" w:rsidR="12817D5A">
        <w:rPr>
          <w:sz w:val="18"/>
          <w:szCs w:val="18"/>
          <w:lang w:val="en-US"/>
        </w:rPr>
        <w:t xml:space="preserve"> publicly available</w:t>
      </w:r>
      <w:r w:rsidRPr="3DAE8182" w:rsidR="7E563772">
        <w:rPr>
          <w:sz w:val="18"/>
          <w:szCs w:val="18"/>
          <w:lang w:val="en-US"/>
        </w:rPr>
        <w:t xml:space="preserve"> package insert</w:t>
      </w:r>
      <w:r w:rsidRPr="3DAE8182" w:rsidR="2BF920AE">
        <w:rPr>
          <w:sz w:val="18"/>
          <w:szCs w:val="18"/>
          <w:lang w:val="en-US"/>
        </w:rPr>
        <w:t>s</w:t>
      </w:r>
      <w:r w:rsidRPr="3DAE8182" w:rsidR="0655225E">
        <w:rPr>
          <w:sz w:val="18"/>
          <w:szCs w:val="18"/>
          <w:lang w:val="en-US"/>
        </w:rPr>
        <w:t>.</w:t>
      </w:r>
      <w:r w:rsidRPr="3DAE8182" w:rsidR="150D882B">
        <w:rPr>
          <w:sz w:val="18"/>
          <w:szCs w:val="18"/>
          <w:lang w:val="en-US"/>
        </w:rPr>
        <w:t xml:space="preserve"> For </w:t>
      </w:r>
      <w:r w:rsidRPr="3DAE8182" w:rsidR="50EE2318">
        <w:rPr>
          <w:sz w:val="18"/>
          <w:szCs w:val="18"/>
          <w:lang w:val="en-US"/>
        </w:rPr>
        <w:t xml:space="preserve">the Abbott Architect, </w:t>
      </w:r>
      <w:r w:rsidRPr="3DAE8182" w:rsidR="150D882B">
        <w:rPr>
          <w:sz w:val="18"/>
          <w:szCs w:val="18"/>
          <w:lang w:val="en-US"/>
        </w:rPr>
        <w:t xml:space="preserve">Siemens </w:t>
      </w:r>
      <w:proofErr w:type="spellStart"/>
      <w:r w:rsidRPr="3DAE8182" w:rsidR="150D882B">
        <w:rPr>
          <w:sz w:val="18"/>
          <w:szCs w:val="18"/>
          <w:lang w:val="en-US"/>
        </w:rPr>
        <w:t>Advia</w:t>
      </w:r>
      <w:proofErr w:type="spellEnd"/>
      <w:r w:rsidRPr="3DAE8182" w:rsidR="150D882B">
        <w:rPr>
          <w:sz w:val="18"/>
          <w:szCs w:val="18"/>
          <w:lang w:val="en-US"/>
        </w:rPr>
        <w:t>/Centaur and</w:t>
      </w:r>
      <w:r w:rsidRPr="3DAE8182" w:rsidR="1797FB9E">
        <w:rPr>
          <w:sz w:val="18"/>
          <w:szCs w:val="18"/>
          <w:lang w:val="en-US"/>
        </w:rPr>
        <w:t xml:space="preserve"> Siemens</w:t>
      </w:r>
      <w:r w:rsidRPr="3DAE8182" w:rsidR="150D882B">
        <w:rPr>
          <w:sz w:val="18"/>
          <w:szCs w:val="18"/>
          <w:lang w:val="en-US"/>
        </w:rPr>
        <w:t xml:space="preserve"> </w:t>
      </w:r>
      <w:proofErr w:type="spellStart"/>
      <w:r w:rsidRPr="3DAE8182" w:rsidR="150D882B">
        <w:rPr>
          <w:sz w:val="18"/>
          <w:szCs w:val="18"/>
          <w:lang w:val="en-US"/>
        </w:rPr>
        <w:t>Immulite</w:t>
      </w:r>
      <w:proofErr w:type="spellEnd"/>
      <w:r w:rsidRPr="3DAE8182" w:rsidR="150D882B">
        <w:rPr>
          <w:sz w:val="18"/>
          <w:szCs w:val="18"/>
          <w:lang w:val="en-US"/>
        </w:rPr>
        <w:t xml:space="preserve"> 2x00/</w:t>
      </w:r>
      <w:proofErr w:type="spellStart"/>
      <w:r w:rsidRPr="3DAE8182" w:rsidR="150D882B">
        <w:rPr>
          <w:sz w:val="18"/>
          <w:szCs w:val="18"/>
          <w:lang w:val="en-US"/>
        </w:rPr>
        <w:t>xpi</w:t>
      </w:r>
      <w:proofErr w:type="spellEnd"/>
      <w:r w:rsidRPr="3DAE8182" w:rsidR="150D882B">
        <w:rPr>
          <w:sz w:val="18"/>
          <w:szCs w:val="18"/>
          <w:lang w:val="en-US"/>
        </w:rPr>
        <w:t xml:space="preserve"> only the analytical sensitivity was provided, which was defined as the concentration of total PSA that corresponds to the </w:t>
      </w:r>
      <w:r w:rsidRPr="3DAE8182" w:rsidR="56F7C660">
        <w:rPr>
          <w:sz w:val="18"/>
          <w:szCs w:val="18"/>
          <w:lang w:val="en-US"/>
        </w:rPr>
        <w:t>relative light units (</w:t>
      </w:r>
      <w:r w:rsidRPr="3DAE8182" w:rsidR="150D882B">
        <w:rPr>
          <w:sz w:val="18"/>
          <w:szCs w:val="18"/>
          <w:lang w:val="en-US"/>
        </w:rPr>
        <w:t>RLUs</w:t>
      </w:r>
      <w:r w:rsidRPr="3DAE8182" w:rsidR="368D87BE">
        <w:rPr>
          <w:sz w:val="18"/>
          <w:szCs w:val="18"/>
          <w:lang w:val="en-US"/>
        </w:rPr>
        <w:t>)</w:t>
      </w:r>
      <w:r w:rsidRPr="3DAE8182" w:rsidR="150D882B">
        <w:rPr>
          <w:sz w:val="18"/>
          <w:szCs w:val="18"/>
          <w:lang w:val="en-US"/>
        </w:rPr>
        <w:t xml:space="preserve"> that are two standard deviations greater than the mean RLUs of replicate determinations of the PSA zero standard.</w:t>
      </w:r>
      <w:r w:rsidRPr="3DAE8182" w:rsidR="0873CF8D">
        <w:rPr>
          <w:sz w:val="18"/>
          <w:szCs w:val="18"/>
          <w:lang w:val="en-US"/>
        </w:rPr>
        <w:t xml:space="preserve"> For the other methods, the </w:t>
      </w:r>
      <w:r w:rsidRPr="3DAE8182" w:rsidR="2781DD31">
        <w:rPr>
          <w:sz w:val="18"/>
          <w:szCs w:val="18"/>
          <w:lang w:val="en-US"/>
        </w:rPr>
        <w:t>l</w:t>
      </w:r>
      <w:r w:rsidRPr="3DAE8182" w:rsidR="50CF2570">
        <w:rPr>
          <w:sz w:val="18"/>
          <w:szCs w:val="18"/>
          <w:lang w:val="en-US"/>
        </w:rPr>
        <w:t xml:space="preserve">imit of </w:t>
      </w:r>
      <w:r w:rsidRPr="3DAE8182" w:rsidR="2781DD31">
        <w:rPr>
          <w:sz w:val="18"/>
          <w:szCs w:val="18"/>
          <w:lang w:val="en-US"/>
        </w:rPr>
        <w:t>d</w:t>
      </w:r>
      <w:r w:rsidRPr="3DAE8182" w:rsidR="50CF2570">
        <w:rPr>
          <w:sz w:val="18"/>
          <w:szCs w:val="18"/>
          <w:lang w:val="en-US"/>
        </w:rPr>
        <w:t>etection</w:t>
      </w:r>
      <w:r w:rsidRPr="3DAE8182" w:rsidR="0873CF8D">
        <w:rPr>
          <w:sz w:val="18"/>
          <w:szCs w:val="18"/>
          <w:lang w:val="en-US"/>
        </w:rPr>
        <w:t xml:space="preserve"> corresponds to the lowest </w:t>
      </w:r>
      <w:proofErr w:type="spellStart"/>
      <w:r w:rsidRPr="3DAE8182" w:rsidR="0873CF8D">
        <w:rPr>
          <w:sz w:val="18"/>
          <w:szCs w:val="18"/>
          <w:lang w:val="en-US"/>
        </w:rPr>
        <w:t>analyte</w:t>
      </w:r>
      <w:proofErr w:type="spellEnd"/>
      <w:r w:rsidRPr="3DAE8182" w:rsidR="0873CF8D">
        <w:rPr>
          <w:sz w:val="18"/>
          <w:szCs w:val="18"/>
          <w:lang w:val="en-US"/>
        </w:rPr>
        <w:t xml:space="preserve"> concentration which can be detected (value above the </w:t>
      </w:r>
      <w:r w:rsidRPr="3DAE8182" w:rsidR="2781DD31">
        <w:rPr>
          <w:sz w:val="18"/>
          <w:szCs w:val="18"/>
          <w:lang w:val="en-US"/>
        </w:rPr>
        <w:t>l</w:t>
      </w:r>
      <w:r w:rsidRPr="3DAE8182" w:rsidR="0873CF8D">
        <w:rPr>
          <w:sz w:val="18"/>
          <w:szCs w:val="18"/>
          <w:lang w:val="en-US"/>
        </w:rPr>
        <w:t xml:space="preserve">imit of </w:t>
      </w:r>
      <w:r w:rsidRPr="3DAE8182" w:rsidR="2781DD31">
        <w:rPr>
          <w:sz w:val="18"/>
          <w:szCs w:val="18"/>
          <w:lang w:val="en-US"/>
        </w:rPr>
        <w:t>b</w:t>
      </w:r>
      <w:r w:rsidRPr="3DAE8182" w:rsidR="0873CF8D">
        <w:rPr>
          <w:sz w:val="18"/>
          <w:szCs w:val="18"/>
          <w:lang w:val="en-US"/>
        </w:rPr>
        <w:t>lank</w:t>
      </w:r>
      <w:r w:rsidRPr="3DAE8182" w:rsidR="50CF2570">
        <w:rPr>
          <w:sz w:val="18"/>
          <w:szCs w:val="18"/>
          <w:lang w:val="en-US"/>
        </w:rPr>
        <w:t>)</w:t>
      </w:r>
      <w:r w:rsidRPr="3DAE8182" w:rsidR="0873CF8D">
        <w:rPr>
          <w:sz w:val="18"/>
          <w:szCs w:val="18"/>
          <w:lang w:val="en-US"/>
        </w:rPr>
        <w:t xml:space="preserve"> with a probability of 95 %.</w:t>
      </w:r>
    </w:p>
    <w:p w:rsidRPr="009D7989" w:rsidR="00DE089B" w:rsidP="3DAE8182" w:rsidRDefault="536C5845" w14:paraId="248C2E4C" w14:textId="7979C8F9">
      <w:pPr>
        <w:spacing w:after="0" w:line="240" w:lineRule="auto"/>
        <w:rPr>
          <w:sz w:val="18"/>
          <w:szCs w:val="18"/>
          <w:lang w:val="en-US"/>
        </w:rPr>
      </w:pPr>
      <w:proofErr w:type="gramStart"/>
      <w:r w:rsidRPr="3DAE8182">
        <w:rPr>
          <w:sz w:val="18"/>
          <w:szCs w:val="18"/>
          <w:vertAlign w:val="superscript"/>
          <w:lang w:val="en-US"/>
        </w:rPr>
        <w:t>c</w:t>
      </w:r>
      <w:proofErr w:type="gramEnd"/>
      <w:r w:rsidRPr="3DAE8182" w:rsidR="3A831D65">
        <w:rPr>
          <w:sz w:val="18"/>
          <w:szCs w:val="18"/>
          <w:lang w:val="en-US"/>
        </w:rPr>
        <w:t xml:space="preserve"> Average values and dispersion were estimated using robust statistic</w:t>
      </w:r>
      <w:r w:rsidRPr="3DAE8182" w:rsidR="56F08A36">
        <w:rPr>
          <w:sz w:val="18"/>
          <w:szCs w:val="18"/>
          <w:lang w:val="en-US"/>
        </w:rPr>
        <w:t>s a</w:t>
      </w:r>
      <w:r w:rsidRPr="3DAE8182" w:rsidR="4646168A">
        <w:rPr>
          <w:sz w:val="18"/>
          <w:szCs w:val="18"/>
          <w:lang w:val="en-US"/>
        </w:rPr>
        <w:t>s described in the Supplemental Methods</w:t>
      </w:r>
      <w:r w:rsidRPr="3DAE8182" w:rsidR="3A831D65">
        <w:rPr>
          <w:sz w:val="18"/>
          <w:szCs w:val="18"/>
          <w:lang w:val="en-US"/>
        </w:rPr>
        <w:t>.</w:t>
      </w:r>
      <w:r w:rsidRPr="3DAE8182" w:rsidR="4277ECFF">
        <w:rPr>
          <w:sz w:val="18"/>
          <w:szCs w:val="18"/>
          <w:lang w:val="en-US"/>
        </w:rPr>
        <w:t xml:space="preserve"> </w:t>
      </w:r>
    </w:p>
    <w:p w:rsidRPr="009D7989" w:rsidR="009D1FF3" w:rsidP="00DE089B" w:rsidRDefault="00D42943" w14:paraId="0CF4D602" w14:textId="3BBC5B1E">
      <w:pPr>
        <w:spacing w:after="0" w:line="240" w:lineRule="auto"/>
        <w:rPr>
          <w:sz w:val="18"/>
          <w:lang w:val="en-US"/>
        </w:rPr>
      </w:pPr>
      <w:proofErr w:type="gramStart"/>
      <w:r>
        <w:rPr>
          <w:sz w:val="18"/>
          <w:vertAlign w:val="superscript"/>
          <w:lang w:val="en-US"/>
        </w:rPr>
        <w:t>d</w:t>
      </w:r>
      <w:proofErr w:type="gramEnd"/>
      <w:r w:rsidRPr="009D7989" w:rsidR="009D1FF3">
        <w:rPr>
          <w:sz w:val="18"/>
          <w:lang w:val="en-US"/>
        </w:rPr>
        <w:t xml:space="preserve"> Bias vs. consensus</w:t>
      </w:r>
      <w:r w:rsidR="00E6786A">
        <w:rPr>
          <w:sz w:val="18"/>
          <w:lang w:val="en-US"/>
        </w:rPr>
        <w:t>,</w:t>
      </w:r>
      <w:r w:rsidRPr="009D7989" w:rsidR="009D1FF3">
        <w:rPr>
          <w:sz w:val="18"/>
          <w:lang w:val="en-US"/>
        </w:rPr>
        <w:t xml:space="preserve"> with consensus calculated as the non-weighted average of mean PSA per method</w:t>
      </w:r>
      <w:r w:rsidR="00E6786A">
        <w:rPr>
          <w:sz w:val="18"/>
          <w:lang w:val="en-US"/>
        </w:rPr>
        <w:t xml:space="preserve"> (0.088 </w:t>
      </w:r>
      <w:proofErr w:type="spellStart"/>
      <w:r w:rsidR="00E6786A">
        <w:rPr>
          <w:sz w:val="18"/>
          <w:lang w:val="en-US"/>
        </w:rPr>
        <w:t>μg</w:t>
      </w:r>
      <w:proofErr w:type="spellEnd"/>
      <w:r w:rsidR="00E6786A">
        <w:rPr>
          <w:sz w:val="18"/>
          <w:lang w:val="en-US"/>
        </w:rPr>
        <w:t>/L)</w:t>
      </w:r>
      <w:r w:rsidRPr="009D7989" w:rsidR="009D1FF3">
        <w:rPr>
          <w:sz w:val="18"/>
          <w:lang w:val="en-US"/>
        </w:rPr>
        <w:t>.</w:t>
      </w:r>
    </w:p>
    <w:p w:rsidR="00DE089B" w:rsidP="00D8F735" w:rsidRDefault="00DE089B" w14:paraId="32EF1671" w14:textId="3C128216">
      <w:pPr>
        <w:spacing w:after="0" w:line="240" w:lineRule="auto"/>
        <w:rPr>
          <w:sz w:val="18"/>
          <w:szCs w:val="18"/>
          <w:lang w:val="en-US"/>
        </w:rPr>
      </w:pPr>
      <w:r w:rsidRPr="686BD993">
        <w:rPr>
          <w:sz w:val="18"/>
          <w:szCs w:val="18"/>
          <w:lang w:val="en-US"/>
        </w:rPr>
        <w:t xml:space="preserve">Abbreviations: </w:t>
      </w:r>
      <w:r w:rsidRPr="686BD993" w:rsidR="5FA0685E">
        <w:rPr>
          <w:sz w:val="18"/>
          <w:szCs w:val="18"/>
          <w:lang w:val="en-US"/>
        </w:rPr>
        <w:t xml:space="preserve">CV, coefficient of variation; </w:t>
      </w:r>
      <w:proofErr w:type="spellStart"/>
      <w:r w:rsidRPr="686BD993" w:rsidR="00E53463">
        <w:rPr>
          <w:sz w:val="18"/>
          <w:szCs w:val="18"/>
          <w:lang w:val="en-US"/>
        </w:rPr>
        <w:t>LoD</w:t>
      </w:r>
      <w:proofErr w:type="spellEnd"/>
      <w:r w:rsidRPr="686BD993" w:rsidR="00E53463">
        <w:rPr>
          <w:sz w:val="18"/>
          <w:szCs w:val="18"/>
          <w:lang w:val="en-US"/>
        </w:rPr>
        <w:t xml:space="preserve">, limit of detection; </w:t>
      </w:r>
      <w:r w:rsidRPr="686BD993">
        <w:rPr>
          <w:sz w:val="18"/>
          <w:szCs w:val="18"/>
          <w:lang w:val="en-US"/>
        </w:rPr>
        <w:t>N/A, not applicable; SD, standard deviation</w:t>
      </w:r>
      <w:r w:rsidRPr="686BD993" w:rsidR="0025446A">
        <w:rPr>
          <w:sz w:val="18"/>
          <w:szCs w:val="18"/>
          <w:lang w:val="en-US"/>
        </w:rPr>
        <w:t>; SEM, standard error of the mean</w:t>
      </w:r>
      <w:r w:rsidRPr="686BD993">
        <w:rPr>
          <w:sz w:val="18"/>
          <w:szCs w:val="18"/>
          <w:lang w:val="en-US"/>
        </w:rPr>
        <w:t>.</w:t>
      </w:r>
      <w:bookmarkStart w:name="_GoBack" w:id="0"/>
      <w:bookmarkEnd w:id="0"/>
    </w:p>
    <w:p w:rsidR="00D8F735" w:rsidP="00D8F735" w:rsidRDefault="00D8F735" w14:paraId="3A01A331" w14:textId="64FDAE8C">
      <w:pPr>
        <w:spacing w:after="0" w:line="240" w:lineRule="auto"/>
        <w:rPr>
          <w:sz w:val="18"/>
          <w:szCs w:val="18"/>
          <w:lang w:val="en-US"/>
        </w:rPr>
      </w:pPr>
    </w:p>
    <w:p w:rsidRPr="006A4384" w:rsidR="6282E75D" w:rsidRDefault="6282E75D" w14:paraId="57E72219" w14:textId="73712562">
      <w:pPr>
        <w:rPr>
          <w:lang w:val="en-US"/>
        </w:rPr>
      </w:pPr>
      <w:r w:rsidRPr="006A4384">
        <w:rPr>
          <w:lang w:val="en-US"/>
        </w:rPr>
        <w:br w:type="page"/>
      </w:r>
    </w:p>
    <w:p w:rsidR="00D8F735" w:rsidP="6282E75D" w:rsidRDefault="76C8A246" w14:paraId="3B15B3EB" w14:textId="0D1DE516">
      <w:pPr>
        <w:spacing w:after="0" w:line="240" w:lineRule="auto"/>
        <w:rPr>
          <w:b/>
          <w:bCs/>
          <w:sz w:val="20"/>
          <w:szCs w:val="20"/>
          <w:lang w:val="en-US"/>
        </w:rPr>
      </w:pPr>
      <w:r w:rsidRPr="6282E75D">
        <w:rPr>
          <w:b/>
          <w:bCs/>
          <w:sz w:val="20"/>
          <w:szCs w:val="20"/>
          <w:lang w:val="en-US"/>
        </w:rPr>
        <w:t>Supplemental Figure:</w:t>
      </w:r>
    </w:p>
    <w:p w:rsidR="6282E75D" w:rsidP="6282E75D" w:rsidRDefault="6282E75D" w14:paraId="6B8E56A7" w14:textId="79D40B60">
      <w:pPr>
        <w:spacing w:after="0" w:line="240" w:lineRule="auto"/>
        <w:rPr>
          <w:sz w:val="18"/>
          <w:szCs w:val="18"/>
          <w:lang w:val="en-US"/>
        </w:rPr>
      </w:pPr>
    </w:p>
    <w:p w:rsidR="003E6265" w:rsidP="6282E75D" w:rsidRDefault="434CA165" w14:paraId="609D240E" w14:textId="5A6B68F5">
      <w:pPr>
        <w:jc w:val="both"/>
        <w:rPr>
          <w:sz w:val="20"/>
          <w:szCs w:val="20"/>
          <w:lang w:val="en-US"/>
        </w:rPr>
      </w:pPr>
      <w:r>
        <w:rPr>
          <w:noProof/>
          <w:lang w:eastAsia="nl-NL"/>
        </w:rPr>
        <w:drawing>
          <wp:inline distT="0" distB="0" distL="0" distR="0" wp14:anchorId="2026C05E" wp14:editId="4C68285B">
            <wp:extent cx="5762626" cy="4105275"/>
            <wp:effectExtent l="0" t="0" r="0" b="0"/>
            <wp:docPr id="2009864713" name="Afbeelding 200986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2626" cy="4105275"/>
                    </a:xfrm>
                    <a:prstGeom prst="rect">
                      <a:avLst/>
                    </a:prstGeom>
                  </pic:spPr>
                </pic:pic>
              </a:graphicData>
            </a:graphic>
          </wp:inline>
        </w:drawing>
      </w:r>
      <w:r w:rsidRPr="28C15196">
        <w:rPr>
          <w:sz w:val="20"/>
          <w:szCs w:val="20"/>
          <w:lang w:val="en-US"/>
        </w:rPr>
        <w:t>Supplemental Figure</w:t>
      </w:r>
      <w:r w:rsidRPr="28C15196" w:rsidR="420AFBF0">
        <w:rPr>
          <w:sz w:val="20"/>
          <w:szCs w:val="20"/>
          <w:lang w:val="en-US"/>
        </w:rPr>
        <w:t xml:space="preserve"> 1</w:t>
      </w:r>
      <w:r w:rsidRPr="28C15196">
        <w:rPr>
          <w:sz w:val="20"/>
          <w:szCs w:val="20"/>
          <w:lang w:val="en-US"/>
        </w:rPr>
        <w:t xml:space="preserve">. </w:t>
      </w:r>
      <w:r w:rsidRPr="28C15196" w:rsidR="7AFC5597">
        <w:rPr>
          <w:sz w:val="20"/>
          <w:szCs w:val="20"/>
          <w:lang w:val="en-US"/>
        </w:rPr>
        <w:t>Exploratory analysis on the a</w:t>
      </w:r>
      <w:r w:rsidRPr="28C15196">
        <w:rPr>
          <w:sz w:val="20"/>
          <w:szCs w:val="20"/>
          <w:lang w:val="en-US"/>
        </w:rPr>
        <w:t>ssociation of reagent bottle onboard time and PSA level</w:t>
      </w:r>
      <w:r w:rsidRPr="28C15196" w:rsidR="6D8E5F21">
        <w:rPr>
          <w:sz w:val="20"/>
          <w:szCs w:val="20"/>
          <w:lang w:val="en-US"/>
        </w:rPr>
        <w:t xml:space="preserve"> based on real-world data</w:t>
      </w:r>
      <w:r w:rsidRPr="28C15196">
        <w:rPr>
          <w:sz w:val="20"/>
          <w:szCs w:val="20"/>
          <w:lang w:val="en-US"/>
        </w:rPr>
        <w:t xml:space="preserve">. </w:t>
      </w:r>
      <w:r w:rsidRPr="28C15196" w:rsidR="3C2F1A2B">
        <w:rPr>
          <w:sz w:val="20"/>
          <w:szCs w:val="20"/>
          <w:lang w:val="en-US"/>
        </w:rPr>
        <w:t>Median [25</w:t>
      </w:r>
      <w:r w:rsidRPr="28C15196" w:rsidR="3C2F1A2B">
        <w:rPr>
          <w:sz w:val="20"/>
          <w:szCs w:val="20"/>
          <w:vertAlign w:val="superscript"/>
          <w:lang w:val="en-US"/>
        </w:rPr>
        <w:t>th</w:t>
      </w:r>
      <w:r w:rsidRPr="28C15196" w:rsidR="4D0FE3FE">
        <w:rPr>
          <w:sz w:val="20"/>
          <w:szCs w:val="20"/>
          <w:vertAlign w:val="superscript"/>
          <w:lang w:val="en-US"/>
        </w:rPr>
        <w:t>-</w:t>
      </w:r>
      <w:r w:rsidRPr="28C15196" w:rsidR="3C2F1A2B">
        <w:rPr>
          <w:sz w:val="20"/>
          <w:szCs w:val="20"/>
          <w:lang w:val="en-US"/>
        </w:rPr>
        <w:t>75</w:t>
      </w:r>
      <w:r w:rsidRPr="28C15196" w:rsidR="3C2F1A2B">
        <w:rPr>
          <w:sz w:val="20"/>
          <w:szCs w:val="20"/>
          <w:vertAlign w:val="superscript"/>
          <w:lang w:val="en-US"/>
        </w:rPr>
        <w:t>th</w:t>
      </w:r>
      <w:r w:rsidRPr="28C15196" w:rsidR="3C2F1A2B">
        <w:rPr>
          <w:sz w:val="20"/>
          <w:szCs w:val="20"/>
          <w:lang w:val="en-US"/>
        </w:rPr>
        <w:t xml:space="preserve"> percentile</w:t>
      </w:r>
      <w:r w:rsidRPr="28C15196" w:rsidR="4896853B">
        <w:rPr>
          <w:sz w:val="20"/>
          <w:szCs w:val="20"/>
          <w:lang w:val="en-US"/>
        </w:rPr>
        <w:t>s</w:t>
      </w:r>
      <w:r w:rsidRPr="28C15196" w:rsidR="3C2F1A2B">
        <w:rPr>
          <w:sz w:val="20"/>
          <w:szCs w:val="20"/>
          <w:lang w:val="en-US"/>
        </w:rPr>
        <w:t>] on board time was 9 [5-13] days.</w:t>
      </w:r>
      <w:r w:rsidRPr="28C15196" w:rsidR="16D1D6F7">
        <w:rPr>
          <w:sz w:val="20"/>
          <w:szCs w:val="20"/>
          <w:lang w:val="en-US"/>
        </w:rPr>
        <w:t xml:space="preserve"> </w:t>
      </w:r>
      <w:r w:rsidRPr="28C15196" w:rsidR="031F34AD">
        <w:rPr>
          <w:sz w:val="20"/>
          <w:szCs w:val="20"/>
          <w:lang w:val="en-US"/>
        </w:rPr>
        <w:t>LOESS regression</w:t>
      </w:r>
      <w:r w:rsidRPr="28C15196" w:rsidR="3575CC68">
        <w:rPr>
          <w:sz w:val="20"/>
          <w:szCs w:val="20"/>
          <w:lang w:val="en-US"/>
        </w:rPr>
        <w:t xml:space="preserve"> (blue line with 95% confidence interval</w:t>
      </w:r>
      <w:r w:rsidRPr="28C15196" w:rsidR="70AE5F16">
        <w:rPr>
          <w:sz w:val="20"/>
          <w:szCs w:val="20"/>
          <w:lang w:val="en-US"/>
        </w:rPr>
        <w:t xml:space="preserve">; </w:t>
      </w:r>
      <w:r w:rsidRPr="28C15196" w:rsidR="6F01704C">
        <w:rPr>
          <w:sz w:val="20"/>
          <w:szCs w:val="20"/>
          <w:lang w:val="en-US"/>
        </w:rPr>
        <w:t xml:space="preserve">constructed with </w:t>
      </w:r>
      <w:proofErr w:type="spellStart"/>
      <w:r w:rsidRPr="28C15196" w:rsidR="6F01704C">
        <w:rPr>
          <w:sz w:val="20"/>
          <w:szCs w:val="20"/>
          <w:lang w:val="en-US"/>
        </w:rPr>
        <w:t>ggplot</w:t>
      </w:r>
      <w:proofErr w:type="spellEnd"/>
      <w:r w:rsidRPr="28C15196" w:rsidR="6F01704C">
        <w:rPr>
          <w:sz w:val="20"/>
          <w:szCs w:val="20"/>
          <w:lang w:val="en-US"/>
        </w:rPr>
        <w:t xml:space="preserve"> in </w:t>
      </w:r>
      <w:r w:rsidRPr="28C15196" w:rsidR="70AE5F16">
        <w:rPr>
          <w:sz w:val="20"/>
          <w:szCs w:val="20"/>
          <w:lang w:val="en-US"/>
        </w:rPr>
        <w:t>R v</w:t>
      </w:r>
      <w:r w:rsidRPr="28C15196" w:rsidR="4FDC575E">
        <w:rPr>
          <w:sz w:val="20"/>
          <w:szCs w:val="20"/>
          <w:lang w:val="en-US"/>
        </w:rPr>
        <w:t>ersion 4.4.2</w:t>
      </w:r>
      <w:r w:rsidRPr="28C15196" w:rsidR="3575CC68">
        <w:rPr>
          <w:sz w:val="20"/>
          <w:szCs w:val="20"/>
          <w:lang w:val="en-US"/>
        </w:rPr>
        <w:t>) showed no material change in average PSA value with increasing onboard time</w:t>
      </w:r>
      <w:r w:rsidRPr="28C15196" w:rsidR="031F34AD">
        <w:rPr>
          <w:sz w:val="20"/>
          <w:szCs w:val="20"/>
          <w:lang w:val="en-US"/>
        </w:rPr>
        <w:t>.</w:t>
      </w:r>
      <w:r w:rsidRPr="28C15196" w:rsidR="3B4CAB48">
        <w:rPr>
          <w:sz w:val="20"/>
          <w:szCs w:val="20"/>
          <w:lang w:val="en-US"/>
        </w:rPr>
        <w:t xml:space="preserve"> </w:t>
      </w:r>
      <w:r w:rsidRPr="28C15196" w:rsidR="29875B69">
        <w:rPr>
          <w:sz w:val="20"/>
          <w:szCs w:val="20"/>
          <w:lang w:val="en-US"/>
        </w:rPr>
        <w:t>However,</w:t>
      </w:r>
      <w:r w:rsidRPr="28C15196" w:rsidR="3B4CAB48">
        <w:rPr>
          <w:sz w:val="20"/>
          <w:szCs w:val="20"/>
          <w:lang w:val="en-US"/>
        </w:rPr>
        <w:t xml:space="preserve"> the uneven distribution of the number of measurements across the range of days limits the</w:t>
      </w:r>
      <w:r w:rsidRPr="28C15196" w:rsidR="3B9D1E74">
        <w:rPr>
          <w:sz w:val="20"/>
          <w:szCs w:val="20"/>
          <w:lang w:val="en-US"/>
        </w:rPr>
        <w:t xml:space="preserve"> precision of the results at an onboard time &gt; </w:t>
      </w:r>
      <w:r w:rsidRPr="28C15196" w:rsidR="537DDC47">
        <w:rPr>
          <w:sz w:val="20"/>
          <w:szCs w:val="20"/>
          <w:lang w:val="en-US"/>
        </w:rPr>
        <w:t>7</w:t>
      </w:r>
      <w:r w:rsidRPr="28C15196" w:rsidR="3B9D1E74">
        <w:rPr>
          <w:sz w:val="20"/>
          <w:szCs w:val="20"/>
          <w:lang w:val="en-US"/>
        </w:rPr>
        <w:t xml:space="preserve"> days.</w:t>
      </w:r>
    </w:p>
    <w:p w:rsidR="6282E75D" w:rsidP="6282E75D" w:rsidRDefault="6282E75D" w14:paraId="029A6617" w14:textId="0733CB5F">
      <w:pPr>
        <w:jc w:val="both"/>
        <w:rPr>
          <w:sz w:val="20"/>
          <w:szCs w:val="20"/>
          <w:lang w:val="en-US"/>
        </w:rPr>
      </w:pPr>
    </w:p>
    <w:p w:rsidR="006A4384" w:rsidP="006A4384" w:rsidRDefault="00635D46" w14:paraId="071E4E01" w14:textId="7ACB830B">
      <w:pPr>
        <w:rPr>
          <w:lang w:val="en-US"/>
        </w:rPr>
      </w:pPr>
      <w:proofErr w:type="spellStart"/>
      <w:r w:rsidRPr="006A4384">
        <w:rPr>
          <w:b/>
          <w:sz w:val="20"/>
        </w:rPr>
        <w:t>References</w:t>
      </w:r>
      <w:proofErr w:type="spellEnd"/>
    </w:p>
    <w:p w:rsidRPr="006A4384" w:rsidR="006A4384" w:rsidP="006A4384" w:rsidRDefault="006A4384" w14:paraId="1921BFAB" w14:textId="77777777">
      <w:pPr>
        <w:pStyle w:val="Bibliografie"/>
        <w:jc w:val="both"/>
        <w:rPr>
          <w:rFonts w:ascii="Arial" w:hAnsi="Arial" w:cs="Arial"/>
          <w:sz w:val="20"/>
          <w:szCs w:val="24"/>
          <w:lang w:val="en-US"/>
        </w:rPr>
      </w:pPr>
      <w:r>
        <w:rPr>
          <w:lang w:val="en-US"/>
        </w:rPr>
        <w:fldChar w:fldCharType="begin"/>
      </w:r>
      <w:r>
        <w:instrText xml:space="preserve"> ADDIN ZOTERO_BIBL {"uncited":[],"omitted":[],"custom":[[["http://zotero.org/users/14108098/items/P65ULCT9"],"2.\\tab{}Van Rossum HH, Holdenrieder S, Ballieux BEPB, Badrick TC, Yun YM, Zhang C, e.a. Investigating the current harmonization status of tumor markers using global external quality assessment programs: a feasibility study. Clin Chem. 2024;70(4):669-79."],[["http://zotero.org/users/14108098/items/VZF883C4"],"1.\\tab{}Thelen MHM, Jansen RTP, Weykamp CW, Steigstra H, Meijer R, Cobbaert CM. Expressing analytical performance from multi-sample evaluation in laboratory EQA. Clin Chem Lab Med. 2017;55(10):1509-16. Version 2.8 available from: https://www.skml.nl/app/uploads/2024/09/MUSE-manual-version-2.8.pdf [accessed 8-11-2024]. Section on robust statistics at page 4."]]} CSL_BIBLIOGRAPHY </w:instrText>
      </w:r>
      <w:r>
        <w:rPr>
          <w:lang w:val="en-US"/>
        </w:rPr>
        <w:fldChar w:fldCharType="separate"/>
      </w:r>
      <w:r w:rsidRPr="006A4384">
        <w:rPr>
          <w:rFonts w:ascii="Arial" w:hAnsi="Arial" w:cs="Arial"/>
          <w:sz w:val="20"/>
          <w:szCs w:val="24"/>
        </w:rPr>
        <w:t>1.</w:t>
      </w:r>
      <w:r w:rsidRPr="006A4384">
        <w:rPr>
          <w:rFonts w:ascii="Arial" w:hAnsi="Arial" w:cs="Arial"/>
          <w:sz w:val="20"/>
          <w:szCs w:val="24"/>
        </w:rPr>
        <w:tab/>
      </w:r>
      <w:r w:rsidRPr="006A4384">
        <w:rPr>
          <w:rFonts w:ascii="Arial" w:hAnsi="Arial" w:cs="Arial"/>
          <w:sz w:val="20"/>
          <w:szCs w:val="24"/>
        </w:rPr>
        <w:t xml:space="preserve">Thelen MHM, Jansen RTP, </w:t>
      </w:r>
      <w:proofErr w:type="spellStart"/>
      <w:r w:rsidRPr="006A4384">
        <w:rPr>
          <w:rFonts w:ascii="Arial" w:hAnsi="Arial" w:cs="Arial"/>
          <w:sz w:val="20"/>
          <w:szCs w:val="24"/>
        </w:rPr>
        <w:t>Weykamp</w:t>
      </w:r>
      <w:proofErr w:type="spellEnd"/>
      <w:r w:rsidRPr="006A4384">
        <w:rPr>
          <w:rFonts w:ascii="Arial" w:hAnsi="Arial" w:cs="Arial"/>
          <w:sz w:val="20"/>
          <w:szCs w:val="24"/>
        </w:rPr>
        <w:t xml:space="preserve"> CW, </w:t>
      </w:r>
      <w:proofErr w:type="spellStart"/>
      <w:r w:rsidRPr="006A4384">
        <w:rPr>
          <w:rFonts w:ascii="Arial" w:hAnsi="Arial" w:cs="Arial"/>
          <w:sz w:val="20"/>
          <w:szCs w:val="24"/>
        </w:rPr>
        <w:t>Steigstra</w:t>
      </w:r>
      <w:proofErr w:type="spellEnd"/>
      <w:r w:rsidRPr="006A4384">
        <w:rPr>
          <w:rFonts w:ascii="Arial" w:hAnsi="Arial" w:cs="Arial"/>
          <w:sz w:val="20"/>
          <w:szCs w:val="24"/>
        </w:rPr>
        <w:t xml:space="preserve"> H, Meijer R, </w:t>
      </w:r>
      <w:proofErr w:type="spellStart"/>
      <w:r w:rsidRPr="006A4384">
        <w:rPr>
          <w:rFonts w:ascii="Arial" w:hAnsi="Arial" w:cs="Arial"/>
          <w:sz w:val="20"/>
          <w:szCs w:val="24"/>
        </w:rPr>
        <w:t>Cobbaert</w:t>
      </w:r>
      <w:proofErr w:type="spellEnd"/>
      <w:r w:rsidRPr="006A4384">
        <w:rPr>
          <w:rFonts w:ascii="Arial" w:hAnsi="Arial" w:cs="Arial"/>
          <w:sz w:val="20"/>
          <w:szCs w:val="24"/>
        </w:rPr>
        <w:t xml:space="preserve"> CM. </w:t>
      </w:r>
      <w:r w:rsidRPr="006A4384">
        <w:rPr>
          <w:rFonts w:ascii="Arial" w:hAnsi="Arial" w:cs="Arial"/>
          <w:sz w:val="20"/>
          <w:szCs w:val="24"/>
          <w:lang w:val="en-US"/>
        </w:rPr>
        <w:t>Expressing analytical performance from multi-sample evaluation in laboratory EQA. Clin Chem Lab Med. 2017</w:t>
      </w:r>
      <w:proofErr w:type="gramStart"/>
      <w:r w:rsidRPr="006A4384">
        <w:rPr>
          <w:rFonts w:ascii="Arial" w:hAnsi="Arial" w:cs="Arial"/>
          <w:sz w:val="20"/>
          <w:szCs w:val="24"/>
          <w:lang w:val="en-US"/>
        </w:rPr>
        <w:t>;55</w:t>
      </w:r>
      <w:proofErr w:type="gramEnd"/>
      <w:r w:rsidRPr="006A4384">
        <w:rPr>
          <w:rFonts w:ascii="Arial" w:hAnsi="Arial" w:cs="Arial"/>
          <w:sz w:val="20"/>
          <w:szCs w:val="24"/>
          <w:lang w:val="en-US"/>
        </w:rPr>
        <w:t>(10):1509-16. Version 2.8 available from: https://www.skml.nl/app/uploads/2024/09/MUSE-manual-version-2.8.pdf [accessed 8-11-2024]. Section on robust statistics at page 4.</w:t>
      </w:r>
    </w:p>
    <w:p w:rsidRPr="006A4384" w:rsidR="006A4384" w:rsidP="006A4384" w:rsidRDefault="006A4384" w14:paraId="3EC2AFDB" w14:textId="77777777">
      <w:pPr>
        <w:pStyle w:val="Bibliografie"/>
        <w:jc w:val="both"/>
        <w:rPr>
          <w:rFonts w:ascii="Arial" w:hAnsi="Arial" w:cs="Arial"/>
          <w:sz w:val="20"/>
          <w:szCs w:val="24"/>
        </w:rPr>
      </w:pPr>
      <w:r w:rsidRPr="006A4384">
        <w:rPr>
          <w:rFonts w:ascii="Arial" w:hAnsi="Arial" w:cs="Arial"/>
          <w:sz w:val="20"/>
          <w:szCs w:val="24"/>
          <w:lang w:val="en-US"/>
        </w:rPr>
        <w:t>2.</w:t>
      </w:r>
      <w:r w:rsidRPr="006A4384">
        <w:rPr>
          <w:rFonts w:ascii="Arial" w:hAnsi="Arial" w:cs="Arial"/>
          <w:sz w:val="20"/>
          <w:szCs w:val="24"/>
          <w:lang w:val="en-US"/>
        </w:rPr>
        <w:tab/>
      </w:r>
      <w:r w:rsidRPr="006A4384">
        <w:rPr>
          <w:rFonts w:ascii="Arial" w:hAnsi="Arial" w:cs="Arial"/>
          <w:sz w:val="20"/>
          <w:szCs w:val="24"/>
          <w:lang w:val="en-US"/>
        </w:rPr>
        <w:t xml:space="preserve">Van Rossum HH, Holdenrieder S, Ballieux BEPB, Badrick TC, Yun YM, Zhang C, e.a. Investigating the current harmonization status of tumor markers using global external quality assessment programs: a feasibility study. </w:t>
      </w:r>
      <w:proofErr w:type="spellStart"/>
      <w:r w:rsidRPr="006A4384">
        <w:rPr>
          <w:rFonts w:ascii="Arial" w:hAnsi="Arial" w:cs="Arial"/>
          <w:sz w:val="20"/>
          <w:szCs w:val="24"/>
        </w:rPr>
        <w:t>Clin</w:t>
      </w:r>
      <w:proofErr w:type="spellEnd"/>
      <w:r w:rsidRPr="006A4384">
        <w:rPr>
          <w:rFonts w:ascii="Arial" w:hAnsi="Arial" w:cs="Arial"/>
          <w:sz w:val="20"/>
          <w:szCs w:val="24"/>
        </w:rPr>
        <w:t xml:space="preserve"> </w:t>
      </w:r>
      <w:proofErr w:type="spellStart"/>
      <w:r w:rsidRPr="006A4384">
        <w:rPr>
          <w:rFonts w:ascii="Arial" w:hAnsi="Arial" w:cs="Arial"/>
          <w:sz w:val="20"/>
          <w:szCs w:val="24"/>
        </w:rPr>
        <w:t>Chem</w:t>
      </w:r>
      <w:proofErr w:type="spellEnd"/>
      <w:r w:rsidRPr="006A4384">
        <w:rPr>
          <w:rFonts w:ascii="Arial" w:hAnsi="Arial" w:cs="Arial"/>
          <w:sz w:val="20"/>
          <w:szCs w:val="24"/>
        </w:rPr>
        <w:t>. 2024;70(4):669-79.</w:t>
      </w:r>
    </w:p>
    <w:p w:rsidRPr="00DE089B" w:rsidR="006A4384" w:rsidP="006A4384" w:rsidRDefault="006A4384" w14:paraId="6C6F25D2" w14:textId="4DE128E5">
      <w:pPr>
        <w:jc w:val="both"/>
        <w:rPr>
          <w:rFonts w:ascii="Arial" w:hAnsi="Arial" w:cs="Arial"/>
          <w:sz w:val="20"/>
          <w:szCs w:val="20"/>
          <w:lang w:val="en-US"/>
        </w:rPr>
      </w:pPr>
      <w:r>
        <w:rPr>
          <w:rFonts w:ascii="Arial" w:hAnsi="Arial" w:cs="Arial"/>
          <w:sz w:val="20"/>
          <w:szCs w:val="20"/>
          <w:lang w:val="en-US"/>
        </w:rPr>
        <w:fldChar w:fldCharType="end"/>
      </w:r>
    </w:p>
    <w:p w:rsidRPr="00DE089B" w:rsidR="00E65BC1" w:rsidP="00D8F735" w:rsidRDefault="00E65BC1" w14:paraId="0A37501D" w14:textId="63152948">
      <w:pPr>
        <w:pStyle w:val="Bibliografie"/>
        <w:spacing w:after="0"/>
        <w:rPr>
          <w:rFonts w:ascii="Arial" w:hAnsi="Arial" w:cs="Arial"/>
          <w:sz w:val="20"/>
          <w:szCs w:val="20"/>
          <w:lang w:val="en-US"/>
        </w:rPr>
      </w:pPr>
    </w:p>
    <w:sectPr w:rsidRPr="00DE089B" w:rsidR="00E65BC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23D1C"/>
    <w:multiLevelType w:val="hybridMultilevel"/>
    <w:tmpl w:val="9C641B9A"/>
    <w:lvl w:ilvl="0" w:tplc="5328A94A">
      <w:start w:val="1"/>
      <w:numFmt w:val="bullet"/>
      <w:lvlText w:val=""/>
      <w:lvlJc w:val="left"/>
      <w:pPr>
        <w:ind w:left="720" w:hanging="360"/>
      </w:pPr>
      <w:rPr>
        <w:rFonts w:hint="default" w:ascii="Symbol" w:hAnsi="Symbol"/>
      </w:rPr>
    </w:lvl>
    <w:lvl w:ilvl="1" w:tplc="EE68D094">
      <w:start w:val="1"/>
      <w:numFmt w:val="bullet"/>
      <w:lvlText w:val="o"/>
      <w:lvlJc w:val="left"/>
      <w:pPr>
        <w:ind w:left="1440" w:hanging="360"/>
      </w:pPr>
      <w:rPr>
        <w:rFonts w:hint="default" w:ascii="Courier New" w:hAnsi="Courier New"/>
      </w:rPr>
    </w:lvl>
    <w:lvl w:ilvl="2" w:tplc="4E64D6DA">
      <w:start w:val="1"/>
      <w:numFmt w:val="bullet"/>
      <w:lvlText w:val=""/>
      <w:lvlJc w:val="left"/>
      <w:pPr>
        <w:ind w:left="2160" w:hanging="360"/>
      </w:pPr>
      <w:rPr>
        <w:rFonts w:hint="default" w:ascii="Wingdings" w:hAnsi="Wingdings"/>
      </w:rPr>
    </w:lvl>
    <w:lvl w:ilvl="3" w:tplc="EB50F10A">
      <w:start w:val="1"/>
      <w:numFmt w:val="bullet"/>
      <w:lvlText w:val=""/>
      <w:lvlJc w:val="left"/>
      <w:pPr>
        <w:ind w:left="2880" w:hanging="360"/>
      </w:pPr>
      <w:rPr>
        <w:rFonts w:hint="default" w:ascii="Symbol" w:hAnsi="Symbol"/>
      </w:rPr>
    </w:lvl>
    <w:lvl w:ilvl="4" w:tplc="B936CC6C">
      <w:start w:val="1"/>
      <w:numFmt w:val="bullet"/>
      <w:lvlText w:val="o"/>
      <w:lvlJc w:val="left"/>
      <w:pPr>
        <w:ind w:left="3600" w:hanging="360"/>
      </w:pPr>
      <w:rPr>
        <w:rFonts w:hint="default" w:ascii="Courier New" w:hAnsi="Courier New"/>
      </w:rPr>
    </w:lvl>
    <w:lvl w:ilvl="5" w:tplc="E02A2974">
      <w:start w:val="1"/>
      <w:numFmt w:val="bullet"/>
      <w:lvlText w:val=""/>
      <w:lvlJc w:val="left"/>
      <w:pPr>
        <w:ind w:left="4320" w:hanging="360"/>
      </w:pPr>
      <w:rPr>
        <w:rFonts w:hint="default" w:ascii="Wingdings" w:hAnsi="Wingdings"/>
      </w:rPr>
    </w:lvl>
    <w:lvl w:ilvl="6" w:tplc="C8CAA446">
      <w:start w:val="1"/>
      <w:numFmt w:val="bullet"/>
      <w:lvlText w:val=""/>
      <w:lvlJc w:val="left"/>
      <w:pPr>
        <w:ind w:left="5040" w:hanging="360"/>
      </w:pPr>
      <w:rPr>
        <w:rFonts w:hint="default" w:ascii="Symbol" w:hAnsi="Symbol"/>
      </w:rPr>
    </w:lvl>
    <w:lvl w:ilvl="7" w:tplc="9B383BB8">
      <w:start w:val="1"/>
      <w:numFmt w:val="bullet"/>
      <w:lvlText w:val="o"/>
      <w:lvlJc w:val="left"/>
      <w:pPr>
        <w:ind w:left="5760" w:hanging="360"/>
      </w:pPr>
      <w:rPr>
        <w:rFonts w:hint="default" w:ascii="Courier New" w:hAnsi="Courier New"/>
      </w:rPr>
    </w:lvl>
    <w:lvl w:ilvl="8" w:tplc="56A681B4">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9B"/>
    <w:rsid w:val="00000164"/>
    <w:rsid w:val="0007271D"/>
    <w:rsid w:val="00076B5A"/>
    <w:rsid w:val="000C24A5"/>
    <w:rsid w:val="000C473C"/>
    <w:rsid w:val="000E1855"/>
    <w:rsid w:val="00166167"/>
    <w:rsid w:val="001665DF"/>
    <w:rsid w:val="00170300"/>
    <w:rsid w:val="001847CC"/>
    <w:rsid w:val="00186996"/>
    <w:rsid w:val="001B7D33"/>
    <w:rsid w:val="001BE127"/>
    <w:rsid w:val="00213702"/>
    <w:rsid w:val="00216D95"/>
    <w:rsid w:val="0025446A"/>
    <w:rsid w:val="00265ACE"/>
    <w:rsid w:val="00293EE5"/>
    <w:rsid w:val="002E1607"/>
    <w:rsid w:val="003E6265"/>
    <w:rsid w:val="004C1481"/>
    <w:rsid w:val="005266C9"/>
    <w:rsid w:val="00537104"/>
    <w:rsid w:val="005A578B"/>
    <w:rsid w:val="00635D46"/>
    <w:rsid w:val="00671570"/>
    <w:rsid w:val="006A4384"/>
    <w:rsid w:val="006B63C4"/>
    <w:rsid w:val="007234C1"/>
    <w:rsid w:val="00776100"/>
    <w:rsid w:val="007B5E95"/>
    <w:rsid w:val="0086064B"/>
    <w:rsid w:val="008A0200"/>
    <w:rsid w:val="009A5107"/>
    <w:rsid w:val="009B1EBD"/>
    <w:rsid w:val="009D1FF3"/>
    <w:rsid w:val="009D7989"/>
    <w:rsid w:val="00A119D3"/>
    <w:rsid w:val="00AA76C5"/>
    <w:rsid w:val="00B425D7"/>
    <w:rsid w:val="00C22A49"/>
    <w:rsid w:val="00CE325D"/>
    <w:rsid w:val="00CE4672"/>
    <w:rsid w:val="00D41D4D"/>
    <w:rsid w:val="00D42943"/>
    <w:rsid w:val="00D43E1D"/>
    <w:rsid w:val="00D54019"/>
    <w:rsid w:val="00D8F735"/>
    <w:rsid w:val="00DE089B"/>
    <w:rsid w:val="00E02095"/>
    <w:rsid w:val="00E53463"/>
    <w:rsid w:val="00E65BC1"/>
    <w:rsid w:val="00E6786A"/>
    <w:rsid w:val="010ACA95"/>
    <w:rsid w:val="01DCC911"/>
    <w:rsid w:val="023FE303"/>
    <w:rsid w:val="025F4185"/>
    <w:rsid w:val="0263F83F"/>
    <w:rsid w:val="02E40948"/>
    <w:rsid w:val="031F34AD"/>
    <w:rsid w:val="04D52F09"/>
    <w:rsid w:val="05F0184F"/>
    <w:rsid w:val="0655225E"/>
    <w:rsid w:val="070F220A"/>
    <w:rsid w:val="0784355E"/>
    <w:rsid w:val="08254775"/>
    <w:rsid w:val="0828AB44"/>
    <w:rsid w:val="0873CF8D"/>
    <w:rsid w:val="09841CE6"/>
    <w:rsid w:val="0A9871F2"/>
    <w:rsid w:val="0CABF90A"/>
    <w:rsid w:val="0DF67A69"/>
    <w:rsid w:val="0E8E705D"/>
    <w:rsid w:val="0EDE21C2"/>
    <w:rsid w:val="0EE2FBCB"/>
    <w:rsid w:val="0F277F22"/>
    <w:rsid w:val="0F3AA05A"/>
    <w:rsid w:val="0FA1BB3F"/>
    <w:rsid w:val="12817D5A"/>
    <w:rsid w:val="1341159D"/>
    <w:rsid w:val="13690AE2"/>
    <w:rsid w:val="13FD4C75"/>
    <w:rsid w:val="141019DA"/>
    <w:rsid w:val="1494E248"/>
    <w:rsid w:val="150D882B"/>
    <w:rsid w:val="1556C5E1"/>
    <w:rsid w:val="15779843"/>
    <w:rsid w:val="159CCF17"/>
    <w:rsid w:val="16233552"/>
    <w:rsid w:val="16D1D6F7"/>
    <w:rsid w:val="177BB402"/>
    <w:rsid w:val="1797FB9E"/>
    <w:rsid w:val="17F81132"/>
    <w:rsid w:val="190EDAA7"/>
    <w:rsid w:val="196B86A3"/>
    <w:rsid w:val="1A32E321"/>
    <w:rsid w:val="1AC77730"/>
    <w:rsid w:val="1BB33EB8"/>
    <w:rsid w:val="1CB73FD3"/>
    <w:rsid w:val="1D71FB87"/>
    <w:rsid w:val="1D96F062"/>
    <w:rsid w:val="1F05DADB"/>
    <w:rsid w:val="1FB0F1AB"/>
    <w:rsid w:val="201F197D"/>
    <w:rsid w:val="2079D7D2"/>
    <w:rsid w:val="207C5629"/>
    <w:rsid w:val="209C6668"/>
    <w:rsid w:val="2126F913"/>
    <w:rsid w:val="215E09C3"/>
    <w:rsid w:val="221BA150"/>
    <w:rsid w:val="2405640D"/>
    <w:rsid w:val="25968A86"/>
    <w:rsid w:val="25AD7874"/>
    <w:rsid w:val="266DEF73"/>
    <w:rsid w:val="26AFA7C3"/>
    <w:rsid w:val="26C67DE9"/>
    <w:rsid w:val="26F4649E"/>
    <w:rsid w:val="26FAAE5F"/>
    <w:rsid w:val="2781DD31"/>
    <w:rsid w:val="279FC6DC"/>
    <w:rsid w:val="27C55668"/>
    <w:rsid w:val="28506510"/>
    <w:rsid w:val="28C15196"/>
    <w:rsid w:val="29875B69"/>
    <w:rsid w:val="29CD0C5A"/>
    <w:rsid w:val="29CE3FCC"/>
    <w:rsid w:val="29D21285"/>
    <w:rsid w:val="2B8ADD5A"/>
    <w:rsid w:val="2BF920AE"/>
    <w:rsid w:val="2C1291EB"/>
    <w:rsid w:val="2DC59C02"/>
    <w:rsid w:val="2DCD3220"/>
    <w:rsid w:val="2DE48799"/>
    <w:rsid w:val="2E62D2D1"/>
    <w:rsid w:val="2EC03F4B"/>
    <w:rsid w:val="2FBDAC87"/>
    <w:rsid w:val="2FCE32A6"/>
    <w:rsid w:val="3149E65A"/>
    <w:rsid w:val="31678210"/>
    <w:rsid w:val="327845F4"/>
    <w:rsid w:val="351BEABB"/>
    <w:rsid w:val="3575CC68"/>
    <w:rsid w:val="365DD26F"/>
    <w:rsid w:val="368D87BE"/>
    <w:rsid w:val="36F2886C"/>
    <w:rsid w:val="374F640B"/>
    <w:rsid w:val="37872654"/>
    <w:rsid w:val="37FAD9F7"/>
    <w:rsid w:val="39368513"/>
    <w:rsid w:val="3947C9A6"/>
    <w:rsid w:val="3A72989E"/>
    <w:rsid w:val="3A831D65"/>
    <w:rsid w:val="3B4BCF31"/>
    <w:rsid w:val="3B4CAB48"/>
    <w:rsid w:val="3B9D1E74"/>
    <w:rsid w:val="3BD41AF8"/>
    <w:rsid w:val="3C2F1A2B"/>
    <w:rsid w:val="3C408608"/>
    <w:rsid w:val="3CF21545"/>
    <w:rsid w:val="3D0817D2"/>
    <w:rsid w:val="3DAE8182"/>
    <w:rsid w:val="3E09AFFC"/>
    <w:rsid w:val="3E31883C"/>
    <w:rsid w:val="3EAAF357"/>
    <w:rsid w:val="3ECDCE3D"/>
    <w:rsid w:val="3F8A3978"/>
    <w:rsid w:val="3FA08669"/>
    <w:rsid w:val="4035E31E"/>
    <w:rsid w:val="40BB9E8B"/>
    <w:rsid w:val="411D812A"/>
    <w:rsid w:val="418E07CD"/>
    <w:rsid w:val="420AFBF0"/>
    <w:rsid w:val="4277ECFF"/>
    <w:rsid w:val="42DD8283"/>
    <w:rsid w:val="42F607B1"/>
    <w:rsid w:val="434CA165"/>
    <w:rsid w:val="43846725"/>
    <w:rsid w:val="44B2410D"/>
    <w:rsid w:val="44BDC46E"/>
    <w:rsid w:val="453D8648"/>
    <w:rsid w:val="45AC809A"/>
    <w:rsid w:val="4646168A"/>
    <w:rsid w:val="46B26B78"/>
    <w:rsid w:val="478A7DA7"/>
    <w:rsid w:val="47E63E7B"/>
    <w:rsid w:val="48058D76"/>
    <w:rsid w:val="4824ED4D"/>
    <w:rsid w:val="486550B9"/>
    <w:rsid w:val="486F4FCD"/>
    <w:rsid w:val="4896853B"/>
    <w:rsid w:val="4911F639"/>
    <w:rsid w:val="49767D61"/>
    <w:rsid w:val="498AB3E1"/>
    <w:rsid w:val="49B90BC3"/>
    <w:rsid w:val="4C1292C4"/>
    <w:rsid w:val="4C5E7DD8"/>
    <w:rsid w:val="4C79C782"/>
    <w:rsid w:val="4C8A943E"/>
    <w:rsid w:val="4D0FE3FE"/>
    <w:rsid w:val="4D1F85A7"/>
    <w:rsid w:val="4D273D06"/>
    <w:rsid w:val="4D6E0559"/>
    <w:rsid w:val="4D9DF24C"/>
    <w:rsid w:val="4EC7998A"/>
    <w:rsid w:val="4EE2B158"/>
    <w:rsid w:val="4FDC575E"/>
    <w:rsid w:val="4FEBD6E4"/>
    <w:rsid w:val="50AF6D19"/>
    <w:rsid w:val="50CF2570"/>
    <w:rsid w:val="50EE2318"/>
    <w:rsid w:val="50F3E95E"/>
    <w:rsid w:val="520C4D8D"/>
    <w:rsid w:val="525E759B"/>
    <w:rsid w:val="5265E4CC"/>
    <w:rsid w:val="526ED202"/>
    <w:rsid w:val="52996D2A"/>
    <w:rsid w:val="52A6EFB7"/>
    <w:rsid w:val="5315D21C"/>
    <w:rsid w:val="536C5845"/>
    <w:rsid w:val="5379C6FE"/>
    <w:rsid w:val="537DDC47"/>
    <w:rsid w:val="53B4CCD1"/>
    <w:rsid w:val="547EA287"/>
    <w:rsid w:val="553581D2"/>
    <w:rsid w:val="55AAF453"/>
    <w:rsid w:val="5611B22B"/>
    <w:rsid w:val="561F9059"/>
    <w:rsid w:val="56F08A36"/>
    <w:rsid w:val="56F7C660"/>
    <w:rsid w:val="572012F9"/>
    <w:rsid w:val="57E84C12"/>
    <w:rsid w:val="580B8889"/>
    <w:rsid w:val="583C3B27"/>
    <w:rsid w:val="58653CA6"/>
    <w:rsid w:val="59B59E50"/>
    <w:rsid w:val="5A6A755A"/>
    <w:rsid w:val="5AC7A3A7"/>
    <w:rsid w:val="5B2837F8"/>
    <w:rsid w:val="5B7316B9"/>
    <w:rsid w:val="5CC1545E"/>
    <w:rsid w:val="5EBFA0FE"/>
    <w:rsid w:val="5EC3ACBF"/>
    <w:rsid w:val="5ED76349"/>
    <w:rsid w:val="5F82B18E"/>
    <w:rsid w:val="5FA0685E"/>
    <w:rsid w:val="602F4588"/>
    <w:rsid w:val="61788959"/>
    <w:rsid w:val="61CC3561"/>
    <w:rsid w:val="6282E75D"/>
    <w:rsid w:val="6292C22F"/>
    <w:rsid w:val="62B5185F"/>
    <w:rsid w:val="62DD0635"/>
    <w:rsid w:val="63747F03"/>
    <w:rsid w:val="63ECE314"/>
    <w:rsid w:val="63F5BC91"/>
    <w:rsid w:val="645BE93A"/>
    <w:rsid w:val="657F4952"/>
    <w:rsid w:val="658AC889"/>
    <w:rsid w:val="66276F80"/>
    <w:rsid w:val="66F27D0E"/>
    <w:rsid w:val="67200BFD"/>
    <w:rsid w:val="6743335A"/>
    <w:rsid w:val="67A526DE"/>
    <w:rsid w:val="67C4469E"/>
    <w:rsid w:val="67FD8B7C"/>
    <w:rsid w:val="686BD993"/>
    <w:rsid w:val="6922F701"/>
    <w:rsid w:val="693BD3EB"/>
    <w:rsid w:val="696D4101"/>
    <w:rsid w:val="69A54B62"/>
    <w:rsid w:val="6A951E1D"/>
    <w:rsid w:val="6AF59781"/>
    <w:rsid w:val="6BC82EDE"/>
    <w:rsid w:val="6D4A3434"/>
    <w:rsid w:val="6D69B04C"/>
    <w:rsid w:val="6D8E5F21"/>
    <w:rsid w:val="6D9C279B"/>
    <w:rsid w:val="6DB067C6"/>
    <w:rsid w:val="6DCD7666"/>
    <w:rsid w:val="6F01704C"/>
    <w:rsid w:val="70AE5F16"/>
    <w:rsid w:val="728971AB"/>
    <w:rsid w:val="72D108B0"/>
    <w:rsid w:val="72DFF27F"/>
    <w:rsid w:val="72F9AAFB"/>
    <w:rsid w:val="7448443A"/>
    <w:rsid w:val="74729E0A"/>
    <w:rsid w:val="76C8A246"/>
    <w:rsid w:val="76FCB5EE"/>
    <w:rsid w:val="77642B76"/>
    <w:rsid w:val="778306F5"/>
    <w:rsid w:val="77FD9BD5"/>
    <w:rsid w:val="7840AFBB"/>
    <w:rsid w:val="7A72B29D"/>
    <w:rsid w:val="7AFC5597"/>
    <w:rsid w:val="7B16AB63"/>
    <w:rsid w:val="7B203D7C"/>
    <w:rsid w:val="7B86479B"/>
    <w:rsid w:val="7DE5C486"/>
    <w:rsid w:val="7E563772"/>
    <w:rsid w:val="7F24B1EF"/>
    <w:rsid w:val="7F761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1DA3"/>
  <w15:chartTrackingRefBased/>
  <w15:docId w15:val="{012AD558-781B-4D69-97C9-14483B117B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DE08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ibliografie">
    <w:name w:val="Bibliography"/>
    <w:basedOn w:val="Standaard"/>
    <w:next w:val="Standaard"/>
    <w:uiPriority w:val="37"/>
    <w:unhideWhenUsed/>
    <w:rsid w:val="00635D46"/>
    <w:pPr>
      <w:tabs>
        <w:tab w:val="left" w:pos="264"/>
      </w:tabs>
      <w:spacing w:after="240" w:line="240" w:lineRule="auto"/>
      <w:ind w:left="264" w:hanging="264"/>
    </w:pPr>
  </w:style>
  <w:style w:type="paragraph" w:styleId="paragraph" w:customStyle="1">
    <w:name w:val="paragraph"/>
    <w:basedOn w:val="Standaard"/>
    <w:rsid w:val="00E6786A"/>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E6786A"/>
  </w:style>
  <w:style w:type="character" w:styleId="eop" w:customStyle="1">
    <w:name w:val="eop"/>
    <w:basedOn w:val="Standaardalinea-lettertype"/>
    <w:rsid w:val="00E6786A"/>
  </w:style>
  <w:style w:type="paragraph" w:styleId="Lijstalinea">
    <w:name w:val="List Paragraph"/>
    <w:basedOn w:val="Standaard"/>
    <w:uiPriority w:val="34"/>
    <w:qFormat/>
    <w:rsid w:val="6282E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52457">
      <w:bodyDiv w:val="1"/>
      <w:marLeft w:val="0"/>
      <w:marRight w:val="0"/>
      <w:marTop w:val="0"/>
      <w:marBottom w:val="0"/>
      <w:divBdr>
        <w:top w:val="none" w:sz="0" w:space="0" w:color="auto"/>
        <w:left w:val="none" w:sz="0" w:space="0" w:color="auto"/>
        <w:bottom w:val="none" w:sz="0" w:space="0" w:color="auto"/>
        <w:right w:val="none" w:sz="0" w:space="0" w:color="auto"/>
      </w:divBdr>
      <w:divsChild>
        <w:div w:id="893851569">
          <w:marLeft w:val="0"/>
          <w:marRight w:val="0"/>
          <w:marTop w:val="0"/>
          <w:marBottom w:val="0"/>
          <w:divBdr>
            <w:top w:val="none" w:sz="0" w:space="0" w:color="auto"/>
            <w:left w:val="none" w:sz="0" w:space="0" w:color="auto"/>
            <w:bottom w:val="none" w:sz="0" w:space="0" w:color="auto"/>
            <w:right w:val="none" w:sz="0" w:space="0" w:color="auto"/>
          </w:divBdr>
          <w:divsChild>
            <w:div w:id="288437199">
              <w:marLeft w:val="0"/>
              <w:marRight w:val="0"/>
              <w:marTop w:val="0"/>
              <w:marBottom w:val="0"/>
              <w:divBdr>
                <w:top w:val="none" w:sz="0" w:space="0" w:color="auto"/>
                <w:left w:val="none" w:sz="0" w:space="0" w:color="auto"/>
                <w:bottom w:val="none" w:sz="0" w:space="0" w:color="auto"/>
                <w:right w:val="none" w:sz="0" w:space="0" w:color="auto"/>
              </w:divBdr>
            </w:div>
          </w:divsChild>
        </w:div>
        <w:div w:id="1921671784">
          <w:marLeft w:val="0"/>
          <w:marRight w:val="0"/>
          <w:marTop w:val="0"/>
          <w:marBottom w:val="0"/>
          <w:divBdr>
            <w:top w:val="none" w:sz="0" w:space="0" w:color="auto"/>
            <w:left w:val="none" w:sz="0" w:space="0" w:color="auto"/>
            <w:bottom w:val="none" w:sz="0" w:space="0" w:color="auto"/>
            <w:right w:val="none" w:sz="0" w:space="0" w:color="auto"/>
          </w:divBdr>
          <w:divsChild>
            <w:div w:id="1999840879">
              <w:marLeft w:val="0"/>
              <w:marRight w:val="0"/>
              <w:marTop w:val="0"/>
              <w:marBottom w:val="0"/>
              <w:divBdr>
                <w:top w:val="none" w:sz="0" w:space="0" w:color="auto"/>
                <w:left w:val="none" w:sz="0" w:space="0" w:color="auto"/>
                <w:bottom w:val="none" w:sz="0" w:space="0" w:color="auto"/>
                <w:right w:val="none" w:sz="0" w:space="0" w:color="auto"/>
              </w:divBdr>
            </w:div>
          </w:divsChild>
        </w:div>
        <w:div w:id="545916531">
          <w:marLeft w:val="0"/>
          <w:marRight w:val="0"/>
          <w:marTop w:val="0"/>
          <w:marBottom w:val="0"/>
          <w:divBdr>
            <w:top w:val="none" w:sz="0" w:space="0" w:color="auto"/>
            <w:left w:val="none" w:sz="0" w:space="0" w:color="auto"/>
            <w:bottom w:val="none" w:sz="0" w:space="0" w:color="auto"/>
            <w:right w:val="none" w:sz="0" w:space="0" w:color="auto"/>
          </w:divBdr>
          <w:divsChild>
            <w:div w:id="1330405587">
              <w:marLeft w:val="0"/>
              <w:marRight w:val="0"/>
              <w:marTop w:val="0"/>
              <w:marBottom w:val="0"/>
              <w:divBdr>
                <w:top w:val="none" w:sz="0" w:space="0" w:color="auto"/>
                <w:left w:val="none" w:sz="0" w:space="0" w:color="auto"/>
                <w:bottom w:val="none" w:sz="0" w:space="0" w:color="auto"/>
                <w:right w:val="none" w:sz="0" w:space="0" w:color="auto"/>
              </w:divBdr>
            </w:div>
          </w:divsChild>
        </w:div>
        <w:div w:id="2079395456">
          <w:marLeft w:val="0"/>
          <w:marRight w:val="0"/>
          <w:marTop w:val="0"/>
          <w:marBottom w:val="0"/>
          <w:divBdr>
            <w:top w:val="none" w:sz="0" w:space="0" w:color="auto"/>
            <w:left w:val="none" w:sz="0" w:space="0" w:color="auto"/>
            <w:bottom w:val="none" w:sz="0" w:space="0" w:color="auto"/>
            <w:right w:val="none" w:sz="0" w:space="0" w:color="auto"/>
          </w:divBdr>
          <w:divsChild>
            <w:div w:id="1619945362">
              <w:marLeft w:val="0"/>
              <w:marRight w:val="0"/>
              <w:marTop w:val="0"/>
              <w:marBottom w:val="0"/>
              <w:divBdr>
                <w:top w:val="none" w:sz="0" w:space="0" w:color="auto"/>
                <w:left w:val="none" w:sz="0" w:space="0" w:color="auto"/>
                <w:bottom w:val="none" w:sz="0" w:space="0" w:color="auto"/>
                <w:right w:val="none" w:sz="0" w:space="0" w:color="auto"/>
              </w:divBdr>
            </w:div>
          </w:divsChild>
        </w:div>
        <w:div w:id="1840267130">
          <w:marLeft w:val="0"/>
          <w:marRight w:val="0"/>
          <w:marTop w:val="0"/>
          <w:marBottom w:val="0"/>
          <w:divBdr>
            <w:top w:val="none" w:sz="0" w:space="0" w:color="auto"/>
            <w:left w:val="none" w:sz="0" w:space="0" w:color="auto"/>
            <w:bottom w:val="none" w:sz="0" w:space="0" w:color="auto"/>
            <w:right w:val="none" w:sz="0" w:space="0" w:color="auto"/>
          </w:divBdr>
          <w:divsChild>
            <w:div w:id="1120297083">
              <w:marLeft w:val="0"/>
              <w:marRight w:val="0"/>
              <w:marTop w:val="0"/>
              <w:marBottom w:val="0"/>
              <w:divBdr>
                <w:top w:val="none" w:sz="0" w:space="0" w:color="auto"/>
                <w:left w:val="none" w:sz="0" w:space="0" w:color="auto"/>
                <w:bottom w:val="none" w:sz="0" w:space="0" w:color="auto"/>
                <w:right w:val="none" w:sz="0" w:space="0" w:color="auto"/>
              </w:divBdr>
            </w:div>
          </w:divsChild>
        </w:div>
        <w:div w:id="360206645">
          <w:marLeft w:val="0"/>
          <w:marRight w:val="0"/>
          <w:marTop w:val="0"/>
          <w:marBottom w:val="0"/>
          <w:divBdr>
            <w:top w:val="none" w:sz="0" w:space="0" w:color="auto"/>
            <w:left w:val="none" w:sz="0" w:space="0" w:color="auto"/>
            <w:bottom w:val="none" w:sz="0" w:space="0" w:color="auto"/>
            <w:right w:val="none" w:sz="0" w:space="0" w:color="auto"/>
          </w:divBdr>
          <w:divsChild>
            <w:div w:id="1308700649">
              <w:marLeft w:val="0"/>
              <w:marRight w:val="0"/>
              <w:marTop w:val="0"/>
              <w:marBottom w:val="0"/>
              <w:divBdr>
                <w:top w:val="none" w:sz="0" w:space="0" w:color="auto"/>
                <w:left w:val="none" w:sz="0" w:space="0" w:color="auto"/>
                <w:bottom w:val="none" w:sz="0" w:space="0" w:color="auto"/>
                <w:right w:val="none" w:sz="0" w:space="0" w:color="auto"/>
              </w:divBdr>
            </w:div>
          </w:divsChild>
        </w:div>
        <w:div w:id="1656377768">
          <w:marLeft w:val="0"/>
          <w:marRight w:val="0"/>
          <w:marTop w:val="0"/>
          <w:marBottom w:val="0"/>
          <w:divBdr>
            <w:top w:val="none" w:sz="0" w:space="0" w:color="auto"/>
            <w:left w:val="none" w:sz="0" w:space="0" w:color="auto"/>
            <w:bottom w:val="none" w:sz="0" w:space="0" w:color="auto"/>
            <w:right w:val="none" w:sz="0" w:space="0" w:color="auto"/>
          </w:divBdr>
          <w:divsChild>
            <w:div w:id="1961063515">
              <w:marLeft w:val="0"/>
              <w:marRight w:val="0"/>
              <w:marTop w:val="0"/>
              <w:marBottom w:val="0"/>
              <w:divBdr>
                <w:top w:val="none" w:sz="0" w:space="0" w:color="auto"/>
                <w:left w:val="none" w:sz="0" w:space="0" w:color="auto"/>
                <w:bottom w:val="none" w:sz="0" w:space="0" w:color="auto"/>
                <w:right w:val="none" w:sz="0" w:space="0" w:color="auto"/>
              </w:divBdr>
            </w:div>
          </w:divsChild>
        </w:div>
        <w:div w:id="569192064">
          <w:marLeft w:val="0"/>
          <w:marRight w:val="0"/>
          <w:marTop w:val="0"/>
          <w:marBottom w:val="0"/>
          <w:divBdr>
            <w:top w:val="none" w:sz="0" w:space="0" w:color="auto"/>
            <w:left w:val="none" w:sz="0" w:space="0" w:color="auto"/>
            <w:bottom w:val="none" w:sz="0" w:space="0" w:color="auto"/>
            <w:right w:val="none" w:sz="0" w:space="0" w:color="auto"/>
          </w:divBdr>
          <w:divsChild>
            <w:div w:id="993414701">
              <w:marLeft w:val="0"/>
              <w:marRight w:val="0"/>
              <w:marTop w:val="0"/>
              <w:marBottom w:val="0"/>
              <w:divBdr>
                <w:top w:val="none" w:sz="0" w:space="0" w:color="auto"/>
                <w:left w:val="none" w:sz="0" w:space="0" w:color="auto"/>
                <w:bottom w:val="none" w:sz="0" w:space="0" w:color="auto"/>
                <w:right w:val="none" w:sz="0" w:space="0" w:color="auto"/>
              </w:divBdr>
            </w:div>
          </w:divsChild>
        </w:div>
        <w:div w:id="306084406">
          <w:marLeft w:val="0"/>
          <w:marRight w:val="0"/>
          <w:marTop w:val="0"/>
          <w:marBottom w:val="0"/>
          <w:divBdr>
            <w:top w:val="none" w:sz="0" w:space="0" w:color="auto"/>
            <w:left w:val="none" w:sz="0" w:space="0" w:color="auto"/>
            <w:bottom w:val="none" w:sz="0" w:space="0" w:color="auto"/>
            <w:right w:val="none" w:sz="0" w:space="0" w:color="auto"/>
          </w:divBdr>
          <w:divsChild>
            <w:div w:id="1895388847">
              <w:marLeft w:val="0"/>
              <w:marRight w:val="0"/>
              <w:marTop w:val="0"/>
              <w:marBottom w:val="0"/>
              <w:divBdr>
                <w:top w:val="none" w:sz="0" w:space="0" w:color="auto"/>
                <w:left w:val="none" w:sz="0" w:space="0" w:color="auto"/>
                <w:bottom w:val="none" w:sz="0" w:space="0" w:color="auto"/>
                <w:right w:val="none" w:sz="0" w:space="0" w:color="auto"/>
              </w:divBdr>
            </w:div>
          </w:divsChild>
        </w:div>
        <w:div w:id="1813058888">
          <w:marLeft w:val="0"/>
          <w:marRight w:val="0"/>
          <w:marTop w:val="0"/>
          <w:marBottom w:val="0"/>
          <w:divBdr>
            <w:top w:val="none" w:sz="0" w:space="0" w:color="auto"/>
            <w:left w:val="none" w:sz="0" w:space="0" w:color="auto"/>
            <w:bottom w:val="none" w:sz="0" w:space="0" w:color="auto"/>
            <w:right w:val="none" w:sz="0" w:space="0" w:color="auto"/>
          </w:divBdr>
          <w:divsChild>
            <w:div w:id="420566655">
              <w:marLeft w:val="0"/>
              <w:marRight w:val="0"/>
              <w:marTop w:val="0"/>
              <w:marBottom w:val="0"/>
              <w:divBdr>
                <w:top w:val="none" w:sz="0" w:space="0" w:color="auto"/>
                <w:left w:val="none" w:sz="0" w:space="0" w:color="auto"/>
                <w:bottom w:val="none" w:sz="0" w:space="0" w:color="auto"/>
                <w:right w:val="none" w:sz="0" w:space="0" w:color="auto"/>
              </w:divBdr>
            </w:div>
          </w:divsChild>
        </w:div>
        <w:div w:id="33704098">
          <w:marLeft w:val="0"/>
          <w:marRight w:val="0"/>
          <w:marTop w:val="0"/>
          <w:marBottom w:val="0"/>
          <w:divBdr>
            <w:top w:val="none" w:sz="0" w:space="0" w:color="auto"/>
            <w:left w:val="none" w:sz="0" w:space="0" w:color="auto"/>
            <w:bottom w:val="none" w:sz="0" w:space="0" w:color="auto"/>
            <w:right w:val="none" w:sz="0" w:space="0" w:color="auto"/>
          </w:divBdr>
          <w:divsChild>
            <w:div w:id="1987009379">
              <w:marLeft w:val="0"/>
              <w:marRight w:val="0"/>
              <w:marTop w:val="0"/>
              <w:marBottom w:val="0"/>
              <w:divBdr>
                <w:top w:val="none" w:sz="0" w:space="0" w:color="auto"/>
                <w:left w:val="none" w:sz="0" w:space="0" w:color="auto"/>
                <w:bottom w:val="none" w:sz="0" w:space="0" w:color="auto"/>
                <w:right w:val="none" w:sz="0" w:space="0" w:color="auto"/>
              </w:divBdr>
            </w:div>
          </w:divsChild>
        </w:div>
        <w:div w:id="1202935558">
          <w:marLeft w:val="0"/>
          <w:marRight w:val="0"/>
          <w:marTop w:val="0"/>
          <w:marBottom w:val="0"/>
          <w:divBdr>
            <w:top w:val="none" w:sz="0" w:space="0" w:color="auto"/>
            <w:left w:val="none" w:sz="0" w:space="0" w:color="auto"/>
            <w:bottom w:val="none" w:sz="0" w:space="0" w:color="auto"/>
            <w:right w:val="none" w:sz="0" w:space="0" w:color="auto"/>
          </w:divBdr>
          <w:divsChild>
            <w:div w:id="235022110">
              <w:marLeft w:val="0"/>
              <w:marRight w:val="0"/>
              <w:marTop w:val="0"/>
              <w:marBottom w:val="0"/>
              <w:divBdr>
                <w:top w:val="none" w:sz="0" w:space="0" w:color="auto"/>
                <w:left w:val="none" w:sz="0" w:space="0" w:color="auto"/>
                <w:bottom w:val="none" w:sz="0" w:space="0" w:color="auto"/>
                <w:right w:val="none" w:sz="0" w:space="0" w:color="auto"/>
              </w:divBdr>
            </w:div>
          </w:divsChild>
        </w:div>
        <w:div w:id="1020856858">
          <w:marLeft w:val="0"/>
          <w:marRight w:val="0"/>
          <w:marTop w:val="0"/>
          <w:marBottom w:val="0"/>
          <w:divBdr>
            <w:top w:val="none" w:sz="0" w:space="0" w:color="auto"/>
            <w:left w:val="none" w:sz="0" w:space="0" w:color="auto"/>
            <w:bottom w:val="none" w:sz="0" w:space="0" w:color="auto"/>
            <w:right w:val="none" w:sz="0" w:space="0" w:color="auto"/>
          </w:divBdr>
          <w:divsChild>
            <w:div w:id="660160061">
              <w:marLeft w:val="0"/>
              <w:marRight w:val="0"/>
              <w:marTop w:val="0"/>
              <w:marBottom w:val="0"/>
              <w:divBdr>
                <w:top w:val="none" w:sz="0" w:space="0" w:color="auto"/>
                <w:left w:val="none" w:sz="0" w:space="0" w:color="auto"/>
                <w:bottom w:val="none" w:sz="0" w:space="0" w:color="auto"/>
                <w:right w:val="none" w:sz="0" w:space="0" w:color="auto"/>
              </w:divBdr>
            </w:div>
          </w:divsChild>
        </w:div>
        <w:div w:id="1641306849">
          <w:marLeft w:val="0"/>
          <w:marRight w:val="0"/>
          <w:marTop w:val="0"/>
          <w:marBottom w:val="0"/>
          <w:divBdr>
            <w:top w:val="none" w:sz="0" w:space="0" w:color="auto"/>
            <w:left w:val="none" w:sz="0" w:space="0" w:color="auto"/>
            <w:bottom w:val="none" w:sz="0" w:space="0" w:color="auto"/>
            <w:right w:val="none" w:sz="0" w:space="0" w:color="auto"/>
          </w:divBdr>
          <w:divsChild>
            <w:div w:id="86001261">
              <w:marLeft w:val="0"/>
              <w:marRight w:val="0"/>
              <w:marTop w:val="0"/>
              <w:marBottom w:val="0"/>
              <w:divBdr>
                <w:top w:val="none" w:sz="0" w:space="0" w:color="auto"/>
                <w:left w:val="none" w:sz="0" w:space="0" w:color="auto"/>
                <w:bottom w:val="none" w:sz="0" w:space="0" w:color="auto"/>
                <w:right w:val="none" w:sz="0" w:space="0" w:color="auto"/>
              </w:divBdr>
            </w:div>
          </w:divsChild>
        </w:div>
        <w:div w:id="39937365">
          <w:marLeft w:val="0"/>
          <w:marRight w:val="0"/>
          <w:marTop w:val="0"/>
          <w:marBottom w:val="0"/>
          <w:divBdr>
            <w:top w:val="none" w:sz="0" w:space="0" w:color="auto"/>
            <w:left w:val="none" w:sz="0" w:space="0" w:color="auto"/>
            <w:bottom w:val="none" w:sz="0" w:space="0" w:color="auto"/>
            <w:right w:val="none" w:sz="0" w:space="0" w:color="auto"/>
          </w:divBdr>
          <w:divsChild>
            <w:div w:id="78216708">
              <w:marLeft w:val="0"/>
              <w:marRight w:val="0"/>
              <w:marTop w:val="0"/>
              <w:marBottom w:val="0"/>
              <w:divBdr>
                <w:top w:val="none" w:sz="0" w:space="0" w:color="auto"/>
                <w:left w:val="none" w:sz="0" w:space="0" w:color="auto"/>
                <w:bottom w:val="none" w:sz="0" w:space="0" w:color="auto"/>
                <w:right w:val="none" w:sz="0" w:space="0" w:color="auto"/>
              </w:divBdr>
            </w:div>
          </w:divsChild>
        </w:div>
        <w:div w:id="529952677">
          <w:marLeft w:val="0"/>
          <w:marRight w:val="0"/>
          <w:marTop w:val="0"/>
          <w:marBottom w:val="0"/>
          <w:divBdr>
            <w:top w:val="none" w:sz="0" w:space="0" w:color="auto"/>
            <w:left w:val="none" w:sz="0" w:space="0" w:color="auto"/>
            <w:bottom w:val="none" w:sz="0" w:space="0" w:color="auto"/>
            <w:right w:val="none" w:sz="0" w:space="0" w:color="auto"/>
          </w:divBdr>
          <w:divsChild>
            <w:div w:id="352536101">
              <w:marLeft w:val="0"/>
              <w:marRight w:val="0"/>
              <w:marTop w:val="0"/>
              <w:marBottom w:val="0"/>
              <w:divBdr>
                <w:top w:val="none" w:sz="0" w:space="0" w:color="auto"/>
                <w:left w:val="none" w:sz="0" w:space="0" w:color="auto"/>
                <w:bottom w:val="none" w:sz="0" w:space="0" w:color="auto"/>
                <w:right w:val="none" w:sz="0" w:space="0" w:color="auto"/>
              </w:divBdr>
            </w:div>
          </w:divsChild>
        </w:div>
        <w:div w:id="431127436">
          <w:marLeft w:val="0"/>
          <w:marRight w:val="0"/>
          <w:marTop w:val="0"/>
          <w:marBottom w:val="0"/>
          <w:divBdr>
            <w:top w:val="none" w:sz="0" w:space="0" w:color="auto"/>
            <w:left w:val="none" w:sz="0" w:space="0" w:color="auto"/>
            <w:bottom w:val="none" w:sz="0" w:space="0" w:color="auto"/>
            <w:right w:val="none" w:sz="0" w:space="0" w:color="auto"/>
          </w:divBdr>
          <w:divsChild>
            <w:div w:id="1151487002">
              <w:marLeft w:val="0"/>
              <w:marRight w:val="0"/>
              <w:marTop w:val="0"/>
              <w:marBottom w:val="0"/>
              <w:divBdr>
                <w:top w:val="none" w:sz="0" w:space="0" w:color="auto"/>
                <w:left w:val="none" w:sz="0" w:space="0" w:color="auto"/>
                <w:bottom w:val="none" w:sz="0" w:space="0" w:color="auto"/>
                <w:right w:val="none" w:sz="0" w:space="0" w:color="auto"/>
              </w:divBdr>
            </w:div>
          </w:divsChild>
        </w:div>
        <w:div w:id="1960725663">
          <w:marLeft w:val="0"/>
          <w:marRight w:val="0"/>
          <w:marTop w:val="0"/>
          <w:marBottom w:val="0"/>
          <w:divBdr>
            <w:top w:val="none" w:sz="0" w:space="0" w:color="auto"/>
            <w:left w:val="none" w:sz="0" w:space="0" w:color="auto"/>
            <w:bottom w:val="none" w:sz="0" w:space="0" w:color="auto"/>
            <w:right w:val="none" w:sz="0" w:space="0" w:color="auto"/>
          </w:divBdr>
          <w:divsChild>
            <w:div w:id="1567493924">
              <w:marLeft w:val="0"/>
              <w:marRight w:val="0"/>
              <w:marTop w:val="0"/>
              <w:marBottom w:val="0"/>
              <w:divBdr>
                <w:top w:val="none" w:sz="0" w:space="0" w:color="auto"/>
                <w:left w:val="none" w:sz="0" w:space="0" w:color="auto"/>
                <w:bottom w:val="none" w:sz="0" w:space="0" w:color="auto"/>
                <w:right w:val="none" w:sz="0" w:space="0" w:color="auto"/>
              </w:divBdr>
            </w:div>
          </w:divsChild>
        </w:div>
        <w:div w:id="1664894556">
          <w:marLeft w:val="0"/>
          <w:marRight w:val="0"/>
          <w:marTop w:val="0"/>
          <w:marBottom w:val="0"/>
          <w:divBdr>
            <w:top w:val="none" w:sz="0" w:space="0" w:color="auto"/>
            <w:left w:val="none" w:sz="0" w:space="0" w:color="auto"/>
            <w:bottom w:val="none" w:sz="0" w:space="0" w:color="auto"/>
            <w:right w:val="none" w:sz="0" w:space="0" w:color="auto"/>
          </w:divBdr>
          <w:divsChild>
            <w:div w:id="431820453">
              <w:marLeft w:val="0"/>
              <w:marRight w:val="0"/>
              <w:marTop w:val="0"/>
              <w:marBottom w:val="0"/>
              <w:divBdr>
                <w:top w:val="none" w:sz="0" w:space="0" w:color="auto"/>
                <w:left w:val="none" w:sz="0" w:space="0" w:color="auto"/>
                <w:bottom w:val="none" w:sz="0" w:space="0" w:color="auto"/>
                <w:right w:val="none" w:sz="0" w:space="0" w:color="auto"/>
              </w:divBdr>
            </w:div>
          </w:divsChild>
        </w:div>
        <w:div w:id="1261138906">
          <w:marLeft w:val="0"/>
          <w:marRight w:val="0"/>
          <w:marTop w:val="0"/>
          <w:marBottom w:val="0"/>
          <w:divBdr>
            <w:top w:val="none" w:sz="0" w:space="0" w:color="auto"/>
            <w:left w:val="none" w:sz="0" w:space="0" w:color="auto"/>
            <w:bottom w:val="none" w:sz="0" w:space="0" w:color="auto"/>
            <w:right w:val="none" w:sz="0" w:space="0" w:color="auto"/>
          </w:divBdr>
          <w:divsChild>
            <w:div w:id="1697004670">
              <w:marLeft w:val="0"/>
              <w:marRight w:val="0"/>
              <w:marTop w:val="0"/>
              <w:marBottom w:val="0"/>
              <w:divBdr>
                <w:top w:val="none" w:sz="0" w:space="0" w:color="auto"/>
                <w:left w:val="none" w:sz="0" w:space="0" w:color="auto"/>
                <w:bottom w:val="none" w:sz="0" w:space="0" w:color="auto"/>
                <w:right w:val="none" w:sz="0" w:space="0" w:color="auto"/>
              </w:divBdr>
            </w:div>
          </w:divsChild>
        </w:div>
        <w:div w:id="447238322">
          <w:marLeft w:val="0"/>
          <w:marRight w:val="0"/>
          <w:marTop w:val="0"/>
          <w:marBottom w:val="0"/>
          <w:divBdr>
            <w:top w:val="none" w:sz="0" w:space="0" w:color="auto"/>
            <w:left w:val="none" w:sz="0" w:space="0" w:color="auto"/>
            <w:bottom w:val="none" w:sz="0" w:space="0" w:color="auto"/>
            <w:right w:val="none" w:sz="0" w:space="0" w:color="auto"/>
          </w:divBdr>
          <w:divsChild>
            <w:div w:id="356078061">
              <w:marLeft w:val="0"/>
              <w:marRight w:val="0"/>
              <w:marTop w:val="0"/>
              <w:marBottom w:val="0"/>
              <w:divBdr>
                <w:top w:val="none" w:sz="0" w:space="0" w:color="auto"/>
                <w:left w:val="none" w:sz="0" w:space="0" w:color="auto"/>
                <w:bottom w:val="none" w:sz="0" w:space="0" w:color="auto"/>
                <w:right w:val="none" w:sz="0" w:space="0" w:color="auto"/>
              </w:divBdr>
            </w:div>
          </w:divsChild>
        </w:div>
        <w:div w:id="1333486742">
          <w:marLeft w:val="0"/>
          <w:marRight w:val="0"/>
          <w:marTop w:val="0"/>
          <w:marBottom w:val="0"/>
          <w:divBdr>
            <w:top w:val="none" w:sz="0" w:space="0" w:color="auto"/>
            <w:left w:val="none" w:sz="0" w:space="0" w:color="auto"/>
            <w:bottom w:val="none" w:sz="0" w:space="0" w:color="auto"/>
            <w:right w:val="none" w:sz="0" w:space="0" w:color="auto"/>
          </w:divBdr>
          <w:divsChild>
            <w:div w:id="1551266756">
              <w:marLeft w:val="0"/>
              <w:marRight w:val="0"/>
              <w:marTop w:val="0"/>
              <w:marBottom w:val="0"/>
              <w:divBdr>
                <w:top w:val="none" w:sz="0" w:space="0" w:color="auto"/>
                <w:left w:val="none" w:sz="0" w:space="0" w:color="auto"/>
                <w:bottom w:val="none" w:sz="0" w:space="0" w:color="auto"/>
                <w:right w:val="none" w:sz="0" w:space="0" w:color="auto"/>
              </w:divBdr>
            </w:div>
          </w:divsChild>
        </w:div>
        <w:div w:id="145362686">
          <w:marLeft w:val="0"/>
          <w:marRight w:val="0"/>
          <w:marTop w:val="0"/>
          <w:marBottom w:val="0"/>
          <w:divBdr>
            <w:top w:val="none" w:sz="0" w:space="0" w:color="auto"/>
            <w:left w:val="none" w:sz="0" w:space="0" w:color="auto"/>
            <w:bottom w:val="none" w:sz="0" w:space="0" w:color="auto"/>
            <w:right w:val="none" w:sz="0" w:space="0" w:color="auto"/>
          </w:divBdr>
          <w:divsChild>
            <w:div w:id="1847863312">
              <w:marLeft w:val="0"/>
              <w:marRight w:val="0"/>
              <w:marTop w:val="0"/>
              <w:marBottom w:val="0"/>
              <w:divBdr>
                <w:top w:val="none" w:sz="0" w:space="0" w:color="auto"/>
                <w:left w:val="none" w:sz="0" w:space="0" w:color="auto"/>
                <w:bottom w:val="none" w:sz="0" w:space="0" w:color="auto"/>
                <w:right w:val="none" w:sz="0" w:space="0" w:color="auto"/>
              </w:divBdr>
            </w:div>
          </w:divsChild>
        </w:div>
        <w:div w:id="390538994">
          <w:marLeft w:val="0"/>
          <w:marRight w:val="0"/>
          <w:marTop w:val="0"/>
          <w:marBottom w:val="0"/>
          <w:divBdr>
            <w:top w:val="none" w:sz="0" w:space="0" w:color="auto"/>
            <w:left w:val="none" w:sz="0" w:space="0" w:color="auto"/>
            <w:bottom w:val="none" w:sz="0" w:space="0" w:color="auto"/>
            <w:right w:val="none" w:sz="0" w:space="0" w:color="auto"/>
          </w:divBdr>
          <w:divsChild>
            <w:div w:id="819543735">
              <w:marLeft w:val="0"/>
              <w:marRight w:val="0"/>
              <w:marTop w:val="0"/>
              <w:marBottom w:val="0"/>
              <w:divBdr>
                <w:top w:val="none" w:sz="0" w:space="0" w:color="auto"/>
                <w:left w:val="none" w:sz="0" w:space="0" w:color="auto"/>
                <w:bottom w:val="none" w:sz="0" w:space="0" w:color="auto"/>
                <w:right w:val="none" w:sz="0" w:space="0" w:color="auto"/>
              </w:divBdr>
            </w:div>
          </w:divsChild>
        </w:div>
        <w:div w:id="319699763">
          <w:marLeft w:val="0"/>
          <w:marRight w:val="0"/>
          <w:marTop w:val="0"/>
          <w:marBottom w:val="0"/>
          <w:divBdr>
            <w:top w:val="none" w:sz="0" w:space="0" w:color="auto"/>
            <w:left w:val="none" w:sz="0" w:space="0" w:color="auto"/>
            <w:bottom w:val="none" w:sz="0" w:space="0" w:color="auto"/>
            <w:right w:val="none" w:sz="0" w:space="0" w:color="auto"/>
          </w:divBdr>
          <w:divsChild>
            <w:div w:id="699742359">
              <w:marLeft w:val="0"/>
              <w:marRight w:val="0"/>
              <w:marTop w:val="0"/>
              <w:marBottom w:val="0"/>
              <w:divBdr>
                <w:top w:val="none" w:sz="0" w:space="0" w:color="auto"/>
                <w:left w:val="none" w:sz="0" w:space="0" w:color="auto"/>
                <w:bottom w:val="none" w:sz="0" w:space="0" w:color="auto"/>
                <w:right w:val="none" w:sz="0" w:space="0" w:color="auto"/>
              </w:divBdr>
            </w:div>
          </w:divsChild>
        </w:div>
        <w:div w:id="1849905683">
          <w:marLeft w:val="0"/>
          <w:marRight w:val="0"/>
          <w:marTop w:val="0"/>
          <w:marBottom w:val="0"/>
          <w:divBdr>
            <w:top w:val="none" w:sz="0" w:space="0" w:color="auto"/>
            <w:left w:val="none" w:sz="0" w:space="0" w:color="auto"/>
            <w:bottom w:val="none" w:sz="0" w:space="0" w:color="auto"/>
            <w:right w:val="none" w:sz="0" w:space="0" w:color="auto"/>
          </w:divBdr>
          <w:divsChild>
            <w:div w:id="901984142">
              <w:marLeft w:val="0"/>
              <w:marRight w:val="0"/>
              <w:marTop w:val="0"/>
              <w:marBottom w:val="0"/>
              <w:divBdr>
                <w:top w:val="none" w:sz="0" w:space="0" w:color="auto"/>
                <w:left w:val="none" w:sz="0" w:space="0" w:color="auto"/>
                <w:bottom w:val="none" w:sz="0" w:space="0" w:color="auto"/>
                <w:right w:val="none" w:sz="0" w:space="0" w:color="auto"/>
              </w:divBdr>
            </w:div>
          </w:divsChild>
        </w:div>
        <w:div w:id="58869263">
          <w:marLeft w:val="0"/>
          <w:marRight w:val="0"/>
          <w:marTop w:val="0"/>
          <w:marBottom w:val="0"/>
          <w:divBdr>
            <w:top w:val="none" w:sz="0" w:space="0" w:color="auto"/>
            <w:left w:val="none" w:sz="0" w:space="0" w:color="auto"/>
            <w:bottom w:val="none" w:sz="0" w:space="0" w:color="auto"/>
            <w:right w:val="none" w:sz="0" w:space="0" w:color="auto"/>
          </w:divBdr>
          <w:divsChild>
            <w:div w:id="1091973047">
              <w:marLeft w:val="0"/>
              <w:marRight w:val="0"/>
              <w:marTop w:val="0"/>
              <w:marBottom w:val="0"/>
              <w:divBdr>
                <w:top w:val="none" w:sz="0" w:space="0" w:color="auto"/>
                <w:left w:val="none" w:sz="0" w:space="0" w:color="auto"/>
                <w:bottom w:val="none" w:sz="0" w:space="0" w:color="auto"/>
                <w:right w:val="none" w:sz="0" w:space="0" w:color="auto"/>
              </w:divBdr>
            </w:div>
          </w:divsChild>
        </w:div>
        <w:div w:id="408698516">
          <w:marLeft w:val="0"/>
          <w:marRight w:val="0"/>
          <w:marTop w:val="0"/>
          <w:marBottom w:val="0"/>
          <w:divBdr>
            <w:top w:val="none" w:sz="0" w:space="0" w:color="auto"/>
            <w:left w:val="none" w:sz="0" w:space="0" w:color="auto"/>
            <w:bottom w:val="none" w:sz="0" w:space="0" w:color="auto"/>
            <w:right w:val="none" w:sz="0" w:space="0" w:color="auto"/>
          </w:divBdr>
          <w:divsChild>
            <w:div w:id="1386443167">
              <w:marLeft w:val="0"/>
              <w:marRight w:val="0"/>
              <w:marTop w:val="0"/>
              <w:marBottom w:val="0"/>
              <w:divBdr>
                <w:top w:val="none" w:sz="0" w:space="0" w:color="auto"/>
                <w:left w:val="none" w:sz="0" w:space="0" w:color="auto"/>
                <w:bottom w:val="none" w:sz="0" w:space="0" w:color="auto"/>
                <w:right w:val="none" w:sz="0" w:space="0" w:color="auto"/>
              </w:divBdr>
            </w:div>
          </w:divsChild>
        </w:div>
        <w:div w:id="1594245820">
          <w:marLeft w:val="0"/>
          <w:marRight w:val="0"/>
          <w:marTop w:val="0"/>
          <w:marBottom w:val="0"/>
          <w:divBdr>
            <w:top w:val="none" w:sz="0" w:space="0" w:color="auto"/>
            <w:left w:val="none" w:sz="0" w:space="0" w:color="auto"/>
            <w:bottom w:val="none" w:sz="0" w:space="0" w:color="auto"/>
            <w:right w:val="none" w:sz="0" w:space="0" w:color="auto"/>
          </w:divBdr>
          <w:divsChild>
            <w:div w:id="1164589453">
              <w:marLeft w:val="0"/>
              <w:marRight w:val="0"/>
              <w:marTop w:val="0"/>
              <w:marBottom w:val="0"/>
              <w:divBdr>
                <w:top w:val="none" w:sz="0" w:space="0" w:color="auto"/>
                <w:left w:val="none" w:sz="0" w:space="0" w:color="auto"/>
                <w:bottom w:val="none" w:sz="0" w:space="0" w:color="auto"/>
                <w:right w:val="none" w:sz="0" w:space="0" w:color="auto"/>
              </w:divBdr>
            </w:div>
          </w:divsChild>
        </w:div>
        <w:div w:id="354039674">
          <w:marLeft w:val="0"/>
          <w:marRight w:val="0"/>
          <w:marTop w:val="0"/>
          <w:marBottom w:val="0"/>
          <w:divBdr>
            <w:top w:val="none" w:sz="0" w:space="0" w:color="auto"/>
            <w:left w:val="none" w:sz="0" w:space="0" w:color="auto"/>
            <w:bottom w:val="none" w:sz="0" w:space="0" w:color="auto"/>
            <w:right w:val="none" w:sz="0" w:space="0" w:color="auto"/>
          </w:divBdr>
          <w:divsChild>
            <w:div w:id="952127427">
              <w:marLeft w:val="0"/>
              <w:marRight w:val="0"/>
              <w:marTop w:val="0"/>
              <w:marBottom w:val="0"/>
              <w:divBdr>
                <w:top w:val="none" w:sz="0" w:space="0" w:color="auto"/>
                <w:left w:val="none" w:sz="0" w:space="0" w:color="auto"/>
                <w:bottom w:val="none" w:sz="0" w:space="0" w:color="auto"/>
                <w:right w:val="none" w:sz="0" w:space="0" w:color="auto"/>
              </w:divBdr>
            </w:div>
          </w:divsChild>
        </w:div>
        <w:div w:id="1767382002">
          <w:marLeft w:val="0"/>
          <w:marRight w:val="0"/>
          <w:marTop w:val="0"/>
          <w:marBottom w:val="0"/>
          <w:divBdr>
            <w:top w:val="none" w:sz="0" w:space="0" w:color="auto"/>
            <w:left w:val="none" w:sz="0" w:space="0" w:color="auto"/>
            <w:bottom w:val="none" w:sz="0" w:space="0" w:color="auto"/>
            <w:right w:val="none" w:sz="0" w:space="0" w:color="auto"/>
          </w:divBdr>
          <w:divsChild>
            <w:div w:id="1633438171">
              <w:marLeft w:val="0"/>
              <w:marRight w:val="0"/>
              <w:marTop w:val="0"/>
              <w:marBottom w:val="0"/>
              <w:divBdr>
                <w:top w:val="none" w:sz="0" w:space="0" w:color="auto"/>
                <w:left w:val="none" w:sz="0" w:space="0" w:color="auto"/>
                <w:bottom w:val="none" w:sz="0" w:space="0" w:color="auto"/>
                <w:right w:val="none" w:sz="0" w:space="0" w:color="auto"/>
              </w:divBdr>
            </w:div>
          </w:divsChild>
        </w:div>
        <w:div w:id="1397779657">
          <w:marLeft w:val="0"/>
          <w:marRight w:val="0"/>
          <w:marTop w:val="0"/>
          <w:marBottom w:val="0"/>
          <w:divBdr>
            <w:top w:val="none" w:sz="0" w:space="0" w:color="auto"/>
            <w:left w:val="none" w:sz="0" w:space="0" w:color="auto"/>
            <w:bottom w:val="none" w:sz="0" w:space="0" w:color="auto"/>
            <w:right w:val="none" w:sz="0" w:space="0" w:color="auto"/>
          </w:divBdr>
          <w:divsChild>
            <w:div w:id="750353025">
              <w:marLeft w:val="0"/>
              <w:marRight w:val="0"/>
              <w:marTop w:val="0"/>
              <w:marBottom w:val="0"/>
              <w:divBdr>
                <w:top w:val="none" w:sz="0" w:space="0" w:color="auto"/>
                <w:left w:val="none" w:sz="0" w:space="0" w:color="auto"/>
                <w:bottom w:val="none" w:sz="0" w:space="0" w:color="auto"/>
                <w:right w:val="none" w:sz="0" w:space="0" w:color="auto"/>
              </w:divBdr>
            </w:div>
          </w:divsChild>
        </w:div>
        <w:div w:id="1941791141">
          <w:marLeft w:val="0"/>
          <w:marRight w:val="0"/>
          <w:marTop w:val="0"/>
          <w:marBottom w:val="0"/>
          <w:divBdr>
            <w:top w:val="none" w:sz="0" w:space="0" w:color="auto"/>
            <w:left w:val="none" w:sz="0" w:space="0" w:color="auto"/>
            <w:bottom w:val="none" w:sz="0" w:space="0" w:color="auto"/>
            <w:right w:val="none" w:sz="0" w:space="0" w:color="auto"/>
          </w:divBdr>
          <w:divsChild>
            <w:div w:id="219829724">
              <w:marLeft w:val="0"/>
              <w:marRight w:val="0"/>
              <w:marTop w:val="0"/>
              <w:marBottom w:val="0"/>
              <w:divBdr>
                <w:top w:val="none" w:sz="0" w:space="0" w:color="auto"/>
                <w:left w:val="none" w:sz="0" w:space="0" w:color="auto"/>
                <w:bottom w:val="none" w:sz="0" w:space="0" w:color="auto"/>
                <w:right w:val="none" w:sz="0" w:space="0" w:color="auto"/>
              </w:divBdr>
            </w:div>
          </w:divsChild>
        </w:div>
        <w:div w:id="1120954298">
          <w:marLeft w:val="0"/>
          <w:marRight w:val="0"/>
          <w:marTop w:val="0"/>
          <w:marBottom w:val="0"/>
          <w:divBdr>
            <w:top w:val="none" w:sz="0" w:space="0" w:color="auto"/>
            <w:left w:val="none" w:sz="0" w:space="0" w:color="auto"/>
            <w:bottom w:val="none" w:sz="0" w:space="0" w:color="auto"/>
            <w:right w:val="none" w:sz="0" w:space="0" w:color="auto"/>
          </w:divBdr>
          <w:divsChild>
            <w:div w:id="157696283">
              <w:marLeft w:val="0"/>
              <w:marRight w:val="0"/>
              <w:marTop w:val="0"/>
              <w:marBottom w:val="0"/>
              <w:divBdr>
                <w:top w:val="none" w:sz="0" w:space="0" w:color="auto"/>
                <w:left w:val="none" w:sz="0" w:space="0" w:color="auto"/>
                <w:bottom w:val="none" w:sz="0" w:space="0" w:color="auto"/>
                <w:right w:val="none" w:sz="0" w:space="0" w:color="auto"/>
              </w:divBdr>
            </w:div>
          </w:divsChild>
        </w:div>
        <w:div w:id="1826816601">
          <w:marLeft w:val="0"/>
          <w:marRight w:val="0"/>
          <w:marTop w:val="0"/>
          <w:marBottom w:val="0"/>
          <w:divBdr>
            <w:top w:val="none" w:sz="0" w:space="0" w:color="auto"/>
            <w:left w:val="none" w:sz="0" w:space="0" w:color="auto"/>
            <w:bottom w:val="none" w:sz="0" w:space="0" w:color="auto"/>
            <w:right w:val="none" w:sz="0" w:space="0" w:color="auto"/>
          </w:divBdr>
          <w:divsChild>
            <w:div w:id="1975058511">
              <w:marLeft w:val="0"/>
              <w:marRight w:val="0"/>
              <w:marTop w:val="0"/>
              <w:marBottom w:val="0"/>
              <w:divBdr>
                <w:top w:val="none" w:sz="0" w:space="0" w:color="auto"/>
                <w:left w:val="none" w:sz="0" w:space="0" w:color="auto"/>
                <w:bottom w:val="none" w:sz="0" w:space="0" w:color="auto"/>
                <w:right w:val="none" w:sz="0" w:space="0" w:color="auto"/>
              </w:divBdr>
            </w:div>
          </w:divsChild>
        </w:div>
        <w:div w:id="228616538">
          <w:marLeft w:val="0"/>
          <w:marRight w:val="0"/>
          <w:marTop w:val="0"/>
          <w:marBottom w:val="0"/>
          <w:divBdr>
            <w:top w:val="none" w:sz="0" w:space="0" w:color="auto"/>
            <w:left w:val="none" w:sz="0" w:space="0" w:color="auto"/>
            <w:bottom w:val="none" w:sz="0" w:space="0" w:color="auto"/>
            <w:right w:val="none" w:sz="0" w:space="0" w:color="auto"/>
          </w:divBdr>
          <w:divsChild>
            <w:div w:id="232282372">
              <w:marLeft w:val="0"/>
              <w:marRight w:val="0"/>
              <w:marTop w:val="0"/>
              <w:marBottom w:val="0"/>
              <w:divBdr>
                <w:top w:val="none" w:sz="0" w:space="0" w:color="auto"/>
                <w:left w:val="none" w:sz="0" w:space="0" w:color="auto"/>
                <w:bottom w:val="none" w:sz="0" w:space="0" w:color="auto"/>
                <w:right w:val="none" w:sz="0" w:space="0" w:color="auto"/>
              </w:divBdr>
            </w:div>
          </w:divsChild>
        </w:div>
        <w:div w:id="91441205">
          <w:marLeft w:val="0"/>
          <w:marRight w:val="0"/>
          <w:marTop w:val="0"/>
          <w:marBottom w:val="0"/>
          <w:divBdr>
            <w:top w:val="none" w:sz="0" w:space="0" w:color="auto"/>
            <w:left w:val="none" w:sz="0" w:space="0" w:color="auto"/>
            <w:bottom w:val="none" w:sz="0" w:space="0" w:color="auto"/>
            <w:right w:val="none" w:sz="0" w:space="0" w:color="auto"/>
          </w:divBdr>
          <w:divsChild>
            <w:div w:id="1077098370">
              <w:marLeft w:val="0"/>
              <w:marRight w:val="0"/>
              <w:marTop w:val="0"/>
              <w:marBottom w:val="0"/>
              <w:divBdr>
                <w:top w:val="none" w:sz="0" w:space="0" w:color="auto"/>
                <w:left w:val="none" w:sz="0" w:space="0" w:color="auto"/>
                <w:bottom w:val="none" w:sz="0" w:space="0" w:color="auto"/>
                <w:right w:val="none" w:sz="0" w:space="0" w:color="auto"/>
              </w:divBdr>
            </w:div>
          </w:divsChild>
        </w:div>
        <w:div w:id="1052272386">
          <w:marLeft w:val="0"/>
          <w:marRight w:val="0"/>
          <w:marTop w:val="0"/>
          <w:marBottom w:val="0"/>
          <w:divBdr>
            <w:top w:val="none" w:sz="0" w:space="0" w:color="auto"/>
            <w:left w:val="none" w:sz="0" w:space="0" w:color="auto"/>
            <w:bottom w:val="none" w:sz="0" w:space="0" w:color="auto"/>
            <w:right w:val="none" w:sz="0" w:space="0" w:color="auto"/>
          </w:divBdr>
          <w:divsChild>
            <w:div w:id="616836207">
              <w:marLeft w:val="0"/>
              <w:marRight w:val="0"/>
              <w:marTop w:val="0"/>
              <w:marBottom w:val="0"/>
              <w:divBdr>
                <w:top w:val="none" w:sz="0" w:space="0" w:color="auto"/>
                <w:left w:val="none" w:sz="0" w:space="0" w:color="auto"/>
                <w:bottom w:val="none" w:sz="0" w:space="0" w:color="auto"/>
                <w:right w:val="none" w:sz="0" w:space="0" w:color="auto"/>
              </w:divBdr>
            </w:div>
          </w:divsChild>
        </w:div>
        <w:div w:id="232201354">
          <w:marLeft w:val="0"/>
          <w:marRight w:val="0"/>
          <w:marTop w:val="0"/>
          <w:marBottom w:val="0"/>
          <w:divBdr>
            <w:top w:val="none" w:sz="0" w:space="0" w:color="auto"/>
            <w:left w:val="none" w:sz="0" w:space="0" w:color="auto"/>
            <w:bottom w:val="none" w:sz="0" w:space="0" w:color="auto"/>
            <w:right w:val="none" w:sz="0" w:space="0" w:color="auto"/>
          </w:divBdr>
          <w:divsChild>
            <w:div w:id="1888490514">
              <w:marLeft w:val="0"/>
              <w:marRight w:val="0"/>
              <w:marTop w:val="0"/>
              <w:marBottom w:val="0"/>
              <w:divBdr>
                <w:top w:val="none" w:sz="0" w:space="0" w:color="auto"/>
                <w:left w:val="none" w:sz="0" w:space="0" w:color="auto"/>
                <w:bottom w:val="none" w:sz="0" w:space="0" w:color="auto"/>
                <w:right w:val="none" w:sz="0" w:space="0" w:color="auto"/>
              </w:divBdr>
            </w:div>
          </w:divsChild>
        </w:div>
        <w:div w:id="775369020">
          <w:marLeft w:val="0"/>
          <w:marRight w:val="0"/>
          <w:marTop w:val="0"/>
          <w:marBottom w:val="0"/>
          <w:divBdr>
            <w:top w:val="none" w:sz="0" w:space="0" w:color="auto"/>
            <w:left w:val="none" w:sz="0" w:space="0" w:color="auto"/>
            <w:bottom w:val="none" w:sz="0" w:space="0" w:color="auto"/>
            <w:right w:val="none" w:sz="0" w:space="0" w:color="auto"/>
          </w:divBdr>
          <w:divsChild>
            <w:div w:id="18573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if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462F396663A468AB3E8723B18C0FA" ma:contentTypeVersion="4" ma:contentTypeDescription="Een nieuw document maken." ma:contentTypeScope="" ma:versionID="7812b9fc90a598e46b30a15b5c31d29c">
  <xsd:schema xmlns:xsd="http://www.w3.org/2001/XMLSchema" xmlns:xs="http://www.w3.org/2001/XMLSchema" xmlns:p="http://schemas.microsoft.com/office/2006/metadata/properties" xmlns:ns2="1c41d6df-8402-4209-86d2-9830cfe4993d" targetNamespace="http://schemas.microsoft.com/office/2006/metadata/properties" ma:root="true" ma:fieldsID="46f18b2c7df0d793bd30f495fa888726" ns2:_="">
    <xsd:import namespace="1c41d6df-8402-4209-86d2-9830cfe49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1d6df-8402-4209-86d2-9830cfe49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88606-3E13-4006-9B75-9D90FD99C3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509C78-6788-450C-92C5-D3FFB598A9F2}"/>
</file>

<file path=customXml/itemProps3.xml><?xml version="1.0" encoding="utf-8"?>
<ds:datastoreItem xmlns:ds="http://schemas.openxmlformats.org/officeDocument/2006/customXml" ds:itemID="{CE0CEFF4-9EE6-4A0A-88AF-2A64D2FBAD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Microsoft-account</dc:creator>
  <keywords/>
  <dc:description/>
  <lastModifiedBy>Martens, Remy</lastModifiedBy>
  <revision>61</revision>
  <dcterms:created xsi:type="dcterms:W3CDTF">2024-11-02T15:03:00.0000000Z</dcterms:created>
  <dcterms:modified xsi:type="dcterms:W3CDTF">2025-05-10T10:30:27.3016959Z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id="TvgzZOxz"/&gt;&lt;style id="http://www.zotero.org/styles/vancouver" locale="nl-NL" hasBibliography="1" bibliographyStyleHasBeenSet="1"/&gt;&lt;prefs&gt;&lt;pref name="fieldType" value="Field"/&gt;&lt;/prefs&gt;&lt;/data&gt;</vt:lpwstr>
  </property>
  <property fmtid="{D5CDD505-2E9C-101B-9397-08002B2CF9AE}" pid="3" name="ContentTypeId">
    <vt:lpwstr>0x010100DE7462F396663A468AB3E8723B18C0FA</vt:lpwstr>
  </property>
</Properties>
</file>