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B4EBF" w14:textId="77777777" w:rsidR="008228DB" w:rsidRPr="001330E4" w:rsidRDefault="008228DB" w:rsidP="005C731A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 w:hint="eastAsia"/>
          <w:b/>
          <w:bCs/>
          <w:sz w:val="24"/>
        </w:rPr>
        <w:t xml:space="preserve">Supplementary Table 1. </w:t>
      </w:r>
      <w:r w:rsidRPr="001330E4">
        <w:rPr>
          <w:rFonts w:ascii="Times New Roman" w:hAnsi="Times New Roman" w:cs="Times New Roman"/>
          <w:sz w:val="24"/>
        </w:rPr>
        <w:t>Fluorescence channel and markers according to each MFC panel for hematologic malignancy</w:t>
      </w:r>
    </w:p>
    <w:tbl>
      <w:tblPr>
        <w:tblW w:w="1273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89"/>
        <w:gridCol w:w="1955"/>
        <w:gridCol w:w="1017"/>
        <w:gridCol w:w="1520"/>
        <w:gridCol w:w="2175"/>
        <w:gridCol w:w="1543"/>
        <w:gridCol w:w="1426"/>
        <w:gridCol w:w="1506"/>
      </w:tblGrid>
      <w:tr w:rsidR="001330E4" w:rsidRPr="001330E4" w14:paraId="59A2A571" w14:textId="77777777" w:rsidTr="00F138F5">
        <w:trPr>
          <w:trHeight w:val="522"/>
        </w:trPr>
        <w:tc>
          <w:tcPr>
            <w:tcW w:w="158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48BDD8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Fluorescence channel</w:t>
            </w:r>
          </w:p>
        </w:tc>
        <w:tc>
          <w:tcPr>
            <w:tcW w:w="195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A7D3BF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Laser (excitation wavelength)</w:t>
            </w:r>
          </w:p>
        </w:tc>
        <w:tc>
          <w:tcPr>
            <w:tcW w:w="1017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E731CC7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Emission peak</w:t>
            </w:r>
          </w:p>
        </w:tc>
        <w:tc>
          <w:tcPr>
            <w:tcW w:w="81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23E8B2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MFC panel</w:t>
            </w:r>
          </w:p>
        </w:tc>
      </w:tr>
      <w:tr w:rsidR="001330E4" w:rsidRPr="001330E4" w14:paraId="02DAF8F3" w14:textId="77777777" w:rsidTr="00F138F5">
        <w:trPr>
          <w:trHeight w:val="559"/>
        </w:trPr>
        <w:tc>
          <w:tcPr>
            <w:tcW w:w="158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B1C368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</w:p>
        </w:tc>
        <w:tc>
          <w:tcPr>
            <w:tcW w:w="1955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1A24C89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</w:p>
        </w:tc>
        <w:tc>
          <w:tcPr>
            <w:tcW w:w="1017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A5F2937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BD1027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ALOT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2174AC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 w:hint="eastAsia"/>
                <w:kern w:val="0"/>
                <w:szCs w:val="22"/>
                <w14:ligatures w14:val="none"/>
              </w:rPr>
              <w:t>BCL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85AF6B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MM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A779E8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B-MRD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FCA88E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MM-MRD</w:t>
            </w:r>
          </w:p>
        </w:tc>
      </w:tr>
      <w:tr w:rsidR="001330E4" w:rsidRPr="001330E4" w14:paraId="09FAEB2A" w14:textId="77777777" w:rsidTr="00F138F5">
        <w:trPr>
          <w:trHeight w:val="568"/>
        </w:trPr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258D3FF2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BV421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36DAED33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szCs w:val="22"/>
              </w:rPr>
              <w:t>Violet (405 nm)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07CA968C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szCs w:val="22"/>
              </w:rPr>
              <w:t>421 nm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1FE243F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DC13EE2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9962E35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CD138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1778A63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204B75C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CD138</w:t>
            </w:r>
          </w:p>
        </w:tc>
      </w:tr>
      <w:tr w:rsidR="001330E4" w:rsidRPr="001330E4" w14:paraId="1CB24931" w14:textId="77777777" w:rsidTr="00F138F5">
        <w:trPr>
          <w:trHeight w:val="568"/>
        </w:trPr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C5A36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BV450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DC40B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szCs w:val="22"/>
              </w:rPr>
              <w:t>Violet (405 nm)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69D10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szCs w:val="22"/>
              </w:rPr>
              <w:t>450 nm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9411BC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cCD3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8FF24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CD20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E0B124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87A3C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CD20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62691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</w:p>
        </w:tc>
      </w:tr>
      <w:tr w:rsidR="001330E4" w:rsidRPr="001330E4" w14:paraId="41439698" w14:textId="77777777" w:rsidTr="00F138F5">
        <w:trPr>
          <w:trHeight w:val="568"/>
        </w:trPr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EAE9F55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BV500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0C238B79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szCs w:val="22"/>
              </w:rPr>
              <w:t>Violet (405 nm)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4AAA63B8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szCs w:val="22"/>
              </w:rPr>
              <w:t>500 nm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5C05D9E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CD45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FD42CB9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CD45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9C48322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CD45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2E78599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CD45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56FCF4AE" w14:textId="77777777" w:rsidR="008228DB" w:rsidRPr="001330E4" w:rsidRDefault="008228DB" w:rsidP="0099686B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CD45</w:t>
            </w:r>
          </w:p>
        </w:tc>
      </w:tr>
      <w:tr w:rsidR="001330E4" w:rsidRPr="001330E4" w14:paraId="7213FB33" w14:textId="77777777" w:rsidTr="00F138F5">
        <w:trPr>
          <w:trHeight w:val="568"/>
        </w:trPr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527D3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BV605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5A4FD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szCs w:val="22"/>
              </w:rPr>
            </w:pPr>
            <w:r w:rsidRPr="001330E4">
              <w:rPr>
                <w:rFonts w:ascii="Times New Roman" w:eastAsia="Malgun Gothic" w:hAnsi="Times New Roman" w:cs="Times New Roman"/>
                <w:szCs w:val="22"/>
              </w:rPr>
              <w:t>Violet (405 nm)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9767DD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szCs w:val="22"/>
              </w:rPr>
            </w:pPr>
            <w:r w:rsidRPr="001330E4">
              <w:rPr>
                <w:rFonts w:ascii="Times New Roman" w:eastAsia="Malgun Gothic" w:hAnsi="Times New Roman" w:cs="Times New Roman"/>
                <w:szCs w:val="22"/>
              </w:rPr>
              <w:t>605 nm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8369D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D4211E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074DF2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4612C8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CD58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4B62A5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CD81</w:t>
            </w:r>
          </w:p>
        </w:tc>
      </w:tr>
      <w:tr w:rsidR="001330E4" w:rsidRPr="001330E4" w14:paraId="7142F75A" w14:textId="77777777" w:rsidTr="00F138F5">
        <w:trPr>
          <w:trHeight w:val="568"/>
        </w:trPr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0398DAA1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FITC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1A07F2C9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szCs w:val="22"/>
              </w:rPr>
              <w:t>Blue (488 nm)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3DF9C783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szCs w:val="22"/>
              </w:rPr>
              <w:t>519 nm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3267B2CC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proofErr w:type="spellStart"/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cMPO</w:t>
            </w:r>
            <w:proofErr w:type="spellEnd"/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4F431D84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CD5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5CD02FE3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CD38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39C9F6A0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CD38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140725D4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CD38</w:t>
            </w:r>
          </w:p>
        </w:tc>
      </w:tr>
      <w:tr w:rsidR="001330E4" w:rsidRPr="001330E4" w14:paraId="203D9813" w14:textId="77777777" w:rsidTr="00F138F5">
        <w:trPr>
          <w:trHeight w:val="568"/>
        </w:trPr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182085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PE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A46CA8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szCs w:val="22"/>
              </w:rPr>
              <w:t>Blue (488 nm)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E91072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szCs w:val="22"/>
              </w:rPr>
              <w:t>578 nm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28ADB7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cCD79a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9D508C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Lambda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27E97E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cLambda</w:t>
            </w:r>
            <w:proofErr w:type="spellEnd"/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5706C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C66c, CD123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26BD6C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CD56</w:t>
            </w:r>
          </w:p>
        </w:tc>
      </w:tr>
      <w:tr w:rsidR="001330E4" w:rsidRPr="001330E4" w14:paraId="21AC2A47" w14:textId="77777777" w:rsidTr="00F138F5">
        <w:trPr>
          <w:trHeight w:val="568"/>
        </w:trPr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75FFE173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PerCP-Cy5.5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7478DCBB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szCs w:val="22"/>
              </w:rPr>
              <w:t>Blue (488 nm)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5BB8D7C3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szCs w:val="22"/>
              </w:rPr>
              <w:t>695 nm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5D3A27FC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CD34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1B1CC7B7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CD19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3A2670CD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CD19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6FC24096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CD34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0A34ABB6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CD117</w:t>
            </w:r>
          </w:p>
        </w:tc>
      </w:tr>
      <w:tr w:rsidR="001330E4" w:rsidRPr="001330E4" w14:paraId="232F80FC" w14:textId="77777777" w:rsidTr="00F138F5">
        <w:trPr>
          <w:trHeight w:val="568"/>
        </w:trPr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EB25E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PE-Cy7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6DB26A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szCs w:val="22"/>
              </w:rPr>
              <w:t>Blue (488 nm)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2666C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szCs w:val="22"/>
              </w:rPr>
              <w:t>767 nm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0015E1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CD19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5407A4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CD10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B6138B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CD56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1883CE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CD19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85342D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CD19</w:t>
            </w:r>
          </w:p>
        </w:tc>
      </w:tr>
      <w:tr w:rsidR="001330E4" w:rsidRPr="001330E4" w14:paraId="06AF2AA1" w14:textId="77777777" w:rsidTr="00F138F5">
        <w:trPr>
          <w:trHeight w:val="568"/>
        </w:trPr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707406D4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APC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</w:tcPr>
          <w:p w14:paraId="2E36F791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szCs w:val="22"/>
              </w:rPr>
              <w:t>Red (640 nm)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0DC43598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szCs w:val="22"/>
              </w:rPr>
              <w:t>660 nm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3B48B95F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CD7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6FFC5158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Kappa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3DC98306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proofErr w:type="spellStart"/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cKappa</w:t>
            </w:r>
            <w:proofErr w:type="spellEnd"/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76B43FF0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CD10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</w:tcPr>
          <w:p w14:paraId="7C05D451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proofErr w:type="spellStart"/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cKappa</w:t>
            </w:r>
            <w:proofErr w:type="spellEnd"/>
          </w:p>
        </w:tc>
      </w:tr>
      <w:tr w:rsidR="001330E4" w:rsidRPr="001330E4" w14:paraId="6CD86F4E" w14:textId="77777777" w:rsidTr="00F138F5">
        <w:trPr>
          <w:trHeight w:val="568"/>
        </w:trPr>
        <w:tc>
          <w:tcPr>
            <w:tcW w:w="15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31811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R718</w:t>
            </w:r>
          </w:p>
        </w:tc>
        <w:tc>
          <w:tcPr>
            <w:tcW w:w="1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BEF2C8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szCs w:val="22"/>
              </w:rPr>
              <w:t>Red (640 nm)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4BBBE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szCs w:val="22"/>
              </w:rPr>
              <w:t>718 nm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36719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A72CAE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1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6A0022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93C190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CD73, CD304</w:t>
            </w: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758768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CD27</w:t>
            </w:r>
          </w:p>
        </w:tc>
      </w:tr>
      <w:tr w:rsidR="001330E4" w:rsidRPr="001330E4" w14:paraId="241FAD73" w14:textId="77777777" w:rsidTr="00F138F5">
        <w:trPr>
          <w:trHeight w:val="568"/>
        </w:trPr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632EAF6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APC-Cy7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2A6CC14D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szCs w:val="22"/>
              </w:rPr>
              <w:t>Red (640 nm)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</w:tcPr>
          <w:p w14:paraId="294069F6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szCs w:val="22"/>
              </w:rPr>
              <w:t>767 nm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72DC4AE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CD3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1DF1789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FVD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696B1D3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E3090F7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CD81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8363F1B" w14:textId="77777777" w:rsidR="008228DB" w:rsidRPr="001330E4" w:rsidRDefault="008228DB" w:rsidP="00E14A70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proofErr w:type="spellStart"/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cLambda</w:t>
            </w:r>
            <w:proofErr w:type="spellEnd"/>
          </w:p>
        </w:tc>
      </w:tr>
    </w:tbl>
    <w:p w14:paraId="6E4DE8EB" w14:textId="77777777" w:rsidR="008228DB" w:rsidRPr="001330E4" w:rsidRDefault="008228DB" w:rsidP="005C731A">
      <w:pPr>
        <w:jc w:val="both"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/>
          <w:sz w:val="24"/>
        </w:rPr>
        <w:t xml:space="preserve">Abbreviations: MFC, multiparameter flow cytometry; ALOT, acute leukemia orientation tube; </w:t>
      </w:r>
      <w:r w:rsidRPr="001330E4">
        <w:rPr>
          <w:rFonts w:ascii="Times New Roman" w:hAnsi="Times New Roman" w:cs="Times New Roman" w:hint="eastAsia"/>
          <w:sz w:val="24"/>
        </w:rPr>
        <w:t xml:space="preserve">BCL, </w:t>
      </w:r>
      <w:r w:rsidRPr="001330E4">
        <w:rPr>
          <w:rFonts w:ascii="Times New Roman" w:eastAsia="Malgun Gothic" w:hAnsi="Times New Roman" w:cs="Times New Roman"/>
          <w:kern w:val="0"/>
          <w:szCs w:val="22"/>
          <w14:ligatures w14:val="none"/>
        </w:rPr>
        <w:t>B-cell lymphoma</w:t>
      </w:r>
      <w:r w:rsidRPr="001330E4">
        <w:rPr>
          <w:rFonts w:ascii="Times New Roman" w:eastAsia="Malgun Gothic" w:hAnsi="Times New Roman" w:cs="Times New Roman" w:hint="eastAsia"/>
          <w:kern w:val="0"/>
          <w:szCs w:val="22"/>
          <w14:ligatures w14:val="none"/>
        </w:rPr>
        <w:t>;</w:t>
      </w:r>
      <w:r w:rsidRPr="001330E4">
        <w:rPr>
          <w:rFonts w:ascii="Times New Roman" w:hAnsi="Times New Roman" w:cs="Times New Roman"/>
          <w:sz w:val="24"/>
        </w:rPr>
        <w:t xml:space="preserve"> MM, multiple myeloma; MRD, measurable residual disease; </w:t>
      </w:r>
      <w:proofErr w:type="spellStart"/>
      <w:r w:rsidRPr="001330E4">
        <w:rPr>
          <w:rFonts w:ascii="Times New Roman" w:hAnsi="Times New Roman" w:cs="Times New Roman"/>
          <w:sz w:val="24"/>
        </w:rPr>
        <w:t>cMPO</w:t>
      </w:r>
      <w:proofErr w:type="spellEnd"/>
      <w:r w:rsidRPr="001330E4">
        <w:rPr>
          <w:rFonts w:ascii="Times New Roman" w:hAnsi="Times New Roman" w:cs="Times New Roman"/>
          <w:sz w:val="24"/>
        </w:rPr>
        <w:t>, cytoplasmic myeloperoxidase; FVD, fixable viability dye</w:t>
      </w:r>
    </w:p>
    <w:p w14:paraId="3DED7EE6" w14:textId="77777777" w:rsidR="008228DB" w:rsidRPr="001330E4" w:rsidRDefault="008228DB" w:rsidP="005C731A">
      <w:pPr>
        <w:jc w:val="both"/>
        <w:rPr>
          <w:rFonts w:ascii="Times New Roman" w:hAnsi="Times New Roman" w:cs="Times New Roman"/>
          <w:sz w:val="24"/>
        </w:rPr>
        <w:sectPr w:rsidR="008228DB" w:rsidRPr="001330E4" w:rsidSect="008228DB">
          <w:pgSz w:w="16838" w:h="11906" w:orient="landscape"/>
          <w:pgMar w:top="1440" w:right="1701" w:bottom="1440" w:left="1440" w:header="851" w:footer="992" w:gutter="0"/>
          <w:lnNumType w:countBy="1" w:restart="continuous"/>
          <w:cols w:space="425"/>
          <w:docGrid w:linePitch="360"/>
        </w:sectPr>
      </w:pPr>
    </w:p>
    <w:p w14:paraId="5B2A1D63" w14:textId="77777777" w:rsidR="008228DB" w:rsidRPr="001330E4" w:rsidRDefault="008228DB" w:rsidP="0021006E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 w:hint="eastAsia"/>
          <w:b/>
          <w:bCs/>
          <w:sz w:val="24"/>
        </w:rPr>
        <w:lastRenderedPageBreak/>
        <w:t>Supplementary Table 2</w:t>
      </w:r>
      <w:r w:rsidRPr="001330E4">
        <w:rPr>
          <w:rFonts w:ascii="Times New Roman" w:hAnsi="Times New Roman" w:cs="Times New Roman" w:hint="eastAsia"/>
          <w:sz w:val="24"/>
        </w:rPr>
        <w:t xml:space="preserve">. </w:t>
      </w:r>
      <w:r w:rsidRPr="001330E4">
        <w:rPr>
          <w:rFonts w:ascii="Times New Roman" w:hAnsi="Times New Roman" w:cs="Times New Roman"/>
          <w:sz w:val="24"/>
        </w:rPr>
        <w:t>Comparison between manual gating and DR-based gating results in the ALOT</w:t>
      </w:r>
      <w:r w:rsidRPr="001330E4">
        <w:rPr>
          <w:rFonts w:ascii="Times New Roman" w:hAnsi="Times New Roman" w:cs="Times New Roman" w:hint="eastAsia"/>
          <w:sz w:val="24"/>
        </w:rPr>
        <w:t xml:space="preserve"> </w:t>
      </w:r>
      <w:r w:rsidRPr="001330E4">
        <w:rPr>
          <w:rFonts w:ascii="Times New Roman" w:hAnsi="Times New Roman" w:cs="Times New Roman"/>
          <w:sz w:val="24"/>
        </w:rPr>
        <w:t>panel</w:t>
      </w:r>
    </w:p>
    <w:tbl>
      <w:tblPr>
        <w:tblW w:w="111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538"/>
        <w:gridCol w:w="1715"/>
        <w:gridCol w:w="1701"/>
        <w:gridCol w:w="1843"/>
        <w:gridCol w:w="1842"/>
        <w:gridCol w:w="1560"/>
      </w:tblGrid>
      <w:tr w:rsidR="001330E4" w:rsidRPr="001330E4" w14:paraId="0C5EA8DF" w14:textId="77777777" w:rsidTr="00DD274F">
        <w:trPr>
          <w:trHeight w:val="440"/>
        </w:trPr>
        <w:tc>
          <w:tcPr>
            <w:tcW w:w="253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B64504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866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82936D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b/>
                <w:bCs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Manual gating</w:t>
            </w:r>
            <w:r w:rsidRPr="001330E4">
              <w:rPr>
                <w:rFonts w:ascii="Times New Roman" w:eastAsia="Malgun Gothic" w:hAnsi="Times New Roman" w:cs="Times New Roman" w:hint="eastAsia"/>
                <w:kern w:val="0"/>
                <w:szCs w:val="22"/>
                <w14:ligatures w14:val="none"/>
              </w:rPr>
              <w:t xml:space="preserve"> results (Sample, N)</w:t>
            </w:r>
          </w:p>
        </w:tc>
      </w:tr>
      <w:tr w:rsidR="001330E4" w:rsidRPr="001330E4" w14:paraId="572F3FAD" w14:textId="77777777" w:rsidTr="00DD274F">
        <w:trPr>
          <w:trHeight w:val="440"/>
        </w:trPr>
        <w:tc>
          <w:tcPr>
            <w:tcW w:w="253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681388C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631BEA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Myeloblast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32BDAB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B-lymphoblast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A324E9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T-lymphoblast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CBC5AE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Unknown lineage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6B5F2D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Total</w:t>
            </w:r>
          </w:p>
        </w:tc>
      </w:tr>
      <w:tr w:rsidR="001330E4" w:rsidRPr="001330E4" w14:paraId="1D032DE6" w14:textId="77777777" w:rsidTr="00DD274F">
        <w:trPr>
          <w:trHeight w:val="440"/>
        </w:trPr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AB321" w14:textId="77777777" w:rsidR="008228DB" w:rsidRPr="001330E4" w:rsidRDefault="008228DB" w:rsidP="00DD274F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i/>
                <w:iCs/>
                <w:kern w:val="0"/>
                <w:szCs w:val="22"/>
                <w14:ligatures w14:val="none"/>
              </w:rPr>
              <w:t>t-SNE-based gating</w:t>
            </w:r>
            <w:r w:rsidRPr="001330E4">
              <w:rPr>
                <w:rFonts w:ascii="Times New Roman" w:eastAsia="Malgun Gothic" w:hAnsi="Times New Roman" w:cs="Times New Roman" w:hint="eastAsia"/>
                <w:i/>
                <w:iCs/>
                <w:kern w:val="0"/>
                <w:szCs w:val="22"/>
                <w14:ligatures w14:val="none"/>
              </w:rPr>
              <w:t xml:space="preserve"> </w:t>
            </w:r>
            <w:r w:rsidRPr="001330E4">
              <w:rPr>
                <w:rFonts w:ascii="Times New Roman" w:eastAsia="Malgun Gothic" w:hAnsi="Times New Roman" w:cs="Times New Roman" w:hint="eastAsia"/>
                <w:kern w:val="0"/>
                <w:szCs w:val="22"/>
                <w14:ligatures w14:val="none"/>
              </w:rPr>
              <w:t xml:space="preserve">results </w:t>
            </w:r>
          </w:p>
          <w:p w14:paraId="11A6C651" w14:textId="77777777" w:rsidR="008228DB" w:rsidRPr="001330E4" w:rsidRDefault="008228DB" w:rsidP="00DD274F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b/>
                <w:bCs/>
                <w:i/>
                <w:iCs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 w:hint="eastAsia"/>
                <w:kern w:val="0"/>
                <w:szCs w:val="22"/>
                <w14:ligatures w14:val="none"/>
              </w:rPr>
              <w:t>(Sample, N)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2D649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38596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8A7E2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D3B27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1330E4" w:rsidRPr="001330E4" w14:paraId="6EFE6F7F" w14:textId="77777777" w:rsidTr="00DD274F">
        <w:trPr>
          <w:trHeight w:val="440"/>
        </w:trPr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4853B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Myeloblast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7F683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8BD68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71300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0C723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43EEA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44</w:t>
            </w:r>
          </w:p>
        </w:tc>
      </w:tr>
      <w:tr w:rsidR="001330E4" w:rsidRPr="001330E4" w14:paraId="1E793A07" w14:textId="77777777" w:rsidTr="00DD274F">
        <w:trPr>
          <w:trHeight w:val="440"/>
        </w:trPr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848D5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B-lymphoblast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EEA3A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C5430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69A39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72C96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652F5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16</w:t>
            </w:r>
          </w:p>
        </w:tc>
      </w:tr>
      <w:tr w:rsidR="001330E4" w:rsidRPr="001330E4" w14:paraId="641B6CCE" w14:textId="77777777" w:rsidTr="00DD274F">
        <w:trPr>
          <w:trHeight w:val="440"/>
        </w:trPr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3DAC9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T-lymphoblast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D2C5C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B8903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3E56D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535F3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3A3AF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7</w:t>
            </w:r>
          </w:p>
        </w:tc>
      </w:tr>
      <w:tr w:rsidR="001330E4" w:rsidRPr="001330E4" w14:paraId="36688A44" w14:textId="77777777" w:rsidTr="00DD274F">
        <w:trPr>
          <w:trHeight w:val="440"/>
        </w:trPr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9FAF9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Unknown lineage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DD7A7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72086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77C03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D55EE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6794D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13</w:t>
            </w:r>
          </w:p>
        </w:tc>
      </w:tr>
      <w:tr w:rsidR="001330E4" w:rsidRPr="001330E4" w14:paraId="3B6637DF" w14:textId="77777777" w:rsidTr="00DD274F">
        <w:trPr>
          <w:trHeight w:val="440"/>
        </w:trPr>
        <w:tc>
          <w:tcPr>
            <w:tcW w:w="425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D1FF4" w14:textId="77777777" w:rsidR="008228DB" w:rsidRPr="001330E4" w:rsidRDefault="008228DB" w:rsidP="00DD274F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i/>
                <w:iCs/>
                <w:kern w:val="0"/>
                <w:szCs w:val="22"/>
                <w14:ligatures w14:val="none"/>
              </w:rPr>
              <w:t>UMAP-based gating</w:t>
            </w:r>
            <w:r w:rsidRPr="001330E4">
              <w:rPr>
                <w:rFonts w:ascii="Times New Roman" w:eastAsia="Malgun Gothic" w:hAnsi="Times New Roman" w:cs="Times New Roman" w:hint="eastAsia"/>
                <w:i/>
                <w:iCs/>
                <w:kern w:val="0"/>
                <w:szCs w:val="22"/>
                <w14:ligatures w14:val="none"/>
              </w:rPr>
              <w:t xml:space="preserve"> </w:t>
            </w:r>
            <w:r w:rsidRPr="001330E4">
              <w:rPr>
                <w:rFonts w:ascii="Times New Roman" w:eastAsia="Malgun Gothic" w:hAnsi="Times New Roman" w:cs="Times New Roman" w:hint="eastAsia"/>
                <w:kern w:val="0"/>
                <w:szCs w:val="22"/>
                <w14:ligatures w14:val="none"/>
              </w:rPr>
              <w:t xml:space="preserve">results </w:t>
            </w:r>
          </w:p>
          <w:p w14:paraId="380FB7E5" w14:textId="77777777" w:rsidR="008228DB" w:rsidRPr="001330E4" w:rsidRDefault="008228DB" w:rsidP="00DD274F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b/>
                <w:bCs/>
                <w:i/>
                <w:iCs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 w:hint="eastAsia"/>
                <w:kern w:val="0"/>
                <w:szCs w:val="22"/>
                <w14:ligatures w14:val="none"/>
              </w:rPr>
              <w:t>(Sample, N)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EA761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81041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44330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 xml:space="preserve">　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25D68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 xml:space="preserve">　</w:t>
            </w:r>
          </w:p>
        </w:tc>
      </w:tr>
      <w:tr w:rsidR="001330E4" w:rsidRPr="001330E4" w14:paraId="2347C2B3" w14:textId="77777777" w:rsidTr="00DD274F">
        <w:trPr>
          <w:trHeight w:val="440"/>
        </w:trPr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A3EBA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Myeloblast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541CE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43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A6CAD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817F7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C46E1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81203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43</w:t>
            </w:r>
          </w:p>
        </w:tc>
      </w:tr>
      <w:tr w:rsidR="001330E4" w:rsidRPr="001330E4" w14:paraId="42E92987" w14:textId="77777777" w:rsidTr="00DD274F">
        <w:trPr>
          <w:trHeight w:val="440"/>
        </w:trPr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51D0E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B-lymphoblast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85543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BC780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1635F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E26AD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E9BBA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16</w:t>
            </w:r>
          </w:p>
        </w:tc>
      </w:tr>
      <w:tr w:rsidR="001330E4" w:rsidRPr="001330E4" w14:paraId="5A4B952F" w14:textId="77777777" w:rsidTr="00DD274F">
        <w:trPr>
          <w:trHeight w:val="440"/>
        </w:trPr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AFCBC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T-lymphoblast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E5FDC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0512A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694B9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4363A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131AD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7</w:t>
            </w:r>
          </w:p>
        </w:tc>
      </w:tr>
      <w:tr w:rsidR="001330E4" w:rsidRPr="001330E4" w14:paraId="79F01D4D" w14:textId="77777777" w:rsidTr="00DD274F">
        <w:trPr>
          <w:trHeight w:val="440"/>
        </w:trPr>
        <w:tc>
          <w:tcPr>
            <w:tcW w:w="2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71606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Unknown lineage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4B7E0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EE217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484C5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62913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27785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14</w:t>
            </w:r>
          </w:p>
        </w:tc>
      </w:tr>
      <w:tr w:rsidR="001330E4" w:rsidRPr="001330E4" w14:paraId="045EC8C3" w14:textId="77777777" w:rsidTr="00DD274F">
        <w:trPr>
          <w:trHeight w:val="440"/>
        </w:trPr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A11A12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Total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71EB32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58C205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180006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C5C797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86A46D" w14:textId="77777777" w:rsidR="008228DB" w:rsidRPr="001330E4" w:rsidRDefault="008228DB" w:rsidP="0021006E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80</w:t>
            </w:r>
          </w:p>
        </w:tc>
      </w:tr>
    </w:tbl>
    <w:p w14:paraId="43488854" w14:textId="77777777" w:rsidR="008228DB" w:rsidRPr="001330E4" w:rsidRDefault="008228DB" w:rsidP="0021006E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/>
          <w:sz w:val="24"/>
        </w:rPr>
        <w:t>Abbreviations: DR, dimensionality reduction; ALOT</w:t>
      </w:r>
      <w:r w:rsidRPr="001330E4">
        <w:rPr>
          <w:rFonts w:ascii="Times New Roman" w:hAnsi="Times New Roman" w:cs="Times New Roman" w:hint="eastAsia"/>
          <w:sz w:val="24"/>
        </w:rPr>
        <w:t xml:space="preserve">, </w:t>
      </w:r>
      <w:r w:rsidRPr="001330E4">
        <w:rPr>
          <w:rFonts w:ascii="Times New Roman" w:hAnsi="Times New Roman" w:cs="Times New Roman"/>
          <w:sz w:val="24"/>
        </w:rPr>
        <w:t>acute leukemia orientation</w:t>
      </w:r>
      <w:r w:rsidRPr="001330E4">
        <w:rPr>
          <w:rFonts w:ascii="Times New Roman" w:hAnsi="Times New Roman" w:cs="Times New Roman" w:hint="eastAsia"/>
          <w:sz w:val="24"/>
        </w:rPr>
        <w:t>;</w:t>
      </w:r>
      <w:r w:rsidRPr="001330E4">
        <w:rPr>
          <w:rFonts w:ascii="Times New Roman" w:hAnsi="Times New Roman" w:cs="Times New Roman"/>
          <w:sz w:val="24"/>
        </w:rPr>
        <w:t xml:space="preserve"> t-SNE, t-Distributed Stochastic Neighbor Embedding;</w:t>
      </w:r>
      <w:r w:rsidRPr="001330E4">
        <w:rPr>
          <w:rFonts w:ascii="Times New Roman" w:hAnsi="Times New Roman" w:cs="Times New Roman" w:hint="eastAsia"/>
          <w:sz w:val="24"/>
        </w:rPr>
        <w:t xml:space="preserve"> </w:t>
      </w:r>
      <w:r w:rsidRPr="001330E4">
        <w:rPr>
          <w:rFonts w:ascii="Times New Roman" w:hAnsi="Times New Roman" w:cs="Times New Roman"/>
          <w:sz w:val="24"/>
        </w:rPr>
        <w:t>UMAP, Uniform Manifold Approximation and Projection</w:t>
      </w:r>
    </w:p>
    <w:p w14:paraId="50A2CDCA" w14:textId="77777777" w:rsidR="008228DB" w:rsidRPr="001330E4" w:rsidRDefault="008228DB" w:rsidP="0021006E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10BD9EF8" w14:textId="77777777" w:rsidR="008228DB" w:rsidRPr="001330E4" w:rsidRDefault="008228DB" w:rsidP="0021006E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/>
          <w:sz w:val="24"/>
        </w:rPr>
        <w:br w:type="page"/>
      </w:r>
    </w:p>
    <w:p w14:paraId="558848BD" w14:textId="77777777" w:rsidR="008228DB" w:rsidRPr="001330E4" w:rsidRDefault="008228DB" w:rsidP="005C731A">
      <w:pPr>
        <w:jc w:val="both"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 w:hint="eastAsia"/>
          <w:b/>
          <w:bCs/>
          <w:sz w:val="24"/>
        </w:rPr>
        <w:lastRenderedPageBreak/>
        <w:t>Supplementary Table 3</w:t>
      </w:r>
      <w:r w:rsidRPr="001330E4">
        <w:rPr>
          <w:rFonts w:ascii="Times New Roman" w:hAnsi="Times New Roman" w:cs="Times New Roman" w:hint="eastAsia"/>
          <w:sz w:val="24"/>
        </w:rPr>
        <w:t xml:space="preserve">. </w:t>
      </w:r>
      <w:r w:rsidRPr="001330E4">
        <w:rPr>
          <w:rFonts w:ascii="Times New Roman" w:hAnsi="Times New Roman" w:cs="Times New Roman"/>
          <w:sz w:val="24"/>
        </w:rPr>
        <w:t xml:space="preserve">Comparison between manual gating and DR-based gating results in </w:t>
      </w:r>
      <w:r w:rsidRPr="001330E4">
        <w:rPr>
          <w:rFonts w:ascii="Times New Roman" w:hAnsi="Times New Roman" w:cs="Times New Roman" w:hint="eastAsia"/>
          <w:sz w:val="24"/>
        </w:rPr>
        <w:t xml:space="preserve">BCL </w:t>
      </w:r>
      <w:r w:rsidRPr="001330E4">
        <w:rPr>
          <w:rFonts w:ascii="Times New Roman" w:hAnsi="Times New Roman" w:cs="Times New Roman"/>
          <w:sz w:val="24"/>
        </w:rPr>
        <w:t>panel</w:t>
      </w:r>
    </w:p>
    <w:tbl>
      <w:tblPr>
        <w:tblW w:w="12333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93"/>
        <w:gridCol w:w="1621"/>
        <w:gridCol w:w="1788"/>
        <w:gridCol w:w="1789"/>
        <w:gridCol w:w="1788"/>
        <w:gridCol w:w="1788"/>
        <w:gridCol w:w="1066"/>
      </w:tblGrid>
      <w:tr w:rsidR="001330E4" w:rsidRPr="001330E4" w14:paraId="7C5D435A" w14:textId="77777777" w:rsidTr="00DD274F">
        <w:trPr>
          <w:trHeight w:val="339"/>
        </w:trPr>
        <w:tc>
          <w:tcPr>
            <w:tcW w:w="249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5B60C9" w14:textId="77777777" w:rsidR="008228DB" w:rsidRPr="001330E4" w:rsidRDefault="008228DB" w:rsidP="00DD274F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b/>
                <w:bCs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DR-based gating</w:t>
            </w:r>
            <w:r w:rsidRPr="001330E4">
              <w:rPr>
                <w:rFonts w:ascii="Times New Roman" w:eastAsia="Malgun Gothic" w:hAnsi="Times New Roman" w:cs="Times New Roman" w:hint="eastAsia"/>
                <w:kern w:val="0"/>
                <w:szCs w:val="22"/>
                <w14:ligatures w14:val="none"/>
              </w:rPr>
              <w:t xml:space="preserve"> results (Sample, N)</w:t>
            </w:r>
          </w:p>
          <w:p w14:paraId="149CEEF7" w14:textId="77777777" w:rsidR="008228DB" w:rsidRPr="001330E4" w:rsidRDefault="008228DB" w:rsidP="00DD274F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 w:hint="eastAsia"/>
                <w:kern w:val="0"/>
                <w:szCs w:val="22"/>
                <w14:ligatures w14:val="none"/>
              </w:rPr>
              <w:t xml:space="preserve">: </w:t>
            </w: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both t-SNE and UMAP</w:t>
            </w:r>
          </w:p>
        </w:tc>
        <w:tc>
          <w:tcPr>
            <w:tcW w:w="984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83B71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Manual gating</w:t>
            </w:r>
            <w:r w:rsidRPr="001330E4">
              <w:rPr>
                <w:rFonts w:ascii="Times New Roman" w:eastAsia="Malgun Gothic" w:hAnsi="Times New Roman" w:cs="Times New Roman" w:hint="eastAsia"/>
                <w:kern w:val="0"/>
                <w:szCs w:val="22"/>
                <w14:ligatures w14:val="none"/>
              </w:rPr>
              <w:t xml:space="preserve"> results (Sample, N)</w:t>
            </w:r>
          </w:p>
        </w:tc>
      </w:tr>
      <w:tr w:rsidR="001330E4" w:rsidRPr="001330E4" w14:paraId="60B16209" w14:textId="77777777" w:rsidTr="00DD274F">
        <w:trPr>
          <w:trHeight w:val="601"/>
        </w:trPr>
        <w:tc>
          <w:tcPr>
            <w:tcW w:w="249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0EDC3B7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7A0C3C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CD5-/CD10-</w:t>
            </w: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br/>
              <w:t>clonal B-cells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3441F2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CD5+/CD10-</w:t>
            </w: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br/>
              <w:t>clonal B-cells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D2CD2F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CD5-/CD10+</w:t>
            </w: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br/>
              <w:t>clonal B-cells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166FF9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CD5+/CD10+</w:t>
            </w: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br/>
              <w:t>clonal B-cells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D26C83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Normal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99BB3F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Total</w:t>
            </w:r>
          </w:p>
        </w:tc>
      </w:tr>
      <w:tr w:rsidR="001330E4" w:rsidRPr="001330E4" w14:paraId="5C299E8E" w14:textId="77777777" w:rsidTr="00DD274F">
        <w:trPr>
          <w:trHeight w:val="601"/>
        </w:trPr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0AE0BE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CD5-/CD10-</w:t>
            </w: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br/>
              <w:t>clonal B-cells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C9AF7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9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1A336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F3245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8713C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CE16A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07872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11</w:t>
            </w:r>
          </w:p>
        </w:tc>
      </w:tr>
      <w:tr w:rsidR="001330E4" w:rsidRPr="001330E4" w14:paraId="5D212380" w14:textId="77777777" w:rsidTr="00DD274F">
        <w:trPr>
          <w:trHeight w:val="601"/>
        </w:trPr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49211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CD5+/CD10-</w:t>
            </w: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br/>
              <w:t>clonal B-cells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45FE9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016EF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5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C8586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B3B97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9B9D2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A55FA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5</w:t>
            </w:r>
          </w:p>
        </w:tc>
      </w:tr>
      <w:tr w:rsidR="001330E4" w:rsidRPr="001330E4" w14:paraId="43C94F50" w14:textId="77777777" w:rsidTr="00DD274F">
        <w:trPr>
          <w:trHeight w:val="601"/>
        </w:trPr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5BC183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CD5-/CD10+</w:t>
            </w: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br/>
              <w:t>clonal B-cells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B9A86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40203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E062D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4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FEB6E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790D6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C2C38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4</w:t>
            </w:r>
          </w:p>
        </w:tc>
      </w:tr>
      <w:tr w:rsidR="001330E4" w:rsidRPr="001330E4" w14:paraId="295711D2" w14:textId="77777777" w:rsidTr="00DD274F">
        <w:trPr>
          <w:trHeight w:val="601"/>
        </w:trPr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F48A47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CD5+/CD10+</w:t>
            </w: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br/>
              <w:t>clonal B-cells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993F1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D6FB3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2F648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EC9E0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3662C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39C7B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</w:t>
            </w:r>
          </w:p>
        </w:tc>
      </w:tr>
      <w:tr w:rsidR="001330E4" w:rsidRPr="001330E4" w14:paraId="4871BF38" w14:textId="77777777" w:rsidTr="00DD274F">
        <w:trPr>
          <w:trHeight w:val="601"/>
        </w:trPr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377CA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Normal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73355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9317F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CCB72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5CD6C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68F7D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21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B6D6C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21</w:t>
            </w:r>
          </w:p>
        </w:tc>
      </w:tr>
      <w:tr w:rsidR="001330E4" w:rsidRPr="001330E4" w14:paraId="0FA6C11A" w14:textId="77777777" w:rsidTr="00DD274F">
        <w:trPr>
          <w:trHeight w:val="399"/>
        </w:trPr>
        <w:tc>
          <w:tcPr>
            <w:tcW w:w="24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C1B244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Total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E0BC42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9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A31CDA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6</w:t>
            </w:r>
          </w:p>
        </w:tc>
        <w:tc>
          <w:tcPr>
            <w:tcW w:w="17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9687D3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4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E57F12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</w:t>
            </w:r>
          </w:p>
        </w:tc>
        <w:tc>
          <w:tcPr>
            <w:tcW w:w="17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48B213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22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E46942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42</w:t>
            </w:r>
          </w:p>
        </w:tc>
      </w:tr>
    </w:tbl>
    <w:p w14:paraId="0B4AB7CD" w14:textId="77777777" w:rsidR="008228DB" w:rsidRPr="001330E4" w:rsidRDefault="008228DB" w:rsidP="005C731A">
      <w:pPr>
        <w:jc w:val="both"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/>
          <w:sz w:val="24"/>
        </w:rPr>
        <w:t xml:space="preserve">Abbreviation: DR, dimensionality reduction; </w:t>
      </w:r>
      <w:r w:rsidRPr="001330E4">
        <w:rPr>
          <w:rFonts w:ascii="Times New Roman" w:hAnsi="Times New Roman" w:cs="Times New Roman" w:hint="eastAsia"/>
          <w:sz w:val="24"/>
        </w:rPr>
        <w:t xml:space="preserve">BCL, </w:t>
      </w:r>
      <w:r w:rsidRPr="001330E4">
        <w:rPr>
          <w:rFonts w:ascii="Times New Roman" w:hAnsi="Times New Roman" w:cs="Times New Roman"/>
          <w:sz w:val="24"/>
        </w:rPr>
        <w:t>B-cells lymphoma</w:t>
      </w:r>
      <w:r w:rsidRPr="001330E4">
        <w:rPr>
          <w:rFonts w:ascii="Times New Roman" w:hAnsi="Times New Roman" w:cs="Times New Roman" w:hint="eastAsia"/>
          <w:sz w:val="24"/>
        </w:rPr>
        <w:t>;</w:t>
      </w:r>
      <w:r w:rsidRPr="001330E4">
        <w:rPr>
          <w:rFonts w:ascii="Times New Roman" w:hAnsi="Times New Roman" w:cs="Times New Roman"/>
          <w:sz w:val="24"/>
        </w:rPr>
        <w:t xml:space="preserve"> t-SNE, t-Distributed Stochastic Neighbor Embedding; UMAP, Uniform Manifold Approximation and Projection</w:t>
      </w:r>
    </w:p>
    <w:p w14:paraId="4C79E42D" w14:textId="77777777" w:rsidR="008228DB" w:rsidRPr="001330E4" w:rsidRDefault="008228DB">
      <w:pPr>
        <w:widowControl/>
        <w:wordWrap/>
        <w:autoSpaceDE/>
        <w:autoSpaceDN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/>
          <w:sz w:val="24"/>
        </w:rPr>
        <w:br w:type="page"/>
      </w:r>
    </w:p>
    <w:p w14:paraId="7B336EBB" w14:textId="77777777" w:rsidR="008228DB" w:rsidRPr="001330E4" w:rsidRDefault="008228DB" w:rsidP="005C731A">
      <w:pPr>
        <w:jc w:val="both"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 w:hint="eastAsia"/>
          <w:b/>
          <w:bCs/>
          <w:sz w:val="24"/>
        </w:rPr>
        <w:lastRenderedPageBreak/>
        <w:t>Supplementary Table 4</w:t>
      </w:r>
      <w:r w:rsidRPr="001330E4">
        <w:rPr>
          <w:rFonts w:ascii="Times New Roman" w:hAnsi="Times New Roman" w:cs="Times New Roman" w:hint="eastAsia"/>
          <w:sz w:val="24"/>
        </w:rPr>
        <w:t xml:space="preserve">. </w:t>
      </w:r>
      <w:r w:rsidRPr="001330E4">
        <w:rPr>
          <w:rFonts w:ascii="Times New Roman" w:hAnsi="Times New Roman" w:cs="Times New Roman"/>
          <w:sz w:val="24"/>
        </w:rPr>
        <w:t xml:space="preserve">Comparison between manual gating and DR-based gating results in </w:t>
      </w:r>
      <w:r w:rsidRPr="001330E4">
        <w:rPr>
          <w:rFonts w:ascii="Times New Roman" w:hAnsi="Times New Roman" w:cs="Times New Roman" w:hint="eastAsia"/>
          <w:sz w:val="24"/>
        </w:rPr>
        <w:t xml:space="preserve">MM </w:t>
      </w:r>
      <w:r w:rsidRPr="001330E4">
        <w:rPr>
          <w:rFonts w:ascii="Times New Roman" w:hAnsi="Times New Roman" w:cs="Times New Roman"/>
          <w:sz w:val="24"/>
        </w:rPr>
        <w:t>panel</w:t>
      </w:r>
    </w:p>
    <w:tbl>
      <w:tblPr>
        <w:tblW w:w="9923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552"/>
        <w:gridCol w:w="1984"/>
        <w:gridCol w:w="2127"/>
        <w:gridCol w:w="1842"/>
        <w:gridCol w:w="1418"/>
      </w:tblGrid>
      <w:tr w:rsidR="001330E4" w:rsidRPr="001330E4" w14:paraId="65366C4D" w14:textId="77777777" w:rsidTr="00DD274F">
        <w:trPr>
          <w:trHeight w:val="340"/>
        </w:trPr>
        <w:tc>
          <w:tcPr>
            <w:tcW w:w="255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2BFAB5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 xml:space="preserve">DR-based gating </w:t>
            </w:r>
            <w:r w:rsidRPr="001330E4">
              <w:rPr>
                <w:rFonts w:ascii="Times New Roman" w:eastAsia="Malgun Gothic" w:hAnsi="Times New Roman" w:cs="Times New Roman" w:hint="eastAsia"/>
                <w:kern w:val="0"/>
                <w:szCs w:val="22"/>
                <w14:ligatures w14:val="none"/>
              </w:rPr>
              <w:t>results (Sample, N)</w:t>
            </w: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 xml:space="preserve"> </w:t>
            </w:r>
          </w:p>
          <w:p w14:paraId="553DFED8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 w:hint="eastAsia"/>
                <w:kern w:val="0"/>
                <w:szCs w:val="22"/>
                <w14:ligatures w14:val="none"/>
              </w:rPr>
              <w:t xml:space="preserve">: </w:t>
            </w: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both t-SNE and UMAP</w:t>
            </w:r>
          </w:p>
        </w:tc>
        <w:tc>
          <w:tcPr>
            <w:tcW w:w="7371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67F82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Manual gating</w:t>
            </w:r>
            <w:r w:rsidRPr="001330E4">
              <w:rPr>
                <w:rFonts w:ascii="Times New Roman" w:eastAsia="Malgun Gothic" w:hAnsi="Times New Roman" w:cs="Times New Roman" w:hint="eastAsia"/>
                <w:kern w:val="0"/>
                <w:szCs w:val="22"/>
                <w14:ligatures w14:val="none"/>
              </w:rPr>
              <w:t xml:space="preserve"> results (Sample, N)</w:t>
            </w:r>
          </w:p>
        </w:tc>
      </w:tr>
      <w:tr w:rsidR="001330E4" w:rsidRPr="001330E4" w14:paraId="40CDB9A8" w14:textId="77777777" w:rsidTr="00DD274F">
        <w:trPr>
          <w:trHeight w:val="602"/>
        </w:trPr>
        <w:tc>
          <w:tcPr>
            <w:tcW w:w="255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3E5AA26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BD6E63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proofErr w:type="spellStart"/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cKappa</w:t>
            </w:r>
            <w:proofErr w:type="spellEnd"/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-type</w:t>
            </w: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br/>
              <w:t>clonal plasma cells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40AC1A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:lang w:val="es-ES"/>
                <w14:ligatures w14:val="none"/>
              </w:rPr>
            </w:pPr>
            <w:proofErr w:type="spellStart"/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:lang w:val="es-ES"/>
                <w14:ligatures w14:val="none"/>
              </w:rPr>
              <w:t>cLambda-type</w:t>
            </w:r>
            <w:proofErr w:type="spellEnd"/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:lang w:val="es-ES"/>
                <w14:ligatures w14:val="none"/>
              </w:rPr>
              <w:br/>
              <w:t xml:space="preserve">clonal plasma </w:t>
            </w:r>
            <w:proofErr w:type="spellStart"/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:lang w:val="es-ES"/>
                <w14:ligatures w14:val="none"/>
              </w:rPr>
              <w:t>cells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1716A5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Normal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CC906F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Total</w:t>
            </w:r>
          </w:p>
        </w:tc>
      </w:tr>
      <w:tr w:rsidR="001330E4" w:rsidRPr="001330E4" w14:paraId="7E9AB245" w14:textId="77777777" w:rsidTr="00DD274F">
        <w:trPr>
          <w:trHeight w:val="602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5838E0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Kappa-type</w:t>
            </w: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br/>
              <w:t>clonal plasma cells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AB0DB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FA656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D16D7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24200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16</w:t>
            </w:r>
          </w:p>
        </w:tc>
      </w:tr>
      <w:tr w:rsidR="001330E4" w:rsidRPr="001330E4" w14:paraId="60B4D1C8" w14:textId="77777777" w:rsidTr="00DD274F">
        <w:trPr>
          <w:trHeight w:val="602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5EAB8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:lang w:val="es-ES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:lang w:val="es-ES"/>
                <w14:ligatures w14:val="none"/>
              </w:rPr>
              <w:t>Lambda-</w:t>
            </w:r>
            <w:proofErr w:type="spellStart"/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:lang w:val="es-ES"/>
                <w14:ligatures w14:val="none"/>
              </w:rPr>
              <w:t>type</w:t>
            </w:r>
            <w:proofErr w:type="spellEnd"/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:lang w:val="es-ES"/>
                <w14:ligatures w14:val="none"/>
              </w:rPr>
              <w:br/>
              <w:t xml:space="preserve">clonal plasma </w:t>
            </w:r>
            <w:proofErr w:type="spellStart"/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:lang w:val="es-ES"/>
                <w14:ligatures w14:val="none"/>
              </w:rPr>
              <w:t>cells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A4CD1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1BBB4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19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AB0B3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9815F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19</w:t>
            </w:r>
          </w:p>
        </w:tc>
      </w:tr>
      <w:tr w:rsidR="001330E4" w:rsidRPr="001330E4" w14:paraId="64A9A6D6" w14:textId="77777777" w:rsidTr="00DD274F">
        <w:trPr>
          <w:trHeight w:val="602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0CF4F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Normal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DC186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5F185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F4BDD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E413D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10</w:t>
            </w:r>
          </w:p>
        </w:tc>
      </w:tr>
      <w:tr w:rsidR="001330E4" w:rsidRPr="001330E4" w14:paraId="4C21C3A6" w14:textId="77777777" w:rsidTr="00DD274F">
        <w:trPr>
          <w:trHeight w:val="400"/>
        </w:trPr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24C3D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Total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39A99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AEC2A4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6DC601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51BF39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45</w:t>
            </w:r>
          </w:p>
        </w:tc>
      </w:tr>
    </w:tbl>
    <w:p w14:paraId="465B9E42" w14:textId="77777777" w:rsidR="008228DB" w:rsidRPr="001330E4" w:rsidRDefault="008228DB" w:rsidP="005C731A">
      <w:pPr>
        <w:jc w:val="both"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/>
          <w:sz w:val="24"/>
        </w:rPr>
        <w:t xml:space="preserve">Abbreviation: DR, dimensionality reduction; </w:t>
      </w:r>
      <w:r w:rsidRPr="001330E4">
        <w:rPr>
          <w:rFonts w:ascii="Times New Roman" w:hAnsi="Times New Roman" w:cs="Times New Roman" w:hint="eastAsia"/>
          <w:sz w:val="24"/>
        </w:rPr>
        <w:t xml:space="preserve">MM, </w:t>
      </w:r>
      <w:r w:rsidRPr="001330E4">
        <w:rPr>
          <w:rFonts w:ascii="Times New Roman" w:hAnsi="Times New Roman" w:cs="Times New Roman"/>
          <w:sz w:val="24"/>
        </w:rPr>
        <w:t>multiple myeloma</w:t>
      </w:r>
      <w:r w:rsidRPr="001330E4">
        <w:rPr>
          <w:rFonts w:ascii="Times New Roman" w:hAnsi="Times New Roman" w:cs="Times New Roman" w:hint="eastAsia"/>
          <w:sz w:val="24"/>
        </w:rPr>
        <w:t>;</w:t>
      </w:r>
      <w:r w:rsidRPr="001330E4">
        <w:rPr>
          <w:rFonts w:ascii="Times New Roman" w:hAnsi="Times New Roman" w:cs="Times New Roman"/>
          <w:sz w:val="24"/>
        </w:rPr>
        <w:t xml:space="preserve"> t-SNE, t-Distributed Stochastic Neighbor Embedding; UMAP, Uniform Manifold Approximation and Projection</w:t>
      </w:r>
    </w:p>
    <w:p w14:paraId="43D3137B" w14:textId="77777777" w:rsidR="008228DB" w:rsidRPr="001330E4" w:rsidRDefault="008228DB">
      <w:pPr>
        <w:widowControl/>
        <w:wordWrap/>
        <w:autoSpaceDE/>
        <w:autoSpaceDN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/>
          <w:sz w:val="24"/>
        </w:rPr>
        <w:br w:type="page"/>
      </w:r>
    </w:p>
    <w:p w14:paraId="139F36CB" w14:textId="77777777" w:rsidR="008228DB" w:rsidRPr="001330E4" w:rsidRDefault="008228DB" w:rsidP="005C731A">
      <w:pPr>
        <w:jc w:val="both"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 w:hint="eastAsia"/>
          <w:b/>
          <w:bCs/>
          <w:sz w:val="24"/>
        </w:rPr>
        <w:lastRenderedPageBreak/>
        <w:t>Supplementary Table 5</w:t>
      </w:r>
      <w:r w:rsidRPr="001330E4">
        <w:rPr>
          <w:rFonts w:ascii="Times New Roman" w:hAnsi="Times New Roman" w:cs="Times New Roman" w:hint="eastAsia"/>
          <w:sz w:val="24"/>
        </w:rPr>
        <w:t xml:space="preserve">. </w:t>
      </w:r>
      <w:r w:rsidRPr="001330E4">
        <w:rPr>
          <w:rFonts w:ascii="Times New Roman" w:hAnsi="Times New Roman" w:cs="Times New Roman"/>
          <w:sz w:val="24"/>
        </w:rPr>
        <w:t xml:space="preserve">Comparison between manual gating and DR-based gating results in </w:t>
      </w:r>
      <w:r w:rsidRPr="001330E4">
        <w:rPr>
          <w:rFonts w:ascii="Times New Roman" w:hAnsi="Times New Roman" w:cs="Times New Roman" w:hint="eastAsia"/>
          <w:sz w:val="24"/>
        </w:rPr>
        <w:t>B-</w:t>
      </w:r>
      <w:r w:rsidRPr="001330E4">
        <w:rPr>
          <w:rFonts w:ascii="Times New Roman" w:hAnsi="Times New Roman" w:cs="Times New Roman"/>
          <w:sz w:val="24"/>
        </w:rPr>
        <w:t xml:space="preserve">MRD </w:t>
      </w:r>
      <w:r w:rsidRPr="001330E4">
        <w:rPr>
          <w:rFonts w:ascii="Times New Roman" w:hAnsi="Times New Roman" w:cs="Times New Roman" w:hint="eastAsia"/>
          <w:sz w:val="24"/>
        </w:rPr>
        <w:t xml:space="preserve">and MM-MRD </w:t>
      </w:r>
      <w:r w:rsidRPr="001330E4">
        <w:rPr>
          <w:rFonts w:ascii="Times New Roman" w:hAnsi="Times New Roman" w:cs="Times New Roman"/>
          <w:sz w:val="24"/>
        </w:rPr>
        <w:t>panels</w:t>
      </w:r>
    </w:p>
    <w:tbl>
      <w:tblPr>
        <w:tblW w:w="808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08"/>
        <w:gridCol w:w="1987"/>
        <w:gridCol w:w="1984"/>
        <w:gridCol w:w="1701"/>
      </w:tblGrid>
      <w:tr w:rsidR="001330E4" w:rsidRPr="001330E4" w14:paraId="781A9FE3" w14:textId="77777777" w:rsidTr="005A7597">
        <w:trPr>
          <w:trHeight w:val="464"/>
        </w:trPr>
        <w:tc>
          <w:tcPr>
            <w:tcW w:w="240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05CCCE" w14:textId="77777777" w:rsidR="008228DB" w:rsidRPr="001330E4" w:rsidRDefault="008228DB" w:rsidP="005A7597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 xml:space="preserve">DR-based gating </w:t>
            </w:r>
            <w:r w:rsidRPr="001330E4">
              <w:rPr>
                <w:rFonts w:ascii="Times New Roman" w:eastAsia="Malgun Gothic" w:hAnsi="Times New Roman" w:cs="Times New Roman" w:hint="eastAsia"/>
                <w:kern w:val="0"/>
                <w:szCs w:val="22"/>
                <w14:ligatures w14:val="none"/>
              </w:rPr>
              <w:t>results (Sample, N)</w:t>
            </w: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 xml:space="preserve"> </w:t>
            </w:r>
          </w:p>
          <w:p w14:paraId="1F8EEA7B" w14:textId="77777777" w:rsidR="008228DB" w:rsidRPr="001330E4" w:rsidRDefault="008228DB" w:rsidP="005A7597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 w:hint="eastAsia"/>
                <w:kern w:val="0"/>
                <w:szCs w:val="22"/>
                <w14:ligatures w14:val="none"/>
              </w:rPr>
              <w:t xml:space="preserve">: </w:t>
            </w: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both t-SNE and UMAP</w:t>
            </w:r>
          </w:p>
        </w:tc>
        <w:tc>
          <w:tcPr>
            <w:tcW w:w="567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63CE3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Manual gating</w:t>
            </w:r>
            <w:r w:rsidRPr="001330E4">
              <w:rPr>
                <w:rFonts w:ascii="Times New Roman" w:eastAsia="Malgun Gothic" w:hAnsi="Times New Roman" w:cs="Times New Roman" w:hint="eastAsia"/>
                <w:kern w:val="0"/>
                <w:szCs w:val="22"/>
                <w14:ligatures w14:val="none"/>
              </w:rPr>
              <w:t xml:space="preserve"> results (Sample, N)</w:t>
            </w:r>
          </w:p>
        </w:tc>
      </w:tr>
      <w:tr w:rsidR="001330E4" w:rsidRPr="001330E4" w14:paraId="65E6E36C" w14:textId="77777777" w:rsidTr="005A7597">
        <w:trPr>
          <w:trHeight w:val="476"/>
        </w:trPr>
        <w:tc>
          <w:tcPr>
            <w:tcW w:w="240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74B5FC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765B64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MRD-positive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9CD2CF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MRD-negative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5033F9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Total</w:t>
            </w:r>
          </w:p>
        </w:tc>
      </w:tr>
      <w:tr w:rsidR="001330E4" w:rsidRPr="001330E4" w14:paraId="1F06C0C6" w14:textId="77777777" w:rsidTr="005A7597">
        <w:trPr>
          <w:trHeight w:val="476"/>
        </w:trPr>
        <w:tc>
          <w:tcPr>
            <w:tcW w:w="2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F8BC3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b/>
                <w:bCs/>
                <w:i/>
                <w:iCs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b/>
                <w:bCs/>
                <w:i/>
                <w:iCs/>
                <w:kern w:val="0"/>
                <w:szCs w:val="22"/>
                <w14:ligatures w14:val="none"/>
              </w:rPr>
              <w:t>B-MRD</w:t>
            </w: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19667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b/>
                <w:bCs/>
                <w:kern w:val="0"/>
                <w:szCs w:val="22"/>
                <w14:ligatures w14:val="none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43A9BC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3739A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1330E4" w:rsidRPr="001330E4" w14:paraId="2CDCC01E" w14:textId="77777777" w:rsidTr="005A7597">
        <w:trPr>
          <w:trHeight w:val="476"/>
        </w:trPr>
        <w:tc>
          <w:tcPr>
            <w:tcW w:w="240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11E3FFF" w14:textId="77777777" w:rsidR="008228DB" w:rsidRPr="001330E4" w:rsidRDefault="008228DB" w:rsidP="001D5783">
            <w:pPr>
              <w:widowControl/>
              <w:wordWrap/>
              <w:autoSpaceDE/>
              <w:autoSpaceDN/>
              <w:spacing w:after="0"/>
              <w:ind w:firstLineChars="50" w:firstLine="11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MRD-positive</w:t>
            </w:r>
          </w:p>
        </w:tc>
        <w:tc>
          <w:tcPr>
            <w:tcW w:w="19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A1232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18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8EBF8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160D6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18</w:t>
            </w:r>
          </w:p>
        </w:tc>
      </w:tr>
      <w:tr w:rsidR="001330E4" w:rsidRPr="001330E4" w14:paraId="7A70BD21" w14:textId="77777777" w:rsidTr="005A7597">
        <w:trPr>
          <w:trHeight w:val="476"/>
        </w:trPr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C31897" w14:textId="77777777" w:rsidR="008228DB" w:rsidRPr="001330E4" w:rsidRDefault="008228DB" w:rsidP="001D5783">
            <w:pPr>
              <w:widowControl/>
              <w:wordWrap/>
              <w:autoSpaceDE/>
              <w:autoSpaceDN/>
              <w:spacing w:after="0"/>
              <w:ind w:firstLineChars="50" w:firstLine="11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MRD-negative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931C96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BCAE7E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7EBEF6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22</w:t>
            </w:r>
          </w:p>
        </w:tc>
      </w:tr>
      <w:tr w:rsidR="001330E4" w:rsidRPr="001330E4" w14:paraId="4C9A185E" w14:textId="77777777" w:rsidTr="005A7597">
        <w:trPr>
          <w:trHeight w:val="476"/>
        </w:trPr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148C0E" w14:textId="77777777" w:rsidR="008228DB" w:rsidRPr="001330E4" w:rsidRDefault="008228DB" w:rsidP="001D5783">
            <w:pPr>
              <w:widowControl/>
              <w:wordWrap/>
              <w:autoSpaceDE/>
              <w:autoSpaceDN/>
              <w:spacing w:after="0"/>
              <w:ind w:firstLineChars="50" w:firstLine="11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Total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4DD2AB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97E54E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344AC7E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40</w:t>
            </w:r>
          </w:p>
        </w:tc>
      </w:tr>
      <w:tr w:rsidR="001330E4" w:rsidRPr="001330E4" w14:paraId="441BC15E" w14:textId="77777777" w:rsidTr="005A7597">
        <w:trPr>
          <w:trHeight w:val="476"/>
        </w:trPr>
        <w:tc>
          <w:tcPr>
            <w:tcW w:w="24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5A9A3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b/>
                <w:bCs/>
                <w:i/>
                <w:iCs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b/>
                <w:bCs/>
                <w:i/>
                <w:iCs/>
                <w:kern w:val="0"/>
                <w:szCs w:val="22"/>
                <w14:ligatures w14:val="none"/>
              </w:rPr>
              <w:t>MM-MRD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9A3BD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rPr>
                <w:rFonts w:ascii="Times New Roman" w:eastAsia="Malgun Gothic" w:hAnsi="Times New Roman" w:cs="Times New Roman"/>
                <w:b/>
                <w:bCs/>
                <w:kern w:val="0"/>
                <w:szCs w:val="22"/>
                <w14:ligatures w14:val="non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B551D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D1000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</w:tr>
      <w:tr w:rsidR="001330E4" w:rsidRPr="001330E4" w14:paraId="7E888F8F" w14:textId="77777777" w:rsidTr="005A7597">
        <w:trPr>
          <w:trHeight w:val="476"/>
        </w:trPr>
        <w:tc>
          <w:tcPr>
            <w:tcW w:w="240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7D6062A" w14:textId="77777777" w:rsidR="008228DB" w:rsidRPr="001330E4" w:rsidRDefault="008228DB" w:rsidP="001D5783">
            <w:pPr>
              <w:widowControl/>
              <w:wordWrap/>
              <w:autoSpaceDE/>
              <w:autoSpaceDN/>
              <w:spacing w:after="0"/>
              <w:ind w:firstLineChars="50" w:firstLine="11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MRD-positive</w:t>
            </w:r>
          </w:p>
        </w:tc>
        <w:tc>
          <w:tcPr>
            <w:tcW w:w="19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78359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14</w:t>
            </w: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6E48B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A81F6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15</w:t>
            </w:r>
          </w:p>
        </w:tc>
      </w:tr>
      <w:tr w:rsidR="001330E4" w:rsidRPr="001330E4" w14:paraId="76EBA19C" w14:textId="77777777" w:rsidTr="005A7597">
        <w:trPr>
          <w:trHeight w:val="476"/>
        </w:trPr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F84EF1" w14:textId="77777777" w:rsidR="008228DB" w:rsidRPr="001330E4" w:rsidRDefault="008228DB" w:rsidP="001D5783">
            <w:pPr>
              <w:widowControl/>
              <w:wordWrap/>
              <w:autoSpaceDE/>
              <w:autoSpaceDN/>
              <w:spacing w:after="0"/>
              <w:ind w:firstLineChars="50" w:firstLine="11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MRD-negative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F96643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D51C10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A2783D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15</w:t>
            </w:r>
          </w:p>
        </w:tc>
      </w:tr>
      <w:tr w:rsidR="001330E4" w:rsidRPr="001330E4" w14:paraId="44D4A5B5" w14:textId="77777777" w:rsidTr="005A7597">
        <w:trPr>
          <w:trHeight w:val="476"/>
        </w:trPr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A3DBA0" w14:textId="77777777" w:rsidR="008228DB" w:rsidRPr="001330E4" w:rsidRDefault="008228DB" w:rsidP="001D5783">
            <w:pPr>
              <w:widowControl/>
              <w:wordWrap/>
              <w:autoSpaceDE/>
              <w:autoSpaceDN/>
              <w:spacing w:after="0"/>
              <w:ind w:firstLineChars="50" w:firstLine="110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Total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2D7000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2E98E6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AC94C9" w14:textId="77777777" w:rsidR="008228DB" w:rsidRPr="001330E4" w:rsidRDefault="008228DB" w:rsidP="006263C8">
            <w:pPr>
              <w:widowControl/>
              <w:wordWrap/>
              <w:autoSpaceDE/>
              <w:autoSpaceDN/>
              <w:spacing w:after="0"/>
              <w:jc w:val="center"/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</w:pPr>
            <w:r w:rsidRPr="001330E4">
              <w:rPr>
                <w:rFonts w:ascii="Times New Roman" w:eastAsia="Malgun Gothic" w:hAnsi="Times New Roman" w:cs="Times New Roman"/>
                <w:kern w:val="0"/>
                <w:szCs w:val="22"/>
                <w14:ligatures w14:val="none"/>
              </w:rPr>
              <w:t>30</w:t>
            </w:r>
          </w:p>
        </w:tc>
      </w:tr>
    </w:tbl>
    <w:p w14:paraId="2CE5DD8F" w14:textId="77777777" w:rsidR="008228DB" w:rsidRPr="001330E4" w:rsidRDefault="008228DB" w:rsidP="005C731A">
      <w:pPr>
        <w:jc w:val="both"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/>
          <w:sz w:val="24"/>
        </w:rPr>
        <w:t>Abbreviations: DR, dimensionality reduction; MRD, measurable residual disease; t-SNE, t-Distributed Stochastic Neighbor Embedding; UMAP, Uniform Manifold Approximation and Projection</w:t>
      </w:r>
    </w:p>
    <w:p w14:paraId="09717166" w14:textId="77777777" w:rsidR="008228DB" w:rsidRPr="001330E4" w:rsidRDefault="008228DB" w:rsidP="005C731A">
      <w:pPr>
        <w:spacing w:line="360" w:lineRule="auto"/>
        <w:jc w:val="both"/>
        <w:rPr>
          <w:rFonts w:ascii="Times New Roman" w:hAnsi="Times New Roman" w:cs="Times New Roman"/>
          <w:sz w:val="24"/>
        </w:rPr>
        <w:sectPr w:rsidR="008228DB" w:rsidRPr="001330E4" w:rsidSect="008228DB">
          <w:pgSz w:w="16838" w:h="11906" w:orient="landscape"/>
          <w:pgMar w:top="1440" w:right="1701" w:bottom="1440" w:left="1440" w:header="851" w:footer="992" w:gutter="0"/>
          <w:lnNumType w:countBy="1" w:restart="continuous"/>
          <w:cols w:space="425"/>
          <w:docGrid w:linePitch="360"/>
        </w:sectPr>
      </w:pPr>
    </w:p>
    <w:p w14:paraId="6017FD3E" w14:textId="77777777" w:rsidR="008228DB" w:rsidRPr="001330E4" w:rsidRDefault="008228DB" w:rsidP="00D54DD6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/>
          <w:b/>
          <w:bCs/>
          <w:sz w:val="24"/>
        </w:rPr>
        <w:lastRenderedPageBreak/>
        <w:t xml:space="preserve">Supplementary </w:t>
      </w:r>
      <w:r w:rsidRPr="001330E4">
        <w:rPr>
          <w:rFonts w:ascii="Times New Roman" w:hAnsi="Times New Roman" w:cs="Times New Roman" w:hint="eastAsia"/>
          <w:b/>
          <w:bCs/>
          <w:sz w:val="24"/>
        </w:rPr>
        <w:t>Methods.</w:t>
      </w:r>
      <w:r w:rsidRPr="001330E4">
        <w:rPr>
          <w:rFonts w:ascii="Times New Roman" w:hAnsi="Times New Roman" w:cs="Times New Roman"/>
          <w:b/>
          <w:bCs/>
          <w:sz w:val="24"/>
        </w:rPr>
        <w:t xml:space="preserve"> </w:t>
      </w:r>
      <w:r w:rsidRPr="001330E4">
        <w:rPr>
          <w:rFonts w:ascii="Times New Roman" w:hAnsi="Times New Roman" w:cs="Times New Roman"/>
          <w:sz w:val="24"/>
        </w:rPr>
        <w:t>Detailed description of DR-based gating</w:t>
      </w:r>
      <w:r w:rsidRPr="001330E4">
        <w:rPr>
          <w:rFonts w:ascii="Times New Roman" w:hAnsi="Times New Roman" w:cs="Times New Roman" w:hint="eastAsia"/>
          <w:sz w:val="24"/>
        </w:rPr>
        <w:t xml:space="preserve"> </w:t>
      </w:r>
      <w:r w:rsidRPr="001330E4">
        <w:rPr>
          <w:rFonts w:ascii="Times New Roman" w:hAnsi="Times New Roman" w:cs="Times New Roman"/>
          <w:sz w:val="24"/>
        </w:rPr>
        <w:t>for each panel</w:t>
      </w:r>
    </w:p>
    <w:p w14:paraId="135B0D4A" w14:textId="77777777" w:rsidR="008228DB" w:rsidRPr="001330E4" w:rsidRDefault="008228DB" w:rsidP="00D54DD6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</w:rPr>
      </w:pPr>
    </w:p>
    <w:p w14:paraId="27199A97" w14:textId="77777777" w:rsidR="008228DB" w:rsidRPr="001330E4" w:rsidRDefault="008228DB" w:rsidP="00D54DD6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1330E4">
        <w:rPr>
          <w:rFonts w:ascii="Times New Roman" w:hAnsi="Times New Roman" w:cs="Times New Roman"/>
          <w:b/>
          <w:bCs/>
          <w:sz w:val="24"/>
        </w:rPr>
        <w:t>1. Acute leukemia orientation tube panel</w:t>
      </w:r>
    </w:p>
    <w:p w14:paraId="1C4C4A01" w14:textId="77777777" w:rsidR="008228DB" w:rsidRPr="001330E4" w:rsidRDefault="008228DB" w:rsidP="00D54DD6">
      <w:pPr>
        <w:spacing w:line="480" w:lineRule="auto"/>
        <w:ind w:firstLineChars="100" w:firstLine="240"/>
        <w:jc w:val="both"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/>
          <w:sz w:val="24"/>
        </w:rPr>
        <w:t>Target clusters were identified either as CD34+ clusters in the DR dot plot heatmap mode and/or as populations located in the CD45dim blast area on the CD45/SSC-A dot plot</w:t>
      </w:r>
      <w:r w:rsidRPr="001330E4">
        <w:rPr>
          <w:rFonts w:ascii="Times New Roman" w:hAnsi="Times New Roman" w:cs="Times New Roman" w:hint="eastAsia"/>
          <w:sz w:val="24"/>
        </w:rPr>
        <w:t xml:space="preserve"> (Supplementary Figure 1)</w:t>
      </w:r>
      <w:r w:rsidRPr="001330E4">
        <w:rPr>
          <w:rFonts w:ascii="Times New Roman" w:hAnsi="Times New Roman" w:cs="Times New Roman"/>
          <w:sz w:val="24"/>
        </w:rPr>
        <w:t>. The lineage of these target cluster was determined by evaluating marker expression in heatmap mode, identifying them as myeloblasts (</w:t>
      </w:r>
      <w:proofErr w:type="spellStart"/>
      <w:r w:rsidRPr="001330E4">
        <w:rPr>
          <w:rFonts w:ascii="Times New Roman" w:hAnsi="Times New Roman" w:cs="Times New Roman"/>
          <w:sz w:val="24"/>
        </w:rPr>
        <w:t>cMPO</w:t>
      </w:r>
      <w:proofErr w:type="spellEnd"/>
      <w:r w:rsidRPr="001330E4">
        <w:rPr>
          <w:rFonts w:ascii="Times New Roman" w:hAnsi="Times New Roman" w:cs="Times New Roman"/>
          <w:sz w:val="24"/>
        </w:rPr>
        <w:t>+), B-lymphoblasts (CD19+), T-lymphoblasts (cytoplasmic CD3 [cCD</w:t>
      </w:r>
      <w:proofErr w:type="gramStart"/>
      <w:r w:rsidRPr="001330E4">
        <w:rPr>
          <w:rFonts w:ascii="Times New Roman" w:hAnsi="Times New Roman" w:cs="Times New Roman"/>
          <w:sz w:val="24"/>
        </w:rPr>
        <w:t>3]+</w:t>
      </w:r>
      <w:proofErr w:type="gramEnd"/>
      <w:r w:rsidRPr="001330E4">
        <w:rPr>
          <w:rFonts w:ascii="Times New Roman" w:hAnsi="Times New Roman" w:cs="Times New Roman"/>
          <w:sz w:val="24"/>
        </w:rPr>
        <w:t xml:space="preserve"> and/or CD3+), or blasts of unknown lineage (negative for </w:t>
      </w:r>
      <w:proofErr w:type="spellStart"/>
      <w:r w:rsidRPr="001330E4">
        <w:rPr>
          <w:rFonts w:ascii="Times New Roman" w:hAnsi="Times New Roman" w:cs="Times New Roman"/>
          <w:sz w:val="24"/>
        </w:rPr>
        <w:t>cMPO</w:t>
      </w:r>
      <w:proofErr w:type="spellEnd"/>
      <w:r w:rsidRPr="001330E4">
        <w:rPr>
          <w:rFonts w:ascii="Times New Roman" w:hAnsi="Times New Roman" w:cs="Times New Roman"/>
          <w:sz w:val="24"/>
        </w:rPr>
        <w:t>, CD19, CD3, and cCD3</w:t>
      </w:r>
      <w:r w:rsidRPr="001330E4">
        <w:rPr>
          <w:rFonts w:ascii="Times New Roman" w:hAnsi="Times New Roman" w:cs="Times New Roman" w:hint="eastAsia"/>
          <w:sz w:val="24"/>
        </w:rPr>
        <w:t>).</w:t>
      </w:r>
    </w:p>
    <w:p w14:paraId="35BFD637" w14:textId="77777777" w:rsidR="008228DB" w:rsidRPr="001330E4" w:rsidRDefault="008228DB" w:rsidP="00D54DD6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1B89CB42" w14:textId="77777777" w:rsidR="008228DB" w:rsidRPr="001330E4" w:rsidRDefault="008228DB" w:rsidP="00D54DD6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1330E4">
        <w:rPr>
          <w:rFonts w:ascii="Times New Roman" w:hAnsi="Times New Roman" w:cs="Times New Roman"/>
          <w:b/>
          <w:bCs/>
          <w:sz w:val="24"/>
        </w:rPr>
        <w:t>2. B-cell lymphoma panel</w:t>
      </w:r>
    </w:p>
    <w:p w14:paraId="10475D33" w14:textId="77777777" w:rsidR="008228DB" w:rsidRPr="001330E4" w:rsidRDefault="008228DB" w:rsidP="00D54DD6">
      <w:pPr>
        <w:spacing w:line="480" w:lineRule="auto"/>
        <w:ind w:firstLineChars="100" w:firstLine="240"/>
        <w:jc w:val="both"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/>
          <w:sz w:val="24"/>
        </w:rPr>
        <w:t>Target clusters were identified as CD20+ clusters in the DR dot plot heatmap mode</w:t>
      </w:r>
      <w:r w:rsidRPr="001330E4">
        <w:rPr>
          <w:rFonts w:ascii="Times New Roman" w:hAnsi="Times New Roman" w:cs="Times New Roman" w:hint="eastAsia"/>
          <w:sz w:val="24"/>
        </w:rPr>
        <w:t xml:space="preserve"> (Supplementary Figure 2)</w:t>
      </w:r>
      <w:r w:rsidRPr="001330E4">
        <w:rPr>
          <w:rFonts w:ascii="Times New Roman" w:hAnsi="Times New Roman" w:cs="Times New Roman"/>
          <w:sz w:val="24"/>
        </w:rPr>
        <w:t xml:space="preserve">. The expression of kappa and lambda light chains was observed within these clusters to determine clonality, with a kappa/lambda ratio of ≥ 2.0 or ≤ 0.5 indicating monoclonality </w:t>
      </w:r>
      <w:r w:rsidRPr="001330E4">
        <w:rPr>
          <w:rFonts w:ascii="Times New Roman" w:hAnsi="Times New Roman" w:cs="Times New Roman"/>
          <w:noProof/>
          <w:sz w:val="24"/>
        </w:rPr>
        <w:t>[1]</w:t>
      </w:r>
      <w:r w:rsidRPr="001330E4">
        <w:rPr>
          <w:rFonts w:ascii="Times New Roman" w:hAnsi="Times New Roman" w:cs="Times New Roman"/>
          <w:sz w:val="24"/>
        </w:rPr>
        <w:t>. Additionally, CD20+ clusters that were distinct from the two mature B-cell clusters expressing kappa and lambda, and that displayed aberrant immunophenotypes in CD5 or CD10 markers, or were located outside the typical lymphocyte area on the CD45/SSC-A plot, were interpreted as clonal B-cell clusters. The final categorization included CD5-/CD10- clonal B-cells, CD5+/CD10- clonal B-cells, CD5-/CD10+ clonal B-cells, and CD5+/CD10+ clonal B-cells, and normal groups.</w:t>
      </w:r>
    </w:p>
    <w:p w14:paraId="1CCF262D" w14:textId="77777777" w:rsidR="008228DB" w:rsidRPr="001330E4" w:rsidRDefault="008228DB" w:rsidP="00D54DD6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51F84C1C" w14:textId="77777777" w:rsidR="008228DB" w:rsidRPr="001330E4" w:rsidRDefault="008228DB" w:rsidP="00D54DD6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1330E4">
        <w:rPr>
          <w:rFonts w:ascii="Times New Roman" w:hAnsi="Times New Roman" w:cs="Times New Roman"/>
          <w:b/>
          <w:bCs/>
          <w:sz w:val="24"/>
        </w:rPr>
        <w:t>3. Multiple myeloma panel</w:t>
      </w:r>
    </w:p>
    <w:p w14:paraId="3D8CBE1D" w14:textId="77777777" w:rsidR="008228DB" w:rsidRPr="001330E4" w:rsidRDefault="008228DB" w:rsidP="00D54DD6">
      <w:pPr>
        <w:spacing w:line="480" w:lineRule="auto"/>
        <w:ind w:firstLineChars="100" w:firstLine="240"/>
        <w:jc w:val="both"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/>
          <w:sz w:val="24"/>
        </w:rPr>
        <w:lastRenderedPageBreak/>
        <w:t>Target clusters were identified as CD138+ clusters in the DR dot plot heatmap mode</w:t>
      </w:r>
      <w:r w:rsidRPr="001330E4">
        <w:rPr>
          <w:rFonts w:ascii="Times New Roman" w:hAnsi="Times New Roman" w:cs="Times New Roman" w:hint="eastAsia"/>
          <w:sz w:val="24"/>
        </w:rPr>
        <w:t xml:space="preserve"> (Supplementary Figure 3)</w:t>
      </w:r>
      <w:r w:rsidRPr="001330E4">
        <w:rPr>
          <w:rFonts w:ascii="Times New Roman" w:hAnsi="Times New Roman" w:cs="Times New Roman"/>
          <w:sz w:val="24"/>
        </w:rPr>
        <w:t xml:space="preserve">. The expression of </w:t>
      </w:r>
      <w:proofErr w:type="spellStart"/>
      <w:r w:rsidRPr="001330E4">
        <w:rPr>
          <w:rFonts w:ascii="Times New Roman" w:hAnsi="Times New Roman" w:cs="Times New Roman"/>
          <w:sz w:val="24"/>
        </w:rPr>
        <w:t>ckappa</w:t>
      </w:r>
      <w:proofErr w:type="spellEnd"/>
      <w:r w:rsidRPr="001330E4">
        <w:rPr>
          <w:rFonts w:ascii="Times New Roman" w:hAnsi="Times New Roman" w:cs="Times New Roman"/>
          <w:sz w:val="24"/>
        </w:rPr>
        <w:t xml:space="preserve"> and </w:t>
      </w:r>
      <w:proofErr w:type="spellStart"/>
      <w:r w:rsidRPr="001330E4">
        <w:rPr>
          <w:rFonts w:ascii="Times New Roman" w:hAnsi="Times New Roman" w:cs="Times New Roman"/>
          <w:sz w:val="24"/>
        </w:rPr>
        <w:t>clambda</w:t>
      </w:r>
      <w:proofErr w:type="spellEnd"/>
      <w:r w:rsidRPr="001330E4">
        <w:rPr>
          <w:rFonts w:ascii="Times New Roman" w:hAnsi="Times New Roman" w:cs="Times New Roman"/>
          <w:sz w:val="24"/>
        </w:rPr>
        <w:t xml:space="preserve"> was evaluated to determine clonality, with a </w:t>
      </w:r>
      <w:proofErr w:type="spellStart"/>
      <w:r w:rsidRPr="001330E4">
        <w:rPr>
          <w:rFonts w:ascii="Times New Roman" w:hAnsi="Times New Roman" w:cs="Times New Roman"/>
          <w:sz w:val="24"/>
        </w:rPr>
        <w:t>ckappa</w:t>
      </w:r>
      <w:proofErr w:type="spellEnd"/>
      <w:r w:rsidRPr="001330E4">
        <w:rPr>
          <w:rFonts w:ascii="Times New Roman" w:hAnsi="Times New Roman" w:cs="Times New Roman"/>
          <w:sz w:val="24"/>
        </w:rPr>
        <w:t>/</w:t>
      </w:r>
      <w:proofErr w:type="spellStart"/>
      <w:r w:rsidRPr="001330E4">
        <w:rPr>
          <w:rFonts w:ascii="Times New Roman" w:hAnsi="Times New Roman" w:cs="Times New Roman"/>
          <w:sz w:val="24"/>
        </w:rPr>
        <w:t>clambda</w:t>
      </w:r>
      <w:proofErr w:type="spellEnd"/>
      <w:r w:rsidRPr="001330E4">
        <w:rPr>
          <w:rFonts w:ascii="Times New Roman" w:hAnsi="Times New Roman" w:cs="Times New Roman"/>
          <w:sz w:val="24"/>
        </w:rPr>
        <w:t xml:space="preserve"> ratio of ≥ 9 or ≤ </w:t>
      </w:r>
      <w:r w:rsidRPr="001330E4">
        <w:rPr>
          <w:rFonts w:ascii="Times New Roman" w:hAnsi="Times New Roman" w:cs="Times New Roman" w:hint="eastAsia"/>
          <w:sz w:val="24"/>
        </w:rPr>
        <w:t>0.14</w:t>
      </w:r>
      <w:r w:rsidRPr="001330E4">
        <w:rPr>
          <w:rFonts w:ascii="Times New Roman" w:hAnsi="Times New Roman" w:cs="Times New Roman"/>
          <w:sz w:val="24"/>
        </w:rPr>
        <w:t xml:space="preserve"> indicating clonality </w:t>
      </w:r>
      <w:r w:rsidRPr="001330E4">
        <w:rPr>
          <w:rFonts w:ascii="Times New Roman" w:hAnsi="Times New Roman" w:cs="Times New Roman"/>
          <w:noProof/>
          <w:sz w:val="24"/>
        </w:rPr>
        <w:t>[2]</w:t>
      </w:r>
      <w:r w:rsidRPr="001330E4">
        <w:rPr>
          <w:rFonts w:ascii="Times New Roman" w:hAnsi="Times New Roman" w:cs="Times New Roman"/>
          <w:sz w:val="24"/>
        </w:rPr>
        <w:t xml:space="preserve">. Additionally, CD138+ clusters that were distinct from the two polyclonal plasma cell clusters expressing </w:t>
      </w:r>
      <w:proofErr w:type="spellStart"/>
      <w:r w:rsidRPr="001330E4">
        <w:rPr>
          <w:rFonts w:ascii="Times New Roman" w:hAnsi="Times New Roman" w:cs="Times New Roman"/>
          <w:sz w:val="24"/>
        </w:rPr>
        <w:t>ckappa</w:t>
      </w:r>
      <w:proofErr w:type="spellEnd"/>
      <w:r w:rsidRPr="001330E4">
        <w:rPr>
          <w:rFonts w:ascii="Times New Roman" w:hAnsi="Times New Roman" w:cs="Times New Roman"/>
          <w:sz w:val="24"/>
        </w:rPr>
        <w:t xml:space="preserve"> and </w:t>
      </w:r>
      <w:proofErr w:type="spellStart"/>
      <w:r w:rsidRPr="001330E4">
        <w:rPr>
          <w:rFonts w:ascii="Times New Roman" w:hAnsi="Times New Roman" w:cs="Times New Roman"/>
          <w:sz w:val="24"/>
        </w:rPr>
        <w:t>clambda</w:t>
      </w:r>
      <w:proofErr w:type="spellEnd"/>
      <w:r w:rsidRPr="001330E4">
        <w:rPr>
          <w:rFonts w:ascii="Times New Roman" w:hAnsi="Times New Roman" w:cs="Times New Roman"/>
          <w:sz w:val="24"/>
        </w:rPr>
        <w:t xml:space="preserve">, and that displayed aberrant immunophenotypes in CD19 and/or CD56 markers, were interpreted as clonal plasma cell clusters. The final categorization included </w:t>
      </w:r>
      <w:proofErr w:type="spellStart"/>
      <w:r w:rsidRPr="001330E4">
        <w:rPr>
          <w:rFonts w:ascii="Times New Roman" w:hAnsi="Times New Roman" w:cs="Times New Roman"/>
          <w:sz w:val="24"/>
        </w:rPr>
        <w:t>ckappa</w:t>
      </w:r>
      <w:proofErr w:type="spellEnd"/>
      <w:r w:rsidRPr="001330E4">
        <w:rPr>
          <w:rFonts w:ascii="Times New Roman" w:hAnsi="Times New Roman" w:cs="Times New Roman"/>
          <w:sz w:val="24"/>
        </w:rPr>
        <w:t xml:space="preserve">-type clonal plasma cells, </w:t>
      </w:r>
      <w:proofErr w:type="spellStart"/>
      <w:r w:rsidRPr="001330E4">
        <w:rPr>
          <w:rFonts w:ascii="Times New Roman" w:hAnsi="Times New Roman" w:cs="Times New Roman"/>
          <w:sz w:val="24"/>
        </w:rPr>
        <w:t>clambda</w:t>
      </w:r>
      <w:proofErr w:type="spellEnd"/>
      <w:r w:rsidRPr="001330E4">
        <w:rPr>
          <w:rFonts w:ascii="Times New Roman" w:hAnsi="Times New Roman" w:cs="Times New Roman"/>
          <w:sz w:val="24"/>
        </w:rPr>
        <w:t>-type clonal plasma cells, and normal groups.</w:t>
      </w:r>
    </w:p>
    <w:p w14:paraId="5B66469C" w14:textId="77777777" w:rsidR="008228DB" w:rsidRPr="001330E4" w:rsidRDefault="008228DB" w:rsidP="00D54DD6">
      <w:pPr>
        <w:spacing w:line="480" w:lineRule="auto"/>
        <w:ind w:firstLineChars="100" w:firstLine="240"/>
        <w:jc w:val="both"/>
        <w:rPr>
          <w:rFonts w:ascii="Times New Roman" w:hAnsi="Times New Roman" w:cs="Times New Roman"/>
          <w:sz w:val="24"/>
        </w:rPr>
      </w:pPr>
    </w:p>
    <w:p w14:paraId="7DAFB3F9" w14:textId="77777777" w:rsidR="008228DB" w:rsidRPr="001330E4" w:rsidRDefault="008228DB" w:rsidP="00D54DD6">
      <w:pPr>
        <w:pStyle w:val="a"/>
        <w:wordWrap/>
        <w:spacing w:line="48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1330E4">
        <w:rPr>
          <w:rFonts w:ascii="Times New Roman" w:hAnsi="Times New Roman" w:cs="Times New Roman" w:hint="eastAsia"/>
          <w:b/>
          <w:bCs/>
          <w:color w:val="auto"/>
          <w:sz w:val="24"/>
          <w:szCs w:val="24"/>
        </w:rPr>
        <w:t>4.</w:t>
      </w:r>
      <w:r w:rsidRPr="001330E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Measurable residual disease panel for B-cell acute lymphoblastic leukemia</w:t>
      </w:r>
    </w:p>
    <w:p w14:paraId="58984779" w14:textId="77777777" w:rsidR="008228DB" w:rsidRPr="001330E4" w:rsidRDefault="008228DB" w:rsidP="005865BB">
      <w:pPr>
        <w:pStyle w:val="a"/>
        <w:wordWrap/>
        <w:spacing w:line="480" w:lineRule="auto"/>
        <w:ind w:firstLineChars="50" w:firstLine="120"/>
        <w:rPr>
          <w:rFonts w:ascii="Times New Roman" w:hAnsi="Times New Roman" w:cs="Times New Roman"/>
          <w:color w:val="auto"/>
          <w:sz w:val="24"/>
          <w:szCs w:val="24"/>
        </w:rPr>
      </w:pPr>
      <w:r w:rsidRPr="001330E4">
        <w:rPr>
          <w:rFonts w:ascii="Times New Roman" w:hAnsi="Times New Roman" w:cs="Times New Roman"/>
          <w:color w:val="auto"/>
          <w:sz w:val="24"/>
          <w:szCs w:val="24"/>
        </w:rPr>
        <w:t>In the B-MRD panel, CD19-positive populations were gated before applying DR algorithms</w:t>
      </w:r>
      <w:r w:rsidRPr="001330E4">
        <w:rPr>
          <w:rFonts w:ascii="Times New Roman" w:hAnsi="Times New Roman" w:cs="Times New Roman" w:hint="eastAsia"/>
          <w:color w:val="auto"/>
          <w:sz w:val="24"/>
          <w:szCs w:val="24"/>
        </w:rPr>
        <w:t xml:space="preserve"> (Supplementary Figure 4)</w:t>
      </w:r>
      <w:r w:rsidRPr="001330E4">
        <w:rPr>
          <w:rFonts w:ascii="Times New Roman" w:hAnsi="Times New Roman" w:cs="Times New Roman"/>
          <w:color w:val="auto"/>
          <w:sz w:val="24"/>
          <w:szCs w:val="24"/>
        </w:rPr>
        <w:t>. After applying the DR algorithms, clusters positive for CD10, also known as common acute lymphoblastic leukemia antigen (CALLA)</w:t>
      </w:r>
      <w:r w:rsidRPr="001330E4">
        <w:rPr>
          <w:rFonts w:ascii="Times New Roman" w:hAnsi="Times New Roman" w:cs="Times New Roman" w:hint="eastAsia"/>
          <w:color w:val="auto"/>
          <w:sz w:val="24"/>
          <w:szCs w:val="24"/>
        </w:rPr>
        <w:t xml:space="preserve"> and/or CD34</w:t>
      </w:r>
      <w:r w:rsidRPr="001330E4">
        <w:rPr>
          <w:rFonts w:ascii="Times New Roman" w:hAnsi="Times New Roman" w:cs="Times New Roman"/>
          <w:color w:val="auto"/>
          <w:sz w:val="24"/>
          <w:szCs w:val="24"/>
        </w:rPr>
        <w:t xml:space="preserve"> were identified as target clusters in the DR dot plot heatmap. The identified CD19+, CD10+ clusters were assessed for MRD if they exhibited one or more aberrant phenotypes, based on the </w:t>
      </w:r>
      <w:proofErr w:type="spellStart"/>
      <w:r w:rsidRPr="001330E4">
        <w:rPr>
          <w:rFonts w:ascii="Times New Roman" w:hAnsi="Times New Roman" w:cs="Times New Roman"/>
          <w:color w:val="auto"/>
          <w:sz w:val="24"/>
          <w:szCs w:val="24"/>
        </w:rPr>
        <w:t>EuroFlow</w:t>
      </w:r>
      <w:proofErr w:type="spellEnd"/>
      <w:r w:rsidRPr="001330E4">
        <w:rPr>
          <w:rFonts w:ascii="Times New Roman" w:hAnsi="Times New Roman" w:cs="Times New Roman"/>
          <w:color w:val="auto"/>
          <w:sz w:val="24"/>
          <w:szCs w:val="24"/>
        </w:rPr>
        <w:t xml:space="preserve"> guidelines and studies of leukemia-associated immunophenotypes </w:t>
      </w:r>
      <w:r w:rsidRPr="001330E4">
        <w:rPr>
          <w:rFonts w:ascii="Times New Roman" w:hAnsi="Times New Roman" w:cs="Times New Roman"/>
          <w:noProof/>
          <w:color w:val="auto"/>
          <w:sz w:val="24"/>
          <w:szCs w:val="24"/>
        </w:rPr>
        <w:t>[3-5]</w:t>
      </w:r>
      <w:r w:rsidRPr="001330E4">
        <w:rPr>
          <w:rFonts w:ascii="Times New Roman" w:hAnsi="Times New Roman" w:cs="Times New Roman" w:hint="eastAsia"/>
          <w:color w:val="auto"/>
          <w:sz w:val="24"/>
          <w:szCs w:val="24"/>
        </w:rPr>
        <w:t xml:space="preserve">. </w:t>
      </w:r>
      <w:r w:rsidRPr="001330E4">
        <w:rPr>
          <w:rFonts w:ascii="Times New Roman" w:hAnsi="Times New Roman" w:cs="Times New Roman"/>
          <w:color w:val="auto"/>
          <w:sz w:val="24"/>
          <w:szCs w:val="24"/>
        </w:rPr>
        <w:t xml:space="preserve">MRD positivity was determined based on </w:t>
      </w:r>
      <w:r w:rsidRPr="001330E4">
        <w:rPr>
          <w:rFonts w:ascii="Times New Roman" w:hAnsi="Times New Roman" w:cs="Times New Roman" w:hint="eastAsia"/>
          <w:color w:val="auto"/>
          <w:sz w:val="24"/>
          <w:szCs w:val="24"/>
        </w:rPr>
        <w:t>a lower limit of detection (</w:t>
      </w:r>
      <w:r w:rsidRPr="001330E4">
        <w:rPr>
          <w:rFonts w:ascii="Times New Roman" w:hAnsi="Times New Roman" w:cs="Times New Roman"/>
          <w:color w:val="auto"/>
          <w:sz w:val="24"/>
          <w:szCs w:val="24"/>
        </w:rPr>
        <w:t>L</w:t>
      </w:r>
      <w:r w:rsidRPr="001330E4">
        <w:rPr>
          <w:rFonts w:ascii="Times New Roman" w:hAnsi="Times New Roman" w:cs="Times New Roman" w:hint="eastAsia"/>
          <w:color w:val="auto"/>
          <w:sz w:val="24"/>
          <w:szCs w:val="24"/>
        </w:rPr>
        <w:t>OD)</w:t>
      </w:r>
      <w:r w:rsidRPr="001330E4">
        <w:rPr>
          <w:rFonts w:ascii="Times New Roman" w:hAnsi="Times New Roman" w:cs="Times New Roman"/>
          <w:color w:val="auto"/>
          <w:sz w:val="24"/>
          <w:szCs w:val="24"/>
        </w:rPr>
        <w:t xml:space="preserve"> of 20 MRD events. However, cases with 10–20 MRD events were also considered MRD-positive if they demonstrated clear clustering in both the DR plot and the CD45/SSC-A plot.</w:t>
      </w:r>
      <w:r w:rsidRPr="001330E4">
        <w:rPr>
          <w:rFonts w:ascii="Times New Roman" w:hAnsi="Times New Roman" w:cs="Times New Roman" w:hint="eastAsia"/>
          <w:color w:val="auto"/>
          <w:sz w:val="24"/>
          <w:szCs w:val="24"/>
        </w:rPr>
        <w:t xml:space="preserve"> </w:t>
      </w:r>
      <w:r w:rsidRPr="001330E4">
        <w:rPr>
          <w:rFonts w:ascii="Times New Roman" w:hAnsi="Times New Roman" w:cs="Times New Roman"/>
          <w:color w:val="auto"/>
          <w:sz w:val="24"/>
          <w:szCs w:val="24"/>
        </w:rPr>
        <w:t>The MRD percentage was calculated by dividing the number of MRD events by the total number of acquired events after excluding debris</w:t>
      </w:r>
      <w:r w:rsidRPr="001330E4">
        <w:rPr>
          <w:rFonts w:ascii="Times New Roman" w:hAnsi="Times New Roman" w:cs="Times New Roman" w:hint="eastAsia"/>
          <w:color w:val="auto"/>
          <w:sz w:val="24"/>
          <w:szCs w:val="24"/>
        </w:rPr>
        <w:t xml:space="preserve"> and doublets</w:t>
      </w:r>
      <w:r w:rsidRPr="001330E4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64FADC13" w14:textId="77777777" w:rsidR="008228DB" w:rsidRPr="001330E4" w:rsidRDefault="008228DB" w:rsidP="00D54DD6">
      <w:pPr>
        <w:pStyle w:val="a"/>
        <w:wordWrap/>
        <w:spacing w:line="480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06D9AD0E" w14:textId="77777777" w:rsidR="008228DB" w:rsidRPr="001330E4" w:rsidRDefault="008228DB" w:rsidP="00D54DD6">
      <w:pPr>
        <w:pStyle w:val="a"/>
        <w:wordWrap/>
        <w:spacing w:line="48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1330E4">
        <w:rPr>
          <w:rFonts w:ascii="Times New Roman" w:hAnsi="Times New Roman" w:cs="Times New Roman" w:hint="eastAsia"/>
          <w:b/>
          <w:bCs/>
          <w:color w:val="auto"/>
          <w:sz w:val="24"/>
          <w:szCs w:val="24"/>
        </w:rPr>
        <w:t>5.</w:t>
      </w:r>
      <w:r w:rsidRPr="001330E4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Measurable residual disease panel for multiple myeloma</w:t>
      </w:r>
    </w:p>
    <w:p w14:paraId="67D0B7FE" w14:textId="77777777" w:rsidR="008228DB" w:rsidRPr="001330E4" w:rsidRDefault="008228DB" w:rsidP="005865BB">
      <w:pPr>
        <w:pStyle w:val="a"/>
        <w:spacing w:line="480" w:lineRule="auto"/>
        <w:ind w:firstLineChars="50" w:firstLine="120"/>
        <w:rPr>
          <w:rFonts w:ascii="Times New Roman" w:hAnsi="Times New Roman" w:cs="Times New Roman"/>
          <w:color w:val="auto"/>
          <w:sz w:val="24"/>
          <w:szCs w:val="24"/>
        </w:rPr>
      </w:pPr>
      <w:r w:rsidRPr="001330E4">
        <w:rPr>
          <w:rFonts w:ascii="Times New Roman" w:hAnsi="Times New Roman" w:cs="Times New Roman"/>
          <w:color w:val="auto"/>
          <w:sz w:val="24"/>
          <w:szCs w:val="24"/>
        </w:rPr>
        <w:t>In the MM-MRD panel, CD138-positive populations were gated before applying the DR algorithms</w:t>
      </w:r>
      <w:r w:rsidRPr="001330E4">
        <w:rPr>
          <w:rFonts w:ascii="Times New Roman" w:hAnsi="Times New Roman" w:cs="Times New Roman" w:hint="eastAsia"/>
          <w:color w:val="auto"/>
          <w:sz w:val="24"/>
          <w:szCs w:val="24"/>
        </w:rPr>
        <w:t xml:space="preserve"> (Supplementary Figure 5)</w:t>
      </w:r>
      <w:r w:rsidRPr="001330E4">
        <w:rPr>
          <w:rFonts w:ascii="Times New Roman" w:hAnsi="Times New Roman" w:cs="Times New Roman"/>
          <w:color w:val="auto"/>
          <w:sz w:val="24"/>
          <w:szCs w:val="24"/>
        </w:rPr>
        <w:t xml:space="preserve">. After applying the DR algorithms, clusters positive for </w:t>
      </w:r>
      <w:r w:rsidRPr="001330E4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CD38 were identified as target clusters in the DR dot plot heatmap. In addition to the expression of aberrant immunophenotypes in CD19 and/or CD56 markers in plasma cells, </w:t>
      </w:r>
      <w:proofErr w:type="spellStart"/>
      <w:r w:rsidRPr="001330E4">
        <w:rPr>
          <w:rFonts w:ascii="Times New Roman" w:hAnsi="Times New Roman" w:cs="Times New Roman"/>
          <w:color w:val="auto"/>
          <w:sz w:val="24"/>
          <w:szCs w:val="24"/>
        </w:rPr>
        <w:t>cKappa</w:t>
      </w:r>
      <w:proofErr w:type="spellEnd"/>
      <w:r w:rsidRPr="001330E4">
        <w:rPr>
          <w:rFonts w:ascii="Times New Roman" w:hAnsi="Times New Roman" w:cs="Times New Roman"/>
          <w:color w:val="auto"/>
          <w:sz w:val="24"/>
          <w:szCs w:val="24"/>
        </w:rPr>
        <w:t xml:space="preserve"> and </w:t>
      </w:r>
      <w:proofErr w:type="spellStart"/>
      <w:r w:rsidRPr="001330E4">
        <w:rPr>
          <w:rFonts w:ascii="Times New Roman" w:hAnsi="Times New Roman" w:cs="Times New Roman"/>
          <w:color w:val="auto"/>
          <w:sz w:val="24"/>
          <w:szCs w:val="24"/>
        </w:rPr>
        <w:t>cLambda</w:t>
      </w:r>
      <w:proofErr w:type="spellEnd"/>
      <w:r w:rsidRPr="001330E4">
        <w:rPr>
          <w:rFonts w:ascii="Times New Roman" w:hAnsi="Times New Roman" w:cs="Times New Roman"/>
          <w:color w:val="auto"/>
          <w:sz w:val="24"/>
          <w:szCs w:val="24"/>
        </w:rPr>
        <w:t xml:space="preserve"> expression</w:t>
      </w:r>
      <w:r w:rsidRPr="001330E4">
        <w:rPr>
          <w:rFonts w:ascii="Times New Roman" w:hAnsi="Times New Roman" w:cs="Times New Roman" w:hint="eastAsia"/>
          <w:color w:val="auto"/>
          <w:sz w:val="24"/>
          <w:szCs w:val="24"/>
        </w:rPr>
        <w:t xml:space="preserve"> </w:t>
      </w:r>
      <w:r w:rsidRPr="001330E4">
        <w:rPr>
          <w:rFonts w:ascii="Times New Roman" w:hAnsi="Times New Roman" w:cs="Times New Roman"/>
          <w:color w:val="auto"/>
          <w:sz w:val="24"/>
          <w:szCs w:val="24"/>
        </w:rPr>
        <w:t xml:space="preserve">was evaluated to determine clonality, with a </w:t>
      </w:r>
      <w:proofErr w:type="spellStart"/>
      <w:r w:rsidRPr="001330E4">
        <w:rPr>
          <w:rFonts w:ascii="Times New Roman" w:hAnsi="Times New Roman" w:cs="Times New Roman"/>
          <w:color w:val="auto"/>
          <w:sz w:val="24"/>
          <w:szCs w:val="24"/>
        </w:rPr>
        <w:t>cKappa</w:t>
      </w:r>
      <w:proofErr w:type="spellEnd"/>
      <w:r w:rsidRPr="001330E4">
        <w:rPr>
          <w:rFonts w:ascii="Times New Roman" w:hAnsi="Times New Roman" w:cs="Times New Roman"/>
          <w:color w:val="auto"/>
          <w:sz w:val="24"/>
          <w:szCs w:val="24"/>
        </w:rPr>
        <w:t>/</w:t>
      </w:r>
      <w:proofErr w:type="spellStart"/>
      <w:r w:rsidRPr="001330E4">
        <w:rPr>
          <w:rFonts w:ascii="Times New Roman" w:hAnsi="Times New Roman" w:cs="Times New Roman"/>
          <w:color w:val="auto"/>
          <w:sz w:val="24"/>
          <w:szCs w:val="24"/>
        </w:rPr>
        <w:t>cLambda</w:t>
      </w:r>
      <w:proofErr w:type="spellEnd"/>
      <w:r w:rsidRPr="001330E4">
        <w:rPr>
          <w:rFonts w:ascii="Times New Roman" w:hAnsi="Times New Roman" w:cs="Times New Roman"/>
          <w:color w:val="auto"/>
          <w:sz w:val="24"/>
          <w:szCs w:val="24"/>
        </w:rPr>
        <w:t xml:space="preserve"> ratio of ≥ 9 or ≤ </w:t>
      </w:r>
      <w:r w:rsidRPr="001330E4">
        <w:rPr>
          <w:rFonts w:ascii="Times New Roman" w:hAnsi="Times New Roman" w:cs="Times New Roman" w:hint="eastAsia"/>
          <w:color w:val="auto"/>
          <w:sz w:val="24"/>
          <w:szCs w:val="24"/>
        </w:rPr>
        <w:t>0.14</w:t>
      </w:r>
      <w:r w:rsidRPr="001330E4">
        <w:rPr>
          <w:rFonts w:ascii="Times New Roman" w:hAnsi="Times New Roman" w:cs="Times New Roman"/>
          <w:color w:val="auto"/>
          <w:sz w:val="24"/>
          <w:szCs w:val="24"/>
        </w:rPr>
        <w:t xml:space="preserve"> indicating clonality.</w:t>
      </w:r>
      <w:r w:rsidRPr="001330E4">
        <w:rPr>
          <w:rFonts w:ascii="Times New Roman" w:hAnsi="Times New Roman" w:cs="Times New Roman" w:hint="eastAsia"/>
          <w:color w:val="auto"/>
          <w:sz w:val="24"/>
          <w:szCs w:val="24"/>
        </w:rPr>
        <w:t xml:space="preserve"> </w:t>
      </w:r>
      <w:r w:rsidRPr="001330E4">
        <w:rPr>
          <w:rFonts w:ascii="Times New Roman" w:hAnsi="Times New Roman" w:cs="Times New Roman"/>
          <w:color w:val="auto"/>
          <w:sz w:val="24"/>
          <w:szCs w:val="24"/>
        </w:rPr>
        <w:t xml:space="preserve">MRD positivity was determined based on </w:t>
      </w:r>
      <w:r w:rsidRPr="001330E4">
        <w:rPr>
          <w:rFonts w:ascii="Times New Roman" w:hAnsi="Times New Roman" w:cs="Times New Roman" w:hint="eastAsia"/>
          <w:color w:val="auto"/>
          <w:sz w:val="24"/>
          <w:szCs w:val="24"/>
        </w:rPr>
        <w:t xml:space="preserve">a </w:t>
      </w:r>
      <w:r w:rsidRPr="001330E4">
        <w:rPr>
          <w:rFonts w:ascii="Times New Roman" w:hAnsi="Times New Roman" w:cs="Times New Roman"/>
          <w:color w:val="auto"/>
          <w:sz w:val="24"/>
          <w:szCs w:val="24"/>
        </w:rPr>
        <w:t>L</w:t>
      </w:r>
      <w:r w:rsidRPr="001330E4">
        <w:rPr>
          <w:rFonts w:ascii="Times New Roman" w:hAnsi="Times New Roman" w:cs="Times New Roman" w:hint="eastAsia"/>
          <w:color w:val="auto"/>
          <w:sz w:val="24"/>
          <w:szCs w:val="24"/>
        </w:rPr>
        <w:t>OD</w:t>
      </w:r>
      <w:r w:rsidRPr="001330E4">
        <w:rPr>
          <w:rFonts w:ascii="Times New Roman" w:hAnsi="Times New Roman" w:cs="Times New Roman"/>
          <w:color w:val="auto"/>
          <w:sz w:val="24"/>
          <w:szCs w:val="24"/>
        </w:rPr>
        <w:t xml:space="preserve"> of 20 MRD events. However, cases with 10–20 MRD events were also considered MRD-positive if they demonstrated clear clustering in both the DR plot and the CD45/SSC-A plot.</w:t>
      </w:r>
      <w:r w:rsidRPr="001330E4">
        <w:rPr>
          <w:rFonts w:asciiTheme="minorHAnsi" w:eastAsiaTheme="minorEastAsia" w:hAnsiTheme="minorHAnsi" w:cstheme="minorBidi"/>
          <w:color w:val="auto"/>
          <w:kern w:val="2"/>
          <w:sz w:val="22"/>
          <w:szCs w:val="24"/>
          <w14:ligatures w14:val="standardContextual"/>
        </w:rPr>
        <w:t xml:space="preserve"> </w:t>
      </w:r>
      <w:r w:rsidRPr="001330E4">
        <w:rPr>
          <w:rFonts w:ascii="Times New Roman" w:hAnsi="Times New Roman" w:cs="Times New Roman"/>
          <w:color w:val="auto"/>
          <w:sz w:val="24"/>
          <w:szCs w:val="24"/>
        </w:rPr>
        <w:t>The MRD percentage was calculated by dividing the number of MRD events by the total number of acquired events after excluding debris</w:t>
      </w:r>
      <w:r w:rsidRPr="001330E4">
        <w:rPr>
          <w:rFonts w:ascii="Times New Roman" w:hAnsi="Times New Roman" w:cs="Times New Roman" w:hint="eastAsia"/>
          <w:color w:val="auto"/>
          <w:sz w:val="24"/>
          <w:szCs w:val="24"/>
        </w:rPr>
        <w:t xml:space="preserve"> and doublets</w:t>
      </w:r>
      <w:r w:rsidRPr="001330E4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14:paraId="4D2F772B" w14:textId="77777777" w:rsidR="008228DB" w:rsidRPr="001330E4" w:rsidRDefault="008228DB">
      <w:pPr>
        <w:widowControl/>
        <w:wordWrap/>
        <w:autoSpaceDE/>
        <w:autoSpaceDN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/>
          <w:sz w:val="24"/>
        </w:rPr>
        <w:br w:type="page"/>
      </w:r>
    </w:p>
    <w:p w14:paraId="30FB9C0A" w14:textId="77777777" w:rsidR="008228DB" w:rsidRPr="001330E4" w:rsidRDefault="008228DB" w:rsidP="00D54DD6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 w:hint="eastAsia"/>
          <w:b/>
          <w:bCs/>
          <w:sz w:val="24"/>
        </w:rPr>
        <w:lastRenderedPageBreak/>
        <w:t>Supplementary Figure 1.</w:t>
      </w:r>
      <w:r w:rsidRPr="001330E4">
        <w:rPr>
          <w:rFonts w:ascii="Times New Roman" w:hAnsi="Times New Roman" w:cs="Times New Roman" w:hint="eastAsia"/>
          <w:sz w:val="24"/>
        </w:rPr>
        <w:t xml:space="preserve"> </w:t>
      </w:r>
      <w:r w:rsidRPr="001330E4">
        <w:rPr>
          <w:rFonts w:ascii="Times New Roman" w:hAnsi="Times New Roman" w:cs="Times New Roman"/>
          <w:sz w:val="24"/>
        </w:rPr>
        <w:t xml:space="preserve">Example of DR-based gating for </w:t>
      </w:r>
      <w:r w:rsidRPr="001330E4">
        <w:rPr>
          <w:rFonts w:ascii="Times New Roman" w:hAnsi="Times New Roman" w:cs="Times New Roman" w:hint="eastAsia"/>
          <w:sz w:val="24"/>
        </w:rPr>
        <w:t>ALOT</w:t>
      </w:r>
      <w:r w:rsidRPr="001330E4">
        <w:rPr>
          <w:rFonts w:ascii="Times New Roman" w:hAnsi="Times New Roman" w:cs="Times New Roman"/>
          <w:sz w:val="24"/>
        </w:rPr>
        <w:t xml:space="preserve"> panel. The target cluster gated in the DR plot is represented as the red population in the CD45/SSC-A plot.</w:t>
      </w:r>
    </w:p>
    <w:p w14:paraId="3F9E094B" w14:textId="77777777" w:rsidR="008228DB" w:rsidRPr="001330E4" w:rsidRDefault="008228DB" w:rsidP="00D54DD6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3676033" wp14:editId="2FE23203">
            <wp:extent cx="5731200" cy="6002996"/>
            <wp:effectExtent l="0" t="0" r="3175" b="0"/>
            <wp:docPr id="1552654780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6002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D75E09" w14:textId="77777777" w:rsidR="008228DB" w:rsidRPr="001330E4" w:rsidRDefault="008228DB">
      <w:pPr>
        <w:widowControl/>
        <w:wordWrap/>
        <w:autoSpaceDE/>
        <w:autoSpaceDN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/>
          <w:sz w:val="24"/>
        </w:rPr>
        <w:br w:type="page"/>
      </w:r>
    </w:p>
    <w:p w14:paraId="5D3F464D" w14:textId="77777777" w:rsidR="008228DB" w:rsidRPr="001330E4" w:rsidRDefault="008228DB" w:rsidP="00D54DD6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 w:hint="eastAsia"/>
          <w:b/>
          <w:bCs/>
          <w:sz w:val="24"/>
        </w:rPr>
        <w:lastRenderedPageBreak/>
        <w:t>Supplementary Figure 2.</w:t>
      </w:r>
      <w:r w:rsidRPr="001330E4">
        <w:rPr>
          <w:rFonts w:ascii="Times New Roman" w:hAnsi="Times New Roman" w:cs="Times New Roman" w:hint="eastAsia"/>
          <w:sz w:val="24"/>
        </w:rPr>
        <w:t xml:space="preserve"> </w:t>
      </w:r>
      <w:r w:rsidRPr="001330E4">
        <w:rPr>
          <w:rFonts w:ascii="Times New Roman" w:hAnsi="Times New Roman" w:cs="Times New Roman"/>
          <w:sz w:val="24"/>
        </w:rPr>
        <w:t xml:space="preserve">Example of </w:t>
      </w:r>
      <w:r w:rsidRPr="001330E4">
        <w:rPr>
          <w:rFonts w:ascii="Times New Roman" w:hAnsi="Times New Roman" w:cs="Times New Roman" w:hint="eastAsia"/>
          <w:sz w:val="24"/>
        </w:rPr>
        <w:t>DR-based gating for BCL panel</w:t>
      </w:r>
      <w:r w:rsidRPr="001330E4">
        <w:rPr>
          <w:rFonts w:ascii="Times New Roman" w:hAnsi="Times New Roman" w:cs="Times New Roman"/>
          <w:sz w:val="24"/>
        </w:rPr>
        <w:t>. The target cluster gated in the DR plot is represented as the red population in the CD45/SSC-A plot.</w:t>
      </w:r>
    </w:p>
    <w:p w14:paraId="5F78D94E" w14:textId="77777777" w:rsidR="008228DB" w:rsidRPr="001330E4" w:rsidRDefault="008228DB" w:rsidP="00D54DD6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13A55A62" wp14:editId="49892B68">
            <wp:extent cx="5731200" cy="5370027"/>
            <wp:effectExtent l="0" t="0" r="3175" b="2540"/>
            <wp:docPr id="267555757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53700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355D4D" w14:textId="77777777" w:rsidR="008228DB" w:rsidRPr="001330E4" w:rsidRDefault="008228DB" w:rsidP="00D54DD6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2C493641" w14:textId="77777777" w:rsidR="008228DB" w:rsidRPr="001330E4" w:rsidRDefault="008228DB">
      <w:pPr>
        <w:widowControl/>
        <w:wordWrap/>
        <w:autoSpaceDE/>
        <w:autoSpaceDN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/>
          <w:sz w:val="24"/>
        </w:rPr>
        <w:br w:type="page"/>
      </w:r>
    </w:p>
    <w:p w14:paraId="0FB328F1" w14:textId="77777777" w:rsidR="008228DB" w:rsidRPr="001330E4" w:rsidRDefault="008228DB" w:rsidP="00D54DD6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 w:hint="eastAsia"/>
          <w:b/>
          <w:bCs/>
          <w:sz w:val="24"/>
        </w:rPr>
        <w:lastRenderedPageBreak/>
        <w:t>Supplementary Figure 3.</w:t>
      </w:r>
      <w:r w:rsidRPr="001330E4">
        <w:rPr>
          <w:rFonts w:ascii="Times New Roman" w:hAnsi="Times New Roman" w:cs="Times New Roman" w:hint="eastAsia"/>
          <w:sz w:val="24"/>
        </w:rPr>
        <w:t xml:space="preserve"> </w:t>
      </w:r>
      <w:r w:rsidRPr="001330E4">
        <w:rPr>
          <w:rFonts w:ascii="Times New Roman" w:hAnsi="Times New Roman" w:cs="Times New Roman"/>
          <w:sz w:val="24"/>
        </w:rPr>
        <w:t xml:space="preserve">Example of </w:t>
      </w:r>
      <w:r w:rsidRPr="001330E4">
        <w:rPr>
          <w:rFonts w:ascii="Times New Roman" w:hAnsi="Times New Roman" w:cs="Times New Roman" w:hint="eastAsia"/>
          <w:sz w:val="24"/>
        </w:rPr>
        <w:t>DR-based gating for MM panel</w:t>
      </w:r>
      <w:r w:rsidRPr="001330E4">
        <w:rPr>
          <w:rFonts w:ascii="Times New Roman" w:hAnsi="Times New Roman" w:cs="Times New Roman"/>
          <w:sz w:val="24"/>
        </w:rPr>
        <w:t>. The target cluster gated in the DR plot is represented as the red population in the CD45/SSC-A plot.</w:t>
      </w:r>
    </w:p>
    <w:p w14:paraId="67366A68" w14:textId="77777777" w:rsidR="008228DB" w:rsidRPr="001330E4" w:rsidRDefault="008228DB" w:rsidP="00D54DD6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E530B66" wp14:editId="42E920FF">
            <wp:extent cx="5731200" cy="5627747"/>
            <wp:effectExtent l="0" t="0" r="3175" b="0"/>
            <wp:docPr id="1597899221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5627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9D1536" w14:textId="77777777" w:rsidR="008228DB" w:rsidRPr="001330E4" w:rsidRDefault="008228DB" w:rsidP="00D54DD6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7E439500" w14:textId="77777777" w:rsidR="008228DB" w:rsidRPr="001330E4" w:rsidRDefault="008228DB">
      <w:pPr>
        <w:widowControl/>
        <w:wordWrap/>
        <w:autoSpaceDE/>
        <w:autoSpaceDN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/>
          <w:sz w:val="24"/>
        </w:rPr>
        <w:br w:type="page"/>
      </w:r>
    </w:p>
    <w:p w14:paraId="01B81FC8" w14:textId="77777777" w:rsidR="008228DB" w:rsidRPr="001330E4" w:rsidRDefault="008228DB" w:rsidP="00D54DD6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 w:hint="eastAsia"/>
          <w:b/>
          <w:bCs/>
          <w:sz w:val="24"/>
        </w:rPr>
        <w:lastRenderedPageBreak/>
        <w:t>Supplementary Figure 4.</w:t>
      </w:r>
      <w:r w:rsidRPr="001330E4">
        <w:rPr>
          <w:rFonts w:ascii="Times New Roman" w:hAnsi="Times New Roman" w:cs="Times New Roman" w:hint="eastAsia"/>
          <w:sz w:val="24"/>
        </w:rPr>
        <w:t xml:space="preserve"> </w:t>
      </w:r>
      <w:r w:rsidRPr="001330E4">
        <w:rPr>
          <w:rFonts w:ascii="Times New Roman" w:hAnsi="Times New Roman" w:cs="Times New Roman"/>
          <w:sz w:val="24"/>
        </w:rPr>
        <w:t>Example of DR-based gating for B-MRD panel with primary-gating strategy. The target cluster gated in the DR plot is represented as the red population in the CD45/SSC-A plot.</w:t>
      </w:r>
    </w:p>
    <w:p w14:paraId="0FA7FC06" w14:textId="77777777" w:rsidR="008228DB" w:rsidRPr="001330E4" w:rsidRDefault="008228DB" w:rsidP="00D54DD6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4A3A16B" wp14:editId="147443FD">
            <wp:extent cx="5731200" cy="4445854"/>
            <wp:effectExtent l="0" t="0" r="3175" b="0"/>
            <wp:docPr id="192404174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4445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7C26C8" w14:textId="77777777" w:rsidR="008228DB" w:rsidRPr="001330E4" w:rsidRDefault="008228DB" w:rsidP="00D54DD6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47E8A4C4" w14:textId="77777777" w:rsidR="008228DB" w:rsidRPr="001330E4" w:rsidRDefault="008228DB">
      <w:pPr>
        <w:widowControl/>
        <w:wordWrap/>
        <w:autoSpaceDE/>
        <w:autoSpaceDN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/>
          <w:sz w:val="24"/>
        </w:rPr>
        <w:br w:type="page"/>
      </w:r>
    </w:p>
    <w:p w14:paraId="4305D270" w14:textId="77777777" w:rsidR="008228DB" w:rsidRPr="001330E4" w:rsidRDefault="008228DB" w:rsidP="00D54DD6">
      <w:pPr>
        <w:spacing w:line="480" w:lineRule="auto"/>
        <w:jc w:val="both"/>
        <w:rPr>
          <w:rFonts w:ascii="Times New Roman" w:hAnsi="Times New Roman" w:cs="Times New Roman"/>
          <w:szCs w:val="22"/>
        </w:rPr>
      </w:pPr>
      <w:r w:rsidRPr="001330E4">
        <w:rPr>
          <w:rFonts w:ascii="Times New Roman" w:hAnsi="Times New Roman" w:cs="Times New Roman" w:hint="eastAsia"/>
          <w:b/>
          <w:bCs/>
          <w:sz w:val="24"/>
        </w:rPr>
        <w:lastRenderedPageBreak/>
        <w:t>Supplementary Figure 5.</w:t>
      </w:r>
      <w:r w:rsidRPr="001330E4">
        <w:rPr>
          <w:rFonts w:ascii="Times New Roman" w:hAnsi="Times New Roman" w:cs="Times New Roman" w:hint="eastAsia"/>
          <w:sz w:val="24"/>
        </w:rPr>
        <w:t xml:space="preserve"> </w:t>
      </w:r>
      <w:r w:rsidRPr="001330E4">
        <w:rPr>
          <w:rFonts w:ascii="Times New Roman" w:hAnsi="Times New Roman" w:cs="Times New Roman"/>
          <w:szCs w:val="22"/>
        </w:rPr>
        <w:t xml:space="preserve">Example of </w:t>
      </w:r>
      <w:r w:rsidRPr="001330E4">
        <w:rPr>
          <w:rFonts w:ascii="Times New Roman" w:hAnsi="Times New Roman" w:cs="Times New Roman" w:hint="eastAsia"/>
          <w:szCs w:val="22"/>
        </w:rPr>
        <w:t xml:space="preserve">DR-based gating for </w:t>
      </w:r>
      <w:r w:rsidRPr="001330E4">
        <w:rPr>
          <w:rFonts w:ascii="Times New Roman" w:hAnsi="Times New Roman" w:cs="Times New Roman"/>
          <w:szCs w:val="22"/>
        </w:rPr>
        <w:t>MM-MRD</w:t>
      </w:r>
      <w:r w:rsidRPr="001330E4">
        <w:rPr>
          <w:rFonts w:ascii="Times New Roman" w:hAnsi="Times New Roman" w:cs="Times New Roman" w:hint="eastAsia"/>
          <w:szCs w:val="22"/>
        </w:rPr>
        <w:t xml:space="preserve"> panel</w:t>
      </w:r>
      <w:r w:rsidRPr="001330E4">
        <w:rPr>
          <w:rFonts w:ascii="Times New Roman" w:hAnsi="Times New Roman" w:cs="Times New Roman"/>
          <w:szCs w:val="22"/>
        </w:rPr>
        <w:t xml:space="preserve"> with primary-gating strategy. The target cluster gated in the DR plot is represented as the red population in the CD45/SSC-A plot.</w:t>
      </w:r>
    </w:p>
    <w:p w14:paraId="5166E75B" w14:textId="77777777" w:rsidR="008228DB" w:rsidRPr="001330E4" w:rsidRDefault="008228DB" w:rsidP="00D54DD6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B610AA4" wp14:editId="64E2053A">
            <wp:extent cx="5731200" cy="4175437"/>
            <wp:effectExtent l="0" t="0" r="3175" b="0"/>
            <wp:docPr id="1665886164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41754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C671A3" w14:textId="77777777" w:rsidR="008228DB" w:rsidRPr="001330E4" w:rsidRDefault="008228DB">
      <w:pPr>
        <w:widowControl/>
        <w:wordWrap/>
        <w:autoSpaceDE/>
        <w:autoSpaceDN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/>
          <w:sz w:val="24"/>
        </w:rPr>
        <w:br w:type="page"/>
      </w:r>
    </w:p>
    <w:p w14:paraId="1F02636B" w14:textId="77777777" w:rsidR="008228DB" w:rsidRPr="001330E4" w:rsidRDefault="008228DB" w:rsidP="00D54DD6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 w:hint="eastAsia"/>
          <w:b/>
          <w:bCs/>
          <w:sz w:val="24"/>
        </w:rPr>
        <w:lastRenderedPageBreak/>
        <w:t>Supplementary Figure 6</w:t>
      </w:r>
      <w:r w:rsidRPr="001330E4">
        <w:rPr>
          <w:rFonts w:ascii="Times New Roman" w:hAnsi="Times New Roman" w:cs="Times New Roman" w:hint="eastAsia"/>
          <w:sz w:val="24"/>
        </w:rPr>
        <w:t xml:space="preserve">. </w:t>
      </w:r>
      <w:r w:rsidRPr="001330E4">
        <w:rPr>
          <w:rFonts w:ascii="Times New Roman" w:hAnsi="Times New Roman" w:cs="Times New Roman"/>
          <w:sz w:val="24"/>
        </w:rPr>
        <w:t xml:space="preserve">Discrepant case between manual gating and DR-based gating in the </w:t>
      </w:r>
      <w:r w:rsidRPr="001330E4">
        <w:rPr>
          <w:rFonts w:ascii="Times New Roman" w:hAnsi="Times New Roman" w:cs="Times New Roman" w:hint="eastAsia"/>
          <w:sz w:val="24"/>
        </w:rPr>
        <w:t>BCL</w:t>
      </w:r>
      <w:r w:rsidRPr="001330E4">
        <w:rPr>
          <w:rFonts w:ascii="Times New Roman" w:hAnsi="Times New Roman" w:cs="Times New Roman"/>
          <w:sz w:val="24"/>
        </w:rPr>
        <w:t xml:space="preserve"> panel – identified only through DR-based gating.</w:t>
      </w:r>
    </w:p>
    <w:p w14:paraId="39ACB43F" w14:textId="77777777" w:rsidR="008228DB" w:rsidRPr="001330E4" w:rsidRDefault="008228DB" w:rsidP="00D54DD6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DEF5F21" wp14:editId="732165C1">
            <wp:extent cx="5149952" cy="7741920"/>
            <wp:effectExtent l="0" t="0" r="0" b="0"/>
            <wp:docPr id="2072945677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310" cy="7751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8BAD74" w14:textId="77777777" w:rsidR="008228DB" w:rsidRPr="001330E4" w:rsidRDefault="008228DB" w:rsidP="00D54DD6">
      <w:pPr>
        <w:spacing w:line="480" w:lineRule="auto"/>
        <w:jc w:val="both"/>
        <w:rPr>
          <w:rFonts w:ascii="Times New Roman" w:hAnsi="Times New Roman" w:cs="Times New Roman"/>
          <w:szCs w:val="22"/>
        </w:rPr>
      </w:pPr>
      <w:r w:rsidRPr="001330E4">
        <w:rPr>
          <w:rFonts w:ascii="Times New Roman" w:hAnsi="Times New Roman" w:cs="Times New Roman" w:hint="eastAsia"/>
          <w:b/>
          <w:bCs/>
          <w:sz w:val="24"/>
        </w:rPr>
        <w:lastRenderedPageBreak/>
        <w:t>Supplementary Figure 7</w:t>
      </w:r>
      <w:r w:rsidRPr="001330E4">
        <w:rPr>
          <w:rFonts w:ascii="Times New Roman" w:hAnsi="Times New Roman" w:cs="Times New Roman" w:hint="eastAsia"/>
          <w:sz w:val="24"/>
        </w:rPr>
        <w:t xml:space="preserve">. </w:t>
      </w:r>
      <w:r w:rsidRPr="001330E4">
        <w:rPr>
          <w:rFonts w:ascii="Times New Roman" w:hAnsi="Times New Roman" w:cs="Times New Roman"/>
          <w:szCs w:val="22"/>
        </w:rPr>
        <w:t xml:space="preserve">Discrepant case between manual gating and DR-based gating in the </w:t>
      </w:r>
      <w:r w:rsidRPr="001330E4">
        <w:rPr>
          <w:rFonts w:ascii="Times New Roman" w:hAnsi="Times New Roman" w:cs="Times New Roman" w:hint="eastAsia"/>
          <w:szCs w:val="22"/>
        </w:rPr>
        <w:t>MM-MRD panel. Both t-SNE and UMAP identified the MRD (0.009% of total events), while manual gating did not detect the MRD.</w:t>
      </w:r>
    </w:p>
    <w:p w14:paraId="568A0971" w14:textId="77777777" w:rsidR="008228DB" w:rsidRPr="001330E4" w:rsidRDefault="008228DB" w:rsidP="00D54DD6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6349851D" wp14:editId="168487DF">
            <wp:extent cx="5731200" cy="5036936"/>
            <wp:effectExtent l="0" t="0" r="3175" b="0"/>
            <wp:docPr id="2031162222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5036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9906C6" w14:textId="77777777" w:rsidR="008228DB" w:rsidRPr="001330E4" w:rsidRDefault="008228DB">
      <w:pPr>
        <w:widowControl/>
        <w:wordWrap/>
        <w:autoSpaceDE/>
        <w:autoSpaceDN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/>
          <w:sz w:val="24"/>
        </w:rPr>
        <w:br w:type="page"/>
      </w:r>
    </w:p>
    <w:p w14:paraId="71A5A1C9" w14:textId="77777777" w:rsidR="008228DB" w:rsidRPr="001330E4" w:rsidRDefault="008228DB" w:rsidP="00D54DD6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 w:hint="eastAsia"/>
          <w:b/>
          <w:bCs/>
          <w:sz w:val="24"/>
        </w:rPr>
        <w:lastRenderedPageBreak/>
        <w:t>Supplementary Figure 8</w:t>
      </w:r>
      <w:r w:rsidRPr="001330E4">
        <w:rPr>
          <w:rFonts w:ascii="Times New Roman" w:hAnsi="Times New Roman" w:cs="Times New Roman" w:hint="eastAsia"/>
          <w:sz w:val="24"/>
        </w:rPr>
        <w:t xml:space="preserve">. </w:t>
      </w:r>
      <w:r w:rsidRPr="001330E4">
        <w:rPr>
          <w:rFonts w:ascii="Times New Roman" w:hAnsi="Times New Roman" w:cs="Times New Roman"/>
          <w:sz w:val="24"/>
        </w:rPr>
        <w:t>DR plot of a sample with an MRD value of 10</w:t>
      </w:r>
      <w:r w:rsidRPr="001330E4">
        <w:rPr>
          <w:rFonts w:ascii="Times New Roman" w:hAnsi="Times New Roman" w:cs="Times New Roman"/>
          <w:sz w:val="24"/>
          <w:vertAlign w:val="superscript"/>
        </w:rPr>
        <w:t>-4.70</w:t>
      </w:r>
      <w:r w:rsidRPr="001330E4">
        <w:rPr>
          <w:rFonts w:ascii="Times New Roman" w:hAnsi="Times New Roman" w:cs="Times New Roman"/>
          <w:sz w:val="24"/>
        </w:rPr>
        <w:t xml:space="preserve"> </w:t>
      </w:r>
      <w:r w:rsidRPr="001330E4">
        <w:rPr>
          <w:rFonts w:ascii="Times New Roman" w:hAnsi="Times New Roman" w:cs="Times New Roman" w:hint="eastAsia"/>
          <w:sz w:val="24"/>
        </w:rPr>
        <w:t xml:space="preserve">(0.002%) </w:t>
      </w:r>
      <w:r w:rsidRPr="001330E4">
        <w:rPr>
          <w:rFonts w:ascii="Times New Roman" w:hAnsi="Times New Roman" w:cs="Times New Roman"/>
          <w:sz w:val="24"/>
        </w:rPr>
        <w:t>in the sensitivity evaluation using total events in the B-MRD panel. The target cluster gated in the DR plot is represented as the red population in the CD45/SSC-A plot.</w:t>
      </w:r>
    </w:p>
    <w:p w14:paraId="7A3C7D46" w14:textId="77777777" w:rsidR="008228DB" w:rsidRPr="001330E4" w:rsidRDefault="008228DB" w:rsidP="00D54DD6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55D43C9" wp14:editId="15FE64B1">
            <wp:extent cx="5731200" cy="4813433"/>
            <wp:effectExtent l="0" t="0" r="3175" b="6350"/>
            <wp:docPr id="856140198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00" cy="4813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9EDDF0" w14:textId="77777777" w:rsidR="008228DB" w:rsidRPr="001330E4" w:rsidRDefault="008228DB">
      <w:pPr>
        <w:widowControl/>
        <w:wordWrap/>
        <w:autoSpaceDE/>
        <w:autoSpaceDN/>
        <w:rPr>
          <w:rFonts w:ascii="Times New Roman" w:hAnsi="Times New Roman" w:cs="Times New Roman"/>
          <w:sz w:val="24"/>
        </w:rPr>
      </w:pPr>
      <w:r w:rsidRPr="001330E4">
        <w:rPr>
          <w:rFonts w:ascii="Times New Roman" w:hAnsi="Times New Roman" w:cs="Times New Roman"/>
          <w:sz w:val="24"/>
        </w:rPr>
        <w:br w:type="page"/>
      </w:r>
    </w:p>
    <w:p w14:paraId="52B53599" w14:textId="77777777" w:rsidR="008228DB" w:rsidRPr="001330E4" w:rsidRDefault="008228DB">
      <w:pPr>
        <w:rPr>
          <w:rFonts w:ascii="Times New Roman" w:hAnsi="Times New Roman" w:cs="Times New Roman"/>
          <w:b/>
          <w:bCs/>
          <w:sz w:val="24"/>
          <w:lang w:val="es-ES"/>
        </w:rPr>
      </w:pPr>
      <w:proofErr w:type="spellStart"/>
      <w:r w:rsidRPr="001330E4">
        <w:rPr>
          <w:rFonts w:ascii="Times New Roman" w:hAnsi="Times New Roman" w:cs="Times New Roman" w:hint="eastAsia"/>
          <w:b/>
          <w:bCs/>
          <w:sz w:val="24"/>
          <w:lang w:val="es-ES"/>
        </w:rPr>
        <w:lastRenderedPageBreak/>
        <w:t>References</w:t>
      </w:r>
      <w:proofErr w:type="spellEnd"/>
    </w:p>
    <w:p w14:paraId="0CD620B4" w14:textId="77777777" w:rsidR="008228DB" w:rsidRPr="001330E4" w:rsidRDefault="008228DB">
      <w:pPr>
        <w:rPr>
          <w:rFonts w:ascii="Times New Roman" w:hAnsi="Times New Roman" w:cs="Times New Roman"/>
          <w:sz w:val="24"/>
          <w:lang w:val="es-ES"/>
        </w:rPr>
      </w:pPr>
    </w:p>
    <w:p w14:paraId="0DB13F02" w14:textId="77777777" w:rsidR="008228DB" w:rsidRPr="001330E4" w:rsidRDefault="008228DB" w:rsidP="00466D4B">
      <w:pPr>
        <w:pStyle w:val="EndNoteBibliography"/>
        <w:spacing w:after="0"/>
        <w:ind w:left="720" w:hanging="720"/>
      </w:pPr>
      <w:r w:rsidRPr="001330E4">
        <w:rPr>
          <w:lang w:val="es-ES"/>
        </w:rPr>
        <w:t>1.</w:t>
      </w:r>
      <w:r w:rsidRPr="001330E4">
        <w:rPr>
          <w:lang w:val="es-ES"/>
        </w:rPr>
        <w:tab/>
        <w:t xml:space="preserve">Chizuka A, Kanda Y, Nannya Y, Oshima K, Kaneko M, Yamamoto R, et al. </w:t>
      </w:r>
      <w:r w:rsidRPr="001330E4">
        <w:t>The diagnostic value of kappa/lambda ratios determined by flow cytometric analysis of biopsy specimens in B-cell lymphoma</w:t>
      </w:r>
      <w:r w:rsidRPr="001330E4">
        <w:rPr>
          <w:i/>
        </w:rPr>
        <w:t>.</w:t>
      </w:r>
      <w:r w:rsidRPr="001330E4">
        <w:t xml:space="preserve"> Clin Lab Haematol 2002;24:33-6.</w:t>
      </w:r>
    </w:p>
    <w:p w14:paraId="63CAEA3E" w14:textId="77777777" w:rsidR="008228DB" w:rsidRPr="001330E4" w:rsidRDefault="008228DB" w:rsidP="00466D4B">
      <w:pPr>
        <w:pStyle w:val="EndNoteBibliography"/>
        <w:spacing w:after="0"/>
        <w:ind w:left="720" w:hanging="720"/>
      </w:pPr>
      <w:r w:rsidRPr="001330E4">
        <w:t>2.</w:t>
      </w:r>
      <w:r w:rsidRPr="001330E4">
        <w:tab/>
        <w:t>Warnnissorn AN, Treetipsatit J, Limvorapitak W. The cut-offs for kappa/lambda ratio in bone marrow immunohistochemistry for the diagnosis of multiple myeloma</w:t>
      </w:r>
      <w:r w:rsidRPr="001330E4">
        <w:rPr>
          <w:i/>
        </w:rPr>
        <w:t>.</w:t>
      </w:r>
      <w:r w:rsidRPr="001330E4">
        <w:t xml:space="preserve"> Hematology 2020;25:292-298.</w:t>
      </w:r>
    </w:p>
    <w:p w14:paraId="7A894767" w14:textId="77777777" w:rsidR="008228DB" w:rsidRPr="001330E4" w:rsidRDefault="008228DB" w:rsidP="00466D4B">
      <w:pPr>
        <w:pStyle w:val="EndNoteBibliography"/>
        <w:spacing w:after="0"/>
        <w:ind w:left="720" w:hanging="720"/>
        <w:rPr>
          <w:lang w:val="de-DE"/>
        </w:rPr>
      </w:pPr>
      <w:r w:rsidRPr="001330E4">
        <w:t>3.</w:t>
      </w:r>
      <w:r w:rsidRPr="001330E4">
        <w:tab/>
        <w:t>Theunissen P, Mejstrikova E, Sedek L, van der Sluijs-Gelling AJ, Gaipa G, Bartels M, et al. Standardized flow cytometry for highly sensitive MRD measurements in B-cell acute lymphoblastic leukemia</w:t>
      </w:r>
      <w:r w:rsidRPr="001330E4">
        <w:rPr>
          <w:i/>
        </w:rPr>
        <w:t>.</w:t>
      </w:r>
      <w:r w:rsidRPr="001330E4">
        <w:t xml:space="preserve"> </w:t>
      </w:r>
      <w:r w:rsidRPr="001330E4">
        <w:rPr>
          <w:lang w:val="de-DE"/>
        </w:rPr>
        <w:t>Blood 2017;129:347-357.</w:t>
      </w:r>
    </w:p>
    <w:p w14:paraId="7F85366C" w14:textId="77777777" w:rsidR="008228DB" w:rsidRPr="001330E4" w:rsidRDefault="008228DB" w:rsidP="00466D4B">
      <w:pPr>
        <w:pStyle w:val="EndNoteBibliography"/>
        <w:spacing w:after="0"/>
        <w:ind w:left="720" w:hanging="720"/>
        <w:rPr>
          <w:lang w:val="de-DE"/>
        </w:rPr>
      </w:pPr>
      <w:r w:rsidRPr="001330E4">
        <w:rPr>
          <w:lang w:val="de-DE"/>
        </w:rPr>
        <w:t>4.</w:t>
      </w:r>
      <w:r w:rsidRPr="001330E4">
        <w:rPr>
          <w:lang w:val="de-DE"/>
        </w:rPr>
        <w:tab/>
        <w:t xml:space="preserve">Tsitsikov E, Harris MH, Silverman LB, Sallan SE, Weinberg OK. </w:t>
      </w:r>
      <w:r w:rsidRPr="001330E4">
        <w:t>Role of CD81 and CD58 in minimal residual disease detection in pediatric B lymphoblastic leukemia</w:t>
      </w:r>
      <w:r w:rsidRPr="001330E4">
        <w:rPr>
          <w:i/>
        </w:rPr>
        <w:t>.</w:t>
      </w:r>
      <w:r w:rsidRPr="001330E4">
        <w:t xml:space="preserve"> </w:t>
      </w:r>
      <w:r w:rsidRPr="001330E4">
        <w:rPr>
          <w:lang w:val="de-DE"/>
        </w:rPr>
        <w:t>Int J Lab Hematol 2018;40:343-351.</w:t>
      </w:r>
    </w:p>
    <w:p w14:paraId="3485BEC0" w14:textId="6DD30A99" w:rsidR="008228DB" w:rsidRPr="001330E4" w:rsidRDefault="008228DB" w:rsidP="00466D4B">
      <w:pPr>
        <w:pStyle w:val="EndNoteBibliography"/>
        <w:ind w:left="720" w:hanging="720"/>
      </w:pPr>
      <w:r w:rsidRPr="001330E4">
        <w:rPr>
          <w:lang w:val="de-DE"/>
        </w:rPr>
        <w:t>5.</w:t>
      </w:r>
      <w:r w:rsidRPr="001330E4">
        <w:rPr>
          <w:lang w:val="de-DE"/>
        </w:rPr>
        <w:tab/>
        <w:t xml:space="preserve">Verbeek MWC, van der Velden VHJ. </w:t>
      </w:r>
      <w:r w:rsidRPr="001330E4">
        <w:t>The Evolving Landscape of Flowcytometric Minimal Residual Disease Monitoring in B-Cell Precursor Acute Lymphoblastic Leukemia</w:t>
      </w:r>
      <w:r w:rsidRPr="001330E4">
        <w:rPr>
          <w:i/>
        </w:rPr>
        <w:t>.</w:t>
      </w:r>
      <w:r w:rsidRPr="001330E4">
        <w:t xml:space="preserve"> Int J Mol Sci 2024;25</w:t>
      </w:r>
      <w:r w:rsidR="009D22A1" w:rsidRPr="001330E4">
        <w:rPr>
          <w:rFonts w:hint="eastAsia"/>
        </w:rPr>
        <w:t>:4881</w:t>
      </w:r>
      <w:r w:rsidRPr="001330E4">
        <w:t>.</w:t>
      </w:r>
    </w:p>
    <w:p w14:paraId="09F3ACC9" w14:textId="77777777" w:rsidR="008228DB" w:rsidRPr="001330E4" w:rsidRDefault="008228DB">
      <w:pPr>
        <w:rPr>
          <w:rFonts w:ascii="Times New Roman" w:hAnsi="Times New Roman" w:cs="Times New Roman"/>
          <w:sz w:val="24"/>
        </w:rPr>
      </w:pPr>
    </w:p>
    <w:p w14:paraId="6438571C" w14:textId="77777777" w:rsidR="000A73A1" w:rsidRPr="001330E4" w:rsidRDefault="000A73A1"/>
    <w:sectPr w:rsidR="000A73A1" w:rsidRPr="001330E4" w:rsidSect="008228DB">
      <w:pgSz w:w="11906" w:h="16838"/>
      <w:pgMar w:top="1701" w:right="1440" w:bottom="1440" w:left="1440" w:header="851" w:footer="992" w:gutter="0"/>
      <w:lnNumType w:countBy="1" w:restart="continuous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hyphenationZone w:val="425"/>
  <w:drawingGridHorizontalSpacing w:val="1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8228DB"/>
    <w:rsid w:val="00036493"/>
    <w:rsid w:val="000A73A1"/>
    <w:rsid w:val="001330E4"/>
    <w:rsid w:val="00551119"/>
    <w:rsid w:val="008228DB"/>
    <w:rsid w:val="009D22A1"/>
    <w:rsid w:val="00CA250E"/>
    <w:rsid w:val="00E96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CEC78"/>
  <w15:chartTrackingRefBased/>
  <w15:docId w15:val="{72678937-F901-4609-8A14-757A076B7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228DB"/>
    <w:pPr>
      <w:widowControl w:val="0"/>
      <w:wordWrap w:val="0"/>
      <w:autoSpaceDE w:val="0"/>
      <w:autoSpaceDN w:val="0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8228D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228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228D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228D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228D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228D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228D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228D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228D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228D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228D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228DB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228DB"/>
    <w:rPr>
      <w:rFonts w:asciiTheme="majorHAnsi" w:eastAsiaTheme="majorEastAsia" w:hAnsiTheme="majorHAnsi" w:cstheme="majorBidi"/>
      <w:color w:val="000000" w:themeColor="tex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228DB"/>
    <w:rPr>
      <w:rFonts w:asciiTheme="majorHAnsi" w:eastAsiaTheme="majorEastAsia" w:hAnsiTheme="majorHAnsi" w:cstheme="majorBidi"/>
      <w:color w:val="000000" w:themeColor="text1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228DB"/>
    <w:rPr>
      <w:rFonts w:asciiTheme="majorHAnsi" w:eastAsiaTheme="majorEastAsia" w:hAnsiTheme="majorHAnsi" w:cstheme="majorBidi"/>
      <w:color w:val="000000" w:themeColor="text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228DB"/>
    <w:rPr>
      <w:rFonts w:asciiTheme="majorHAnsi" w:eastAsiaTheme="majorEastAsia" w:hAnsiTheme="majorHAnsi" w:cstheme="majorBidi"/>
      <w:color w:val="000000" w:themeColor="text1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228DB"/>
    <w:rPr>
      <w:rFonts w:asciiTheme="majorHAnsi" w:eastAsiaTheme="majorEastAsia" w:hAnsiTheme="majorHAnsi" w:cstheme="majorBidi"/>
      <w:color w:val="000000" w:themeColor="text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228DB"/>
    <w:rPr>
      <w:rFonts w:asciiTheme="majorHAnsi" w:eastAsiaTheme="majorEastAsia" w:hAnsiTheme="majorHAnsi" w:cstheme="majorBidi"/>
      <w:color w:val="000000" w:themeColor="text1"/>
    </w:rPr>
  </w:style>
  <w:style w:type="paragraph" w:styleId="Titel">
    <w:name w:val="Title"/>
    <w:basedOn w:val="Standard"/>
    <w:next w:val="Standard"/>
    <w:link w:val="TitelZchn"/>
    <w:uiPriority w:val="10"/>
    <w:qFormat/>
    <w:rsid w:val="008228DB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228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228D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228D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8228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228D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8228D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8228D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228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228D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8228DB"/>
    <w:rPr>
      <w:b/>
      <w:bCs/>
      <w:smallCaps/>
      <w:color w:val="0F4761" w:themeColor="accent1" w:themeShade="BF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8228DB"/>
  </w:style>
  <w:style w:type="paragraph" w:customStyle="1" w:styleId="EndNoteBibliographyTitle">
    <w:name w:val="EndNote Bibliography Title"/>
    <w:basedOn w:val="Standard"/>
    <w:link w:val="EndNoteBibliographyTitleChar"/>
    <w:rsid w:val="008228DB"/>
    <w:pPr>
      <w:spacing w:after="0"/>
      <w:jc w:val="center"/>
    </w:pPr>
    <w:rPr>
      <w:rFonts w:ascii="Times New Roman" w:eastAsia="Malgun Gothic" w:hAnsi="Times New Roman" w:cs="Times New Roman"/>
      <w:noProof/>
      <w:sz w:val="24"/>
    </w:rPr>
  </w:style>
  <w:style w:type="character" w:customStyle="1" w:styleId="EndNoteBibliographyTitleChar">
    <w:name w:val="EndNote Bibliography Title Char"/>
    <w:basedOn w:val="Absatz-Standardschriftart"/>
    <w:link w:val="EndNoteBibliographyTitle"/>
    <w:rsid w:val="008228DB"/>
    <w:rPr>
      <w:rFonts w:ascii="Times New Roman" w:eastAsia="Malgun Gothic" w:hAnsi="Times New Roman" w:cs="Times New Roman"/>
      <w:noProof/>
      <w:sz w:val="24"/>
    </w:rPr>
  </w:style>
  <w:style w:type="paragraph" w:customStyle="1" w:styleId="EndNoteBibliography">
    <w:name w:val="EndNote Bibliography"/>
    <w:basedOn w:val="Standard"/>
    <w:link w:val="EndNoteBibliographyChar"/>
    <w:rsid w:val="008228DB"/>
    <w:pPr>
      <w:spacing w:line="480" w:lineRule="auto"/>
    </w:pPr>
    <w:rPr>
      <w:rFonts w:ascii="Times New Roman" w:eastAsia="Malgun Gothic" w:hAnsi="Times New Roman" w:cs="Times New Roman"/>
      <w:noProof/>
      <w:sz w:val="24"/>
    </w:rPr>
  </w:style>
  <w:style w:type="character" w:customStyle="1" w:styleId="EndNoteBibliographyChar">
    <w:name w:val="EndNote Bibliography Char"/>
    <w:basedOn w:val="Absatz-Standardschriftart"/>
    <w:link w:val="EndNoteBibliography"/>
    <w:rsid w:val="008228DB"/>
    <w:rPr>
      <w:rFonts w:ascii="Times New Roman" w:eastAsia="Malgun Gothic" w:hAnsi="Times New Roman" w:cs="Times New Roman"/>
      <w:noProof/>
      <w:sz w:val="24"/>
    </w:rPr>
  </w:style>
  <w:style w:type="paragraph" w:customStyle="1" w:styleId="a">
    <w:name w:val="바탕글"/>
    <w:basedOn w:val="Standard"/>
    <w:link w:val="Char"/>
    <w:rsid w:val="008228DB"/>
    <w:pPr>
      <w:spacing w:after="0" w:line="384" w:lineRule="auto"/>
      <w:jc w:val="both"/>
      <w:textAlignment w:val="baseline"/>
    </w:pPr>
    <w:rPr>
      <w:rFonts w:ascii="Gulim" w:eastAsia="Gulim" w:hAnsi="Gulim" w:cs="Gulim"/>
      <w:color w:val="000000"/>
      <w:kern w:val="0"/>
      <w:sz w:val="20"/>
      <w:szCs w:val="20"/>
      <w14:ligatures w14:val="none"/>
    </w:rPr>
  </w:style>
  <w:style w:type="character" w:customStyle="1" w:styleId="Char">
    <w:name w:val="바탕글 Char"/>
    <w:link w:val="a"/>
    <w:rsid w:val="008228DB"/>
    <w:rPr>
      <w:rFonts w:ascii="Gulim" w:eastAsia="Gulim" w:hAnsi="Gulim" w:cs="Gulim"/>
      <w:color w:val="000000"/>
      <w:kern w:val="0"/>
      <w:sz w:val="20"/>
      <w:szCs w:val="20"/>
      <w14:ligatures w14:val="none"/>
    </w:rPr>
  </w:style>
  <w:style w:type="paragraph" w:styleId="Kopfzeile">
    <w:name w:val="header"/>
    <w:basedOn w:val="Standard"/>
    <w:link w:val="KopfzeileZchn"/>
    <w:uiPriority w:val="99"/>
    <w:unhideWhenUsed/>
    <w:rsid w:val="008228DB"/>
    <w:pPr>
      <w:tabs>
        <w:tab w:val="center" w:pos="4513"/>
        <w:tab w:val="right" w:pos="9026"/>
      </w:tabs>
      <w:snapToGrid w:val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8228DB"/>
  </w:style>
  <w:style w:type="paragraph" w:styleId="Fuzeile">
    <w:name w:val="footer"/>
    <w:basedOn w:val="Standard"/>
    <w:link w:val="FuzeileZchn"/>
    <w:uiPriority w:val="99"/>
    <w:unhideWhenUsed/>
    <w:rsid w:val="008228DB"/>
    <w:pPr>
      <w:tabs>
        <w:tab w:val="center" w:pos="4513"/>
        <w:tab w:val="right" w:pos="9026"/>
      </w:tabs>
      <w:snapToGrid w:val="0"/>
    </w:pPr>
  </w:style>
  <w:style w:type="character" w:customStyle="1" w:styleId="FuzeileZchn">
    <w:name w:val="Fußzeile Zchn"/>
    <w:basedOn w:val="Absatz-Standardschriftart"/>
    <w:link w:val="Fuzeile"/>
    <w:uiPriority w:val="99"/>
    <w:rsid w:val="008228DB"/>
  </w:style>
  <w:style w:type="character" w:styleId="Kommentarzeichen">
    <w:name w:val="annotation reference"/>
    <w:basedOn w:val="Absatz-Standardschriftart"/>
    <w:uiPriority w:val="99"/>
    <w:semiHidden/>
    <w:unhideWhenUsed/>
    <w:rsid w:val="008228DB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8228DB"/>
  </w:style>
  <w:style w:type="character" w:customStyle="1" w:styleId="KommentartextZchn">
    <w:name w:val="Kommentartext Zchn"/>
    <w:basedOn w:val="Absatz-Standardschriftart"/>
    <w:link w:val="Kommentartext"/>
    <w:uiPriority w:val="99"/>
    <w:rsid w:val="008228DB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228D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228DB"/>
    <w:rPr>
      <w:b/>
      <w:bCs/>
    </w:rPr>
  </w:style>
  <w:style w:type="paragraph" w:styleId="berarbeitung">
    <w:name w:val="Revision"/>
    <w:hidden/>
    <w:uiPriority w:val="99"/>
    <w:semiHidden/>
    <w:rsid w:val="008228DB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1379</Words>
  <Characters>8688</Characters>
  <Application>Microsoft Office Word</Application>
  <DocSecurity>0</DocSecurity>
  <Lines>72</Lines>
  <Paragraphs>20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Min-Seung Park</dc:creator>
  <cp:keywords/>
  <dc:description/>
  <cp:lastModifiedBy>Jahnke, Heike</cp:lastModifiedBy>
  <cp:revision>2</cp:revision>
  <dcterms:created xsi:type="dcterms:W3CDTF">2025-02-15T14:03:00Z</dcterms:created>
  <dcterms:modified xsi:type="dcterms:W3CDTF">2025-02-15T14:03:00Z</dcterms:modified>
</cp:coreProperties>
</file>