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A110B" w14:textId="77777777" w:rsidR="00325F75" w:rsidRDefault="00325F75" w:rsidP="00325F75">
      <w:pPr>
        <w:pStyle w:val="Heading1"/>
        <w:jc w:val="center"/>
        <w:rPr>
          <w:rFonts w:ascii="Arial" w:hAnsi="Arial" w:cs="Arial"/>
          <w:b/>
          <w:bCs/>
          <w:color w:val="auto"/>
        </w:rPr>
      </w:pPr>
    </w:p>
    <w:p w14:paraId="22D63D46" w14:textId="77777777" w:rsidR="00325F75" w:rsidRDefault="00325F75" w:rsidP="00325F75">
      <w:pPr>
        <w:pStyle w:val="Heading1"/>
        <w:jc w:val="center"/>
        <w:rPr>
          <w:rFonts w:ascii="Arial" w:hAnsi="Arial" w:cs="Arial"/>
          <w:b/>
          <w:bCs/>
          <w:color w:val="auto"/>
        </w:rPr>
      </w:pPr>
    </w:p>
    <w:p w14:paraId="6F98814F" w14:textId="3D2751D7" w:rsidR="00325F75" w:rsidRDefault="00325F75" w:rsidP="00325F75">
      <w:pPr>
        <w:pStyle w:val="Heading1"/>
        <w:jc w:val="center"/>
        <w:rPr>
          <w:rFonts w:ascii="Arial" w:hAnsi="Arial" w:cs="Arial"/>
          <w:b/>
          <w:bCs/>
          <w:color w:val="auto"/>
        </w:rPr>
      </w:pPr>
      <w:r w:rsidRPr="00CC1DD3">
        <w:rPr>
          <w:rFonts w:ascii="Arial" w:hAnsi="Arial" w:cs="Arial"/>
          <w:color w:val="212121"/>
          <w:kern w:val="0"/>
          <w:sz w:val="144"/>
          <w:szCs w:val="144"/>
          <w:lang w:eastAsia="en-GB"/>
        </w:rPr>
        <w:t>Supplemental Materials</w:t>
      </w:r>
    </w:p>
    <w:p w14:paraId="147E1E80" w14:textId="77777777" w:rsidR="00325F75" w:rsidRDefault="00325F75" w:rsidP="00325F75">
      <w:pPr>
        <w:pStyle w:val="Heading1"/>
        <w:jc w:val="center"/>
        <w:rPr>
          <w:rFonts w:ascii="Arial" w:hAnsi="Arial" w:cs="Arial"/>
          <w:b/>
          <w:bCs/>
          <w:color w:val="auto"/>
        </w:rPr>
      </w:pPr>
    </w:p>
    <w:p w14:paraId="47D1228D" w14:textId="77777777" w:rsidR="00325F75" w:rsidRDefault="00325F75" w:rsidP="00325F75">
      <w:pPr>
        <w:pStyle w:val="Heading1"/>
        <w:jc w:val="center"/>
        <w:rPr>
          <w:rFonts w:ascii="Arial" w:hAnsi="Arial" w:cs="Arial"/>
          <w:b/>
          <w:bCs/>
          <w:color w:val="auto"/>
        </w:rPr>
      </w:pPr>
    </w:p>
    <w:p w14:paraId="01300D2A" w14:textId="4564D1CB" w:rsidR="00325F75" w:rsidRPr="006A0C88" w:rsidRDefault="00325F75" w:rsidP="00325F75">
      <w:pPr>
        <w:pStyle w:val="Heading1"/>
        <w:jc w:val="center"/>
      </w:pPr>
      <w:r w:rsidRPr="009D6714">
        <w:rPr>
          <w:rFonts w:ascii="Arial" w:hAnsi="Arial" w:cs="Arial"/>
          <w:b/>
          <w:bCs/>
          <w:color w:val="auto"/>
        </w:rPr>
        <w:t xml:space="preserve">A standard to report biological variation data studies </w:t>
      </w:r>
      <w:r>
        <w:rPr>
          <w:rFonts w:ascii="Arial" w:hAnsi="Arial" w:cs="Arial"/>
          <w:b/>
          <w:bCs/>
          <w:color w:val="auto"/>
        </w:rPr>
        <w:t xml:space="preserve">- </w:t>
      </w:r>
      <w:r w:rsidRPr="009D6714">
        <w:rPr>
          <w:rFonts w:ascii="Arial" w:hAnsi="Arial" w:cs="Arial"/>
          <w:b/>
          <w:bCs/>
          <w:color w:val="auto"/>
        </w:rPr>
        <w:t>based on an expert opinion</w:t>
      </w:r>
      <w:r>
        <w:rPr>
          <w:rFonts w:ascii="Arial" w:hAnsi="Arial" w:cs="Arial"/>
          <w:b/>
          <w:bCs/>
          <w:color w:val="auto"/>
        </w:rPr>
        <w:t>.</w:t>
      </w:r>
      <w:r w:rsidRPr="009D6714">
        <w:rPr>
          <w:rFonts w:ascii="Arial" w:hAnsi="Arial" w:cs="Arial"/>
          <w:b/>
          <w:bCs/>
          <w:color w:val="auto"/>
        </w:rPr>
        <w:t xml:space="preserve"> </w:t>
      </w:r>
    </w:p>
    <w:p w14:paraId="38A91FCE" w14:textId="77777777" w:rsidR="00325F75" w:rsidRDefault="00325F75">
      <w:pPr>
        <w:rPr>
          <w:rFonts w:ascii="Arial" w:eastAsia="Calibri" w:hAnsi="Arial" w:cs="Arial"/>
          <w:b/>
          <w:bCs/>
          <w:color w:val="212121"/>
          <w:kern w:val="0"/>
          <w:sz w:val="24"/>
          <w:szCs w:val="24"/>
          <w:lang w:eastAsia="en-GB"/>
          <w14:ligatures w14:val="none"/>
        </w:rPr>
      </w:pPr>
      <w:r>
        <w:rPr>
          <w:rFonts w:ascii="Arial" w:eastAsia="Calibri" w:hAnsi="Arial" w:cs="Arial"/>
          <w:b/>
          <w:bCs/>
          <w:color w:val="212121"/>
          <w:kern w:val="0"/>
          <w:sz w:val="24"/>
          <w:szCs w:val="24"/>
          <w:lang w:eastAsia="en-GB"/>
          <w14:ligatures w14:val="none"/>
        </w:rPr>
        <w:br w:type="page"/>
      </w:r>
    </w:p>
    <w:p w14:paraId="232072EF" w14:textId="0A8C0504" w:rsidR="00A778FF" w:rsidRPr="00A778FF" w:rsidRDefault="00A778FF" w:rsidP="00A778FF">
      <w:pPr>
        <w:ind w:left="142"/>
        <w:rPr>
          <w:rFonts w:ascii="Arial" w:eastAsia="Calibri" w:hAnsi="Arial" w:cs="Arial"/>
          <w:color w:val="212121"/>
          <w:kern w:val="0"/>
          <w:sz w:val="24"/>
          <w:szCs w:val="24"/>
          <w:lang w:eastAsia="en-GB"/>
          <w14:ligatures w14:val="none"/>
        </w:rPr>
      </w:pPr>
      <w:r w:rsidRPr="00A778FF">
        <w:rPr>
          <w:rFonts w:ascii="Arial" w:eastAsia="Calibri" w:hAnsi="Arial" w:cs="Arial"/>
          <w:b/>
          <w:bCs/>
          <w:color w:val="212121"/>
          <w:kern w:val="0"/>
          <w:sz w:val="24"/>
          <w:szCs w:val="24"/>
          <w:lang w:eastAsia="en-GB"/>
          <w14:ligatures w14:val="none"/>
        </w:rPr>
        <w:lastRenderedPageBreak/>
        <w:t>Table S1.</w:t>
      </w:r>
      <w:r w:rsidRPr="00A778FF">
        <w:rPr>
          <w:rFonts w:ascii="Arial" w:eastAsia="Calibri" w:hAnsi="Arial" w:cs="Arial"/>
          <w:color w:val="212121"/>
          <w:kern w:val="0"/>
          <w:sz w:val="24"/>
          <w:szCs w:val="24"/>
          <w:lang w:eastAsia="en-GB"/>
          <w14:ligatures w14:val="none"/>
        </w:rPr>
        <w:t xml:space="preserve"> High level reporting checklist for assessing STARBIV compliance mapped to the domains of a minimum data set described in Table 1 of the main text.</w:t>
      </w:r>
    </w:p>
    <w:p w14:paraId="2EE60B73" w14:textId="4F94E15D" w:rsidR="00A778FF" w:rsidRPr="00A778FF" w:rsidRDefault="00A778FF" w:rsidP="00A778FF">
      <w:pPr>
        <w:ind w:left="142"/>
        <w:rPr>
          <w:rFonts w:ascii="Arial" w:eastAsia="Calibri" w:hAnsi="Arial" w:cs="Arial"/>
          <w:color w:val="212121"/>
          <w:kern w:val="0"/>
          <w:sz w:val="24"/>
          <w:szCs w:val="24"/>
          <w:lang w:eastAsia="en-GB"/>
          <w14:ligatures w14:val="none"/>
        </w:rPr>
      </w:pPr>
      <w:r w:rsidRPr="00A778FF">
        <w:rPr>
          <w:rFonts w:ascii="Arial" w:eastAsia="Calibri" w:hAnsi="Arial" w:cs="Arial"/>
          <w:color w:val="212121"/>
          <w:kern w:val="0"/>
          <w:sz w:val="24"/>
          <w:szCs w:val="24"/>
          <w:lang w:eastAsia="en-GB"/>
          <w14:ligatures w14:val="none"/>
        </w:rPr>
        <w:t>To be used in conjunction with the mind map hosted on the EFLM Biological Variation Database website (</w:t>
      </w:r>
      <w:hyperlink r:id="rId5" w:history="1">
        <w:r w:rsidRPr="00A778FF">
          <w:rPr>
            <w:rStyle w:val="Hyperlink"/>
            <w:rFonts w:ascii="Arial" w:eastAsia="Calibri" w:hAnsi="Arial" w:cs="Arial"/>
            <w:kern w:val="0"/>
            <w:sz w:val="24"/>
            <w:szCs w:val="24"/>
            <w:lang w:eastAsia="en-GB"/>
            <w14:ligatures w14:val="none"/>
          </w:rPr>
          <w:t>https://biologicalvariation.eu/Publication_Structure_V2_0.html</w:t>
        </w:r>
      </w:hyperlink>
      <w:r w:rsidRPr="00A778FF">
        <w:rPr>
          <w:rFonts w:ascii="Arial" w:eastAsia="Calibri" w:hAnsi="Arial" w:cs="Arial"/>
          <w:color w:val="212121"/>
          <w:kern w:val="0"/>
          <w:sz w:val="24"/>
          <w:szCs w:val="24"/>
          <w:lang w:eastAsia="en-GB"/>
          <w14:ligatures w14:val="none"/>
        </w:rPr>
        <w:t>)</w:t>
      </w:r>
    </w:p>
    <w:p w14:paraId="4A51FF56" w14:textId="77777777" w:rsidR="00A778FF" w:rsidRPr="00A778FF" w:rsidRDefault="00A778FF" w:rsidP="00A778FF">
      <w:pPr>
        <w:rPr>
          <w:rFonts w:ascii="Arial" w:eastAsia="Calibri" w:hAnsi="Arial" w:cs="Arial"/>
          <w:color w:val="212121"/>
          <w:kern w:val="0"/>
          <w:sz w:val="20"/>
          <w:szCs w:val="20"/>
          <w:lang w:eastAsia="en-GB"/>
          <w14:ligatures w14:val="none"/>
        </w:rPr>
      </w:pPr>
    </w:p>
    <w:tbl>
      <w:tblPr>
        <w:tblW w:w="136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701"/>
        <w:gridCol w:w="6662"/>
        <w:gridCol w:w="3544"/>
      </w:tblGrid>
      <w:tr w:rsidR="00A778FF" w:rsidRPr="00A778FF" w14:paraId="7ABC4D02" w14:textId="77777777" w:rsidTr="00777168">
        <w:tc>
          <w:tcPr>
            <w:tcW w:w="1702" w:type="dxa"/>
          </w:tcPr>
          <w:p w14:paraId="46BD67CC"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Topics</w:t>
            </w:r>
          </w:p>
        </w:tc>
        <w:tc>
          <w:tcPr>
            <w:tcW w:w="1701" w:type="dxa"/>
          </w:tcPr>
          <w:p w14:paraId="6B43E9FA" w14:textId="77777777" w:rsidR="00A778FF" w:rsidRPr="00A778FF" w:rsidRDefault="00A778FF" w:rsidP="00A778FF">
            <w:pPr>
              <w:spacing w:after="0" w:line="240" w:lineRule="auto"/>
              <w:jc w:val="center"/>
              <w:rPr>
                <w:rFonts w:ascii="Arial" w:eastAsia="Calibri" w:hAnsi="Arial" w:cs="Arial"/>
                <w:b/>
                <w:bCs/>
                <w:sz w:val="20"/>
                <w:szCs w:val="20"/>
                <w14:ligatures w14:val="none"/>
              </w:rPr>
            </w:pPr>
            <w:r w:rsidRPr="00A778FF">
              <w:rPr>
                <w:rFonts w:ascii="Arial" w:eastAsia="Calibri" w:hAnsi="Arial" w:cs="Arial"/>
                <w:b/>
                <w:bCs/>
                <w:sz w:val="20"/>
                <w:szCs w:val="20"/>
                <w14:ligatures w14:val="none"/>
              </w:rPr>
              <w:t>Topic</w:t>
            </w:r>
          </w:p>
          <w:p w14:paraId="2774191A" w14:textId="77777777" w:rsidR="00A778FF" w:rsidRPr="00A778FF" w:rsidRDefault="00A778FF" w:rsidP="00A778FF">
            <w:pPr>
              <w:spacing w:after="0" w:line="240" w:lineRule="auto"/>
              <w:jc w:val="center"/>
              <w:rPr>
                <w:rFonts w:ascii="Arial" w:eastAsia="Calibri" w:hAnsi="Arial" w:cs="Arial"/>
                <w:i/>
                <w:iCs/>
                <w:sz w:val="20"/>
                <w:szCs w:val="20"/>
                <w:vertAlign w:val="superscript"/>
                <w14:ligatures w14:val="none"/>
              </w:rPr>
            </w:pPr>
            <w:r w:rsidRPr="00A778FF">
              <w:rPr>
                <w:rFonts w:ascii="Arial" w:eastAsia="Calibri" w:hAnsi="Arial" w:cs="Arial"/>
                <w:i/>
                <w:iCs/>
                <w:sz w:val="20"/>
                <w:szCs w:val="20"/>
                <w14:ligatures w14:val="none"/>
              </w:rPr>
              <w:t>(MDS Domain Mapping: A-</w:t>
            </w:r>
            <w:proofErr w:type="gramStart"/>
            <w:r w:rsidRPr="00A778FF">
              <w:rPr>
                <w:rFonts w:ascii="Arial" w:eastAsia="Calibri" w:hAnsi="Arial" w:cs="Arial"/>
                <w:i/>
                <w:iCs/>
                <w:sz w:val="20"/>
                <w:szCs w:val="20"/>
                <w14:ligatures w14:val="none"/>
              </w:rPr>
              <w:t>F)</w:t>
            </w:r>
            <w:r w:rsidRPr="00A778FF">
              <w:rPr>
                <w:rFonts w:ascii="Arial" w:eastAsia="Calibri" w:hAnsi="Arial" w:cs="Arial"/>
                <w:i/>
                <w:iCs/>
                <w:sz w:val="20"/>
                <w:szCs w:val="20"/>
                <w:vertAlign w:val="superscript"/>
                <w14:ligatures w14:val="none"/>
              </w:rPr>
              <w:t>a</w:t>
            </w:r>
            <w:proofErr w:type="gramEnd"/>
          </w:p>
        </w:tc>
        <w:tc>
          <w:tcPr>
            <w:tcW w:w="6662" w:type="dxa"/>
          </w:tcPr>
          <w:p w14:paraId="2BF3C8E6"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Topic Content</w:t>
            </w:r>
          </w:p>
          <w:p w14:paraId="426ED9D9" w14:textId="77777777" w:rsidR="00A778FF" w:rsidRPr="00A778FF" w:rsidRDefault="00A778FF" w:rsidP="00A778FF">
            <w:pPr>
              <w:spacing w:after="0" w:line="240" w:lineRule="auto"/>
              <w:rPr>
                <w:rFonts w:ascii="Arial" w:eastAsia="Calibri" w:hAnsi="Arial" w:cs="Arial"/>
                <w:sz w:val="20"/>
                <w:szCs w:val="20"/>
                <w14:ligatures w14:val="none"/>
              </w:rPr>
            </w:pPr>
          </w:p>
          <w:p w14:paraId="31A83FD0"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Detailed guidance with links accessing information, and key references can be found in the Mind map published online at: </w:t>
            </w:r>
          </w:p>
          <w:p w14:paraId="1EA4CA35" w14:textId="77777777" w:rsidR="00A778FF" w:rsidRPr="00A778FF" w:rsidRDefault="00000000" w:rsidP="00A778FF">
            <w:pPr>
              <w:spacing w:after="0" w:line="240" w:lineRule="auto"/>
              <w:rPr>
                <w:rFonts w:ascii="Arial" w:eastAsia="Calibri" w:hAnsi="Arial" w:cs="Arial"/>
                <w:sz w:val="20"/>
                <w:szCs w:val="20"/>
                <w14:ligatures w14:val="none"/>
              </w:rPr>
            </w:pPr>
            <w:hyperlink r:id="rId6" w:history="1">
              <w:r w:rsidR="00A778FF" w:rsidRPr="00A778FF">
                <w:rPr>
                  <w:rFonts w:ascii="Arial" w:eastAsia="Calibri" w:hAnsi="Arial" w:cs="Arial"/>
                  <w:color w:val="0000FF"/>
                  <w:sz w:val="20"/>
                  <w:szCs w:val="20"/>
                  <w:u w:val="single"/>
                  <w14:ligatures w14:val="none"/>
                </w:rPr>
                <w:t>https://biologicalvariation.eu/Publication_Structure_V2_0.html</w:t>
              </w:r>
            </w:hyperlink>
          </w:p>
          <w:p w14:paraId="32EE1D36" w14:textId="77777777" w:rsidR="00A778FF" w:rsidRPr="00A778FF" w:rsidRDefault="00A778FF" w:rsidP="00A778FF">
            <w:pPr>
              <w:spacing w:after="0" w:line="240" w:lineRule="auto"/>
              <w:rPr>
                <w:rFonts w:ascii="Arial" w:eastAsia="Calibri" w:hAnsi="Arial" w:cs="Arial"/>
                <w:sz w:val="20"/>
                <w:szCs w:val="20"/>
                <w14:ligatures w14:val="none"/>
              </w:rPr>
            </w:pPr>
          </w:p>
        </w:tc>
        <w:tc>
          <w:tcPr>
            <w:tcW w:w="3544" w:type="dxa"/>
          </w:tcPr>
          <w:p w14:paraId="73E35ECE" w14:textId="77777777" w:rsidR="00A778FF" w:rsidRPr="00A778FF" w:rsidRDefault="00A778FF" w:rsidP="00A778FF">
            <w:pPr>
              <w:spacing w:after="0" w:line="240" w:lineRule="auto"/>
              <w:ind w:left="40"/>
              <w:rPr>
                <w:rFonts w:ascii="Arial" w:eastAsia="Calibri" w:hAnsi="Arial" w:cs="Arial"/>
                <w:b/>
                <w:bCs/>
                <w:sz w:val="20"/>
                <w:szCs w:val="20"/>
                <w14:ligatures w14:val="none"/>
              </w:rPr>
            </w:pPr>
            <w:r w:rsidRPr="00A778FF">
              <w:rPr>
                <w:rFonts w:ascii="Arial" w:eastAsia="Calibri" w:hAnsi="Arial" w:cs="Arial"/>
                <w:b/>
                <w:bCs/>
                <w:sz w:val="20"/>
                <w:szCs w:val="20"/>
                <w14:ligatures w14:val="none"/>
              </w:rPr>
              <w:t>Evidenced in manuscript/publication.</w:t>
            </w:r>
          </w:p>
          <w:p w14:paraId="74B8FBE5" w14:textId="77777777" w:rsidR="00A778FF" w:rsidRPr="00A778FF" w:rsidRDefault="00A778FF" w:rsidP="00A778FF">
            <w:pPr>
              <w:spacing w:after="0" w:line="240" w:lineRule="auto"/>
              <w:ind w:left="40"/>
              <w:rPr>
                <w:rFonts w:ascii="Arial" w:eastAsia="Calibri" w:hAnsi="Arial" w:cs="Arial"/>
                <w:b/>
                <w:bCs/>
                <w:sz w:val="20"/>
                <w:szCs w:val="20"/>
                <w14:ligatures w14:val="none"/>
              </w:rPr>
            </w:pPr>
          </w:p>
          <w:p w14:paraId="77A47227" w14:textId="77777777" w:rsidR="00A778FF" w:rsidRPr="00A778FF" w:rsidRDefault="00A778FF" w:rsidP="00A778FF">
            <w:pPr>
              <w:spacing w:after="0" w:line="240" w:lineRule="auto"/>
              <w:ind w:left="40"/>
              <w:rPr>
                <w:rFonts w:ascii="Arial" w:eastAsia="Calibri" w:hAnsi="Arial" w:cs="Arial"/>
                <w:b/>
                <w:bCs/>
                <w:sz w:val="20"/>
                <w:szCs w:val="20"/>
                <w14:ligatures w14:val="none"/>
              </w:rPr>
            </w:pPr>
            <w:r w:rsidRPr="00A778FF">
              <w:rPr>
                <w:rFonts w:ascii="Arial" w:eastAsia="Calibri" w:hAnsi="Arial" w:cs="Arial"/>
                <w:b/>
                <w:bCs/>
                <w:sz w:val="20"/>
                <w:szCs w:val="20"/>
                <w14:ligatures w14:val="none"/>
              </w:rPr>
              <w:t>Indicate yes or no. If no provide reason and mitigation</w:t>
            </w:r>
          </w:p>
        </w:tc>
      </w:tr>
      <w:tr w:rsidR="00A778FF" w:rsidRPr="00A778FF" w14:paraId="620763BB" w14:textId="77777777" w:rsidTr="00777168">
        <w:tc>
          <w:tcPr>
            <w:tcW w:w="1702" w:type="dxa"/>
          </w:tcPr>
          <w:p w14:paraId="24E335E5"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Title/ Abstract /keywords</w:t>
            </w:r>
          </w:p>
        </w:tc>
        <w:tc>
          <w:tcPr>
            <w:tcW w:w="1701" w:type="dxa"/>
          </w:tcPr>
          <w:p w14:paraId="3B9768E2"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1</w:t>
            </w:r>
          </w:p>
        </w:tc>
        <w:tc>
          <w:tcPr>
            <w:tcW w:w="6662" w:type="dxa"/>
          </w:tcPr>
          <w:p w14:paraId="3A9F8603"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The title should indicate that the content relates to a study of biological variation, the subject of the study, the sample matrix, and the population studied. </w:t>
            </w:r>
          </w:p>
          <w:p w14:paraId="14E4E7C0" w14:textId="7486B5DF" w:rsidR="00A778FF" w:rsidRPr="00A778FF" w:rsidRDefault="00A778FF" w:rsidP="00A778FF">
            <w:pPr>
              <w:spacing w:after="0" w:line="240" w:lineRule="auto"/>
              <w:rPr>
                <w:rFonts w:ascii="Arial" w:eastAsia="Calibri" w:hAnsi="Arial" w:cs="Arial"/>
                <w:i/>
                <w:iCs/>
                <w:sz w:val="20"/>
                <w:szCs w:val="20"/>
                <w14:ligatures w14:val="none"/>
              </w:rPr>
            </w:pPr>
          </w:p>
        </w:tc>
        <w:tc>
          <w:tcPr>
            <w:tcW w:w="3544" w:type="dxa"/>
          </w:tcPr>
          <w:p w14:paraId="2C9B6F3E"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3F7B48B1" w14:textId="77777777" w:rsidTr="00777168">
        <w:tc>
          <w:tcPr>
            <w:tcW w:w="1702" w:type="dxa"/>
          </w:tcPr>
          <w:p w14:paraId="5089DE57"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Abstract</w:t>
            </w:r>
          </w:p>
        </w:tc>
        <w:tc>
          <w:tcPr>
            <w:tcW w:w="1701" w:type="dxa"/>
          </w:tcPr>
          <w:p w14:paraId="54238E8A"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1.1</w:t>
            </w:r>
          </w:p>
        </w:tc>
        <w:tc>
          <w:tcPr>
            <w:tcW w:w="6662" w:type="dxa"/>
          </w:tcPr>
          <w:p w14:paraId="7320234A"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As a minimum it should contain the headline biological variation data, the major characteristics of the population studied (numbers of subjects with demographics), clearly identify the analyte and measurand/s studied (the analyte quantities studied in a particular sample matrix, (e.g. concentration of glucose in plasma), the statistical approach taken, the duration of the study and the geographical location of the study.</w:t>
            </w:r>
          </w:p>
        </w:tc>
        <w:tc>
          <w:tcPr>
            <w:tcW w:w="3544" w:type="dxa"/>
          </w:tcPr>
          <w:p w14:paraId="32F6C1F3"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1A581C2C" w14:textId="77777777" w:rsidTr="00777168">
        <w:tc>
          <w:tcPr>
            <w:tcW w:w="1702" w:type="dxa"/>
          </w:tcPr>
          <w:p w14:paraId="77A077BA"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Introduction</w:t>
            </w:r>
          </w:p>
        </w:tc>
        <w:tc>
          <w:tcPr>
            <w:tcW w:w="1701" w:type="dxa"/>
          </w:tcPr>
          <w:p w14:paraId="621E1B12"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2</w:t>
            </w:r>
          </w:p>
        </w:tc>
        <w:tc>
          <w:tcPr>
            <w:tcW w:w="6662" w:type="dxa"/>
          </w:tcPr>
          <w:p w14:paraId="38016F29"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Introduction should clearly identify the context and aims of the study and cite any previous relevant studies of biological variability of the target analyte. Recommended terminology to be adopted re description of variability. </w:t>
            </w:r>
          </w:p>
        </w:tc>
        <w:tc>
          <w:tcPr>
            <w:tcW w:w="3544" w:type="dxa"/>
          </w:tcPr>
          <w:p w14:paraId="2A1247C5"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7EEFAECD" w14:textId="77777777" w:rsidTr="00777168">
        <w:tc>
          <w:tcPr>
            <w:tcW w:w="1702" w:type="dxa"/>
          </w:tcPr>
          <w:p w14:paraId="413D8206"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b/>
                <w:bCs/>
                <w:sz w:val="20"/>
                <w:szCs w:val="20"/>
                <w14:ligatures w14:val="none"/>
              </w:rPr>
              <w:t>Methods</w:t>
            </w:r>
          </w:p>
        </w:tc>
        <w:tc>
          <w:tcPr>
            <w:tcW w:w="1701" w:type="dxa"/>
          </w:tcPr>
          <w:p w14:paraId="6FB2094D"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w:t>
            </w:r>
          </w:p>
        </w:tc>
        <w:tc>
          <w:tcPr>
            <w:tcW w:w="6662" w:type="dxa"/>
          </w:tcPr>
          <w:p w14:paraId="5BD444BE" w14:textId="725F8688" w:rsid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Described in enough detail to</w:t>
            </w:r>
            <w:r w:rsidR="004117A9">
              <w:rPr>
                <w:rFonts w:ascii="Arial" w:eastAsia="Calibri" w:hAnsi="Arial" w:cs="Arial"/>
                <w:sz w:val="20"/>
                <w:szCs w:val="20"/>
                <w14:ligatures w14:val="none"/>
              </w:rPr>
              <w:t xml:space="preserve"> </w:t>
            </w:r>
            <w:r w:rsidR="004117A9" w:rsidRPr="000B3DA7">
              <w:rPr>
                <w:rFonts w:ascii="Arial" w:eastAsia="Calibri" w:hAnsi="Arial" w:cs="Arial"/>
                <w:sz w:val="20"/>
                <w:szCs w:val="20"/>
                <w14:ligatures w14:val="none"/>
              </w:rPr>
              <w:t>assess</w:t>
            </w:r>
            <w:r w:rsidR="004117A9">
              <w:rPr>
                <w:rFonts w:ascii="Arial" w:eastAsia="Calibri" w:hAnsi="Arial" w:cs="Arial"/>
                <w:sz w:val="20"/>
                <w:szCs w:val="20"/>
                <w14:ligatures w14:val="none"/>
              </w:rPr>
              <w:t xml:space="preserve"> </w:t>
            </w:r>
            <w:r w:rsidRPr="00A778FF">
              <w:rPr>
                <w:rFonts w:ascii="Arial" w:eastAsia="Calibri" w:hAnsi="Arial" w:cs="Arial"/>
                <w:sz w:val="20"/>
                <w:szCs w:val="20"/>
                <w14:ligatures w14:val="none"/>
              </w:rPr>
              <w:t xml:space="preserve">transportability of the derived data across populations and health care systems. The biological variation data produced are effectively reference data and their applicability requires delivery of appropriately described metadata to enable their use as such. </w:t>
            </w:r>
          </w:p>
          <w:p w14:paraId="295C4563" w14:textId="77777777" w:rsidR="004117A9" w:rsidRDefault="004117A9" w:rsidP="00A778FF">
            <w:pPr>
              <w:spacing w:after="0" w:line="240" w:lineRule="auto"/>
              <w:rPr>
                <w:rFonts w:ascii="Arial" w:eastAsia="Calibri" w:hAnsi="Arial" w:cs="Arial"/>
                <w:sz w:val="20"/>
                <w:szCs w:val="20"/>
                <w14:ligatures w14:val="none"/>
              </w:rPr>
            </w:pPr>
          </w:p>
          <w:p w14:paraId="1C1BC91C" w14:textId="5ACE4DC0" w:rsidR="004117A9" w:rsidRPr="00A778FF" w:rsidRDefault="004117A9" w:rsidP="00A778FF">
            <w:pPr>
              <w:spacing w:after="0" w:line="240" w:lineRule="auto"/>
              <w:rPr>
                <w:rFonts w:ascii="Arial" w:eastAsia="Calibri" w:hAnsi="Arial" w:cs="Arial"/>
                <w:sz w:val="20"/>
                <w:szCs w:val="20"/>
                <w14:ligatures w14:val="none"/>
              </w:rPr>
            </w:pPr>
            <w:r>
              <w:rPr>
                <w:rFonts w:ascii="Arial" w:eastAsia="Calibri" w:hAnsi="Arial" w:cs="Arial"/>
                <w:sz w:val="20"/>
                <w:szCs w:val="20"/>
                <w14:ligatures w14:val="none"/>
              </w:rPr>
              <w:t xml:space="preserve">Expected detail. </w:t>
            </w:r>
            <w:r w:rsidRPr="00A778FF">
              <w:rPr>
                <w:rFonts w:ascii="Arial" w:eastAsia="Calibri" w:hAnsi="Arial" w:cs="Arial"/>
                <w:sz w:val="20"/>
                <w:szCs w:val="20"/>
                <w14:ligatures w14:val="none"/>
              </w:rPr>
              <w:t xml:space="preserve">Analyte (component being measured), the measurand/s (the quantity or quantities to be measured, see section 1.1), and state of well-being of the subjects under study should be clearly and unambiguously identified. </w:t>
            </w:r>
            <w:r w:rsidRPr="00A778FF">
              <w:rPr>
                <w:rFonts w:ascii="Arial" w:eastAsia="Calibri" w:hAnsi="Arial" w:cs="Arial"/>
                <w:i/>
                <w:iCs/>
                <w:sz w:val="20"/>
                <w:szCs w:val="20"/>
                <w14:ligatures w14:val="none"/>
              </w:rPr>
              <w:t xml:space="preserve">Relevant coding systems might be employed, (e.g. </w:t>
            </w:r>
            <w:r w:rsidRPr="00A778FF">
              <w:rPr>
                <w:rFonts w:ascii="Arial" w:eastAsia="Calibri" w:hAnsi="Arial" w:cs="Arial"/>
                <w:sz w:val="20"/>
                <w:szCs w:val="20"/>
                <w14:ligatures w14:val="none"/>
              </w:rPr>
              <w:t>LOINC,</w:t>
            </w:r>
            <w:r w:rsidRPr="00A778FF">
              <w:rPr>
                <w:rFonts w:ascii="Arial" w:eastAsia="Calibri" w:hAnsi="Arial" w:cs="Arial"/>
                <w:sz w:val="20"/>
                <w:szCs w:val="20"/>
                <w:vertAlign w:val="superscript"/>
                <w14:ligatures w14:val="none"/>
              </w:rPr>
              <w:t xml:space="preserve"> </w:t>
            </w:r>
            <w:r w:rsidRPr="00A778FF">
              <w:rPr>
                <w:rFonts w:ascii="Arial" w:eastAsia="Calibri" w:hAnsi="Arial" w:cs="Arial"/>
                <w:sz w:val="20"/>
                <w:szCs w:val="20"/>
                <w14:ligatures w14:val="none"/>
              </w:rPr>
              <w:t>SNOMED, C-NPU)</w:t>
            </w:r>
          </w:p>
        </w:tc>
        <w:tc>
          <w:tcPr>
            <w:tcW w:w="3544" w:type="dxa"/>
          </w:tcPr>
          <w:p w14:paraId="70FEEDA4"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4F68D793" w14:textId="77777777" w:rsidTr="00777168">
        <w:tc>
          <w:tcPr>
            <w:tcW w:w="1702" w:type="dxa"/>
          </w:tcPr>
          <w:p w14:paraId="4C11E2FC"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lastRenderedPageBreak/>
              <w:t>Analyte/ Measurand.</w:t>
            </w:r>
          </w:p>
        </w:tc>
        <w:tc>
          <w:tcPr>
            <w:tcW w:w="1701" w:type="dxa"/>
            <w:shd w:val="clear" w:color="auto" w:fill="FFFFFF"/>
          </w:tcPr>
          <w:p w14:paraId="653DC8C4"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3.1 (A)</w:t>
            </w:r>
          </w:p>
        </w:tc>
        <w:tc>
          <w:tcPr>
            <w:tcW w:w="6662" w:type="dxa"/>
          </w:tcPr>
          <w:p w14:paraId="0E4C04A3"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The described study should clearly identify the target analyte and measurand/s. Where available internationally agreed terminology and coding should be </w:t>
            </w:r>
            <w:proofErr w:type="spellStart"/>
            <w:r w:rsidRPr="00A778FF">
              <w:rPr>
                <w:rFonts w:ascii="Arial" w:eastAsia="Calibri" w:hAnsi="Arial" w:cs="Arial"/>
                <w:sz w:val="20"/>
                <w:szCs w:val="20"/>
                <w14:ligatures w14:val="none"/>
              </w:rPr>
              <w:t>utilised</w:t>
            </w:r>
            <w:proofErr w:type="spellEnd"/>
            <w:r w:rsidRPr="00A778FF">
              <w:rPr>
                <w:rFonts w:ascii="Arial" w:eastAsia="Calibri" w:hAnsi="Arial" w:cs="Arial"/>
                <w:sz w:val="20"/>
                <w:szCs w:val="20"/>
                <w14:ligatures w14:val="none"/>
              </w:rPr>
              <w:t>.</w:t>
            </w:r>
          </w:p>
        </w:tc>
        <w:tc>
          <w:tcPr>
            <w:tcW w:w="3544" w:type="dxa"/>
          </w:tcPr>
          <w:p w14:paraId="155A973E"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7F31E2C7" w14:textId="77777777" w:rsidTr="00777168">
        <w:tc>
          <w:tcPr>
            <w:tcW w:w="1702" w:type="dxa"/>
          </w:tcPr>
          <w:p w14:paraId="04230922"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Subjects</w:t>
            </w:r>
          </w:p>
        </w:tc>
        <w:tc>
          <w:tcPr>
            <w:tcW w:w="1701" w:type="dxa"/>
            <w:shd w:val="clear" w:color="auto" w:fill="FFFFFF"/>
          </w:tcPr>
          <w:p w14:paraId="4F2211F3"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3.2 (B)</w:t>
            </w:r>
          </w:p>
        </w:tc>
        <w:tc>
          <w:tcPr>
            <w:tcW w:w="6662" w:type="dxa"/>
          </w:tcPr>
          <w:p w14:paraId="691784BF"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The description of the subjects and population studied should be detailed enough to enable transportability of the biological variation data. Minimum data set should be present, which should include number of subjects studied, age, gender, and state of well-being. </w:t>
            </w:r>
          </w:p>
        </w:tc>
        <w:tc>
          <w:tcPr>
            <w:tcW w:w="3544" w:type="dxa"/>
          </w:tcPr>
          <w:p w14:paraId="464C7BB0"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6A685133" w14:textId="77777777" w:rsidTr="00777168">
        <w:tc>
          <w:tcPr>
            <w:tcW w:w="1702" w:type="dxa"/>
          </w:tcPr>
          <w:p w14:paraId="37D5F650"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Measurement Procedure.</w:t>
            </w:r>
          </w:p>
        </w:tc>
        <w:tc>
          <w:tcPr>
            <w:tcW w:w="1701" w:type="dxa"/>
            <w:shd w:val="clear" w:color="auto" w:fill="FFFFFF"/>
          </w:tcPr>
          <w:p w14:paraId="26572505"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3.3 (A)</w:t>
            </w:r>
          </w:p>
        </w:tc>
        <w:tc>
          <w:tcPr>
            <w:tcW w:w="6662" w:type="dxa"/>
          </w:tcPr>
          <w:p w14:paraId="7833EF01" w14:textId="1A455C50"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A clear description of the analytical methodology used should form part of the metadata. This may be made available </w:t>
            </w:r>
            <w:r w:rsidRPr="00A778FF">
              <w:rPr>
                <w:rFonts w:ascii="Arial" w:eastAsia="Calibri" w:hAnsi="Arial" w:cs="Arial"/>
                <w:i/>
                <w:iCs/>
                <w:sz w:val="20"/>
                <w:szCs w:val="20"/>
                <w14:ligatures w14:val="none"/>
              </w:rPr>
              <w:t>via</w:t>
            </w:r>
            <w:r w:rsidRPr="00A778FF">
              <w:rPr>
                <w:rFonts w:ascii="Arial" w:eastAsia="Calibri" w:hAnsi="Arial" w:cs="Arial"/>
                <w:sz w:val="20"/>
                <w:szCs w:val="20"/>
                <w14:ligatures w14:val="none"/>
              </w:rPr>
              <w:t xml:space="preserve"> an appropriate reference</w:t>
            </w:r>
            <w:r w:rsidR="00D8656C">
              <w:rPr>
                <w:rFonts w:ascii="Arial" w:eastAsia="Calibri" w:hAnsi="Arial" w:cs="Arial"/>
                <w:sz w:val="20"/>
                <w:szCs w:val="20"/>
                <w14:ligatures w14:val="none"/>
              </w:rPr>
              <w:t xml:space="preserve"> </w:t>
            </w:r>
            <w:r w:rsidR="00D8656C" w:rsidRPr="000B3DA7">
              <w:rPr>
                <w:rFonts w:ascii="Arial" w:eastAsia="Calibri" w:hAnsi="Arial" w:cs="Arial"/>
                <w:sz w:val="20"/>
                <w:szCs w:val="20"/>
                <w14:ligatures w14:val="none"/>
              </w:rPr>
              <w:t xml:space="preserve">(in the case of kits to the manufactures information </w:t>
            </w:r>
            <w:proofErr w:type="gramStart"/>
            <w:r w:rsidR="00D8656C" w:rsidRPr="000B3DA7">
              <w:rPr>
                <w:rFonts w:ascii="Arial" w:eastAsia="Calibri" w:hAnsi="Arial" w:cs="Arial"/>
                <w:sz w:val="20"/>
                <w:szCs w:val="20"/>
                <w14:ligatures w14:val="none"/>
              </w:rPr>
              <w:t>for  users</w:t>
            </w:r>
            <w:proofErr w:type="gramEnd"/>
            <w:r w:rsidR="00D8656C" w:rsidRPr="000B3DA7">
              <w:rPr>
                <w:rFonts w:ascii="Arial" w:eastAsia="Calibri" w:hAnsi="Arial" w:cs="Arial"/>
                <w:sz w:val="20"/>
                <w:szCs w:val="20"/>
                <w14:ligatures w14:val="none"/>
              </w:rPr>
              <w:t xml:space="preserve"> documentation may be referenced including version number and data of publication if available)</w:t>
            </w:r>
            <w:r w:rsidR="00D8656C">
              <w:rPr>
                <w:rFonts w:ascii="Arial" w:eastAsia="Calibri" w:hAnsi="Arial" w:cs="Arial"/>
                <w:sz w:val="20"/>
                <w:szCs w:val="20"/>
                <w14:ligatures w14:val="none"/>
              </w:rPr>
              <w:t xml:space="preserve"> </w:t>
            </w:r>
            <w:r w:rsidRPr="00A778FF">
              <w:rPr>
                <w:rFonts w:ascii="Arial" w:eastAsia="Calibri" w:hAnsi="Arial" w:cs="Arial"/>
                <w:sz w:val="20"/>
                <w:szCs w:val="20"/>
                <w14:ligatures w14:val="none"/>
              </w:rPr>
              <w:t xml:space="preserve"> or be presented within the publication. Deviation from standard operating procedures, use of adaptations of published methods, and deviation from manufacturers recommended methods in the case of commercially available systems should be documented. </w:t>
            </w:r>
            <w:proofErr w:type="spellStart"/>
            <w:r w:rsidRPr="00A778FF">
              <w:rPr>
                <w:rFonts w:ascii="Arial" w:eastAsia="Calibri" w:hAnsi="Arial" w:cs="Arial"/>
                <w:sz w:val="20"/>
                <w:szCs w:val="20"/>
                <w14:ligatures w14:val="none"/>
              </w:rPr>
              <w:t>Standardisation</w:t>
            </w:r>
            <w:proofErr w:type="spellEnd"/>
            <w:r w:rsidRPr="00A778FF">
              <w:rPr>
                <w:rFonts w:ascii="Arial" w:eastAsia="Calibri" w:hAnsi="Arial" w:cs="Arial"/>
                <w:sz w:val="20"/>
                <w:szCs w:val="20"/>
                <w14:ligatures w14:val="none"/>
              </w:rPr>
              <w:t xml:space="preserve"> and traceability should be clearly identified.</w:t>
            </w:r>
          </w:p>
        </w:tc>
        <w:tc>
          <w:tcPr>
            <w:tcW w:w="3544" w:type="dxa"/>
          </w:tcPr>
          <w:p w14:paraId="7B64F06C"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1EF09EB6" w14:textId="77777777" w:rsidTr="00777168">
        <w:tc>
          <w:tcPr>
            <w:tcW w:w="1702" w:type="dxa"/>
          </w:tcPr>
          <w:p w14:paraId="3EFFF602"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Length of Study</w:t>
            </w:r>
          </w:p>
        </w:tc>
        <w:tc>
          <w:tcPr>
            <w:tcW w:w="1701" w:type="dxa"/>
            <w:shd w:val="clear" w:color="auto" w:fill="FFFFFF"/>
          </w:tcPr>
          <w:p w14:paraId="7C8D7474"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3.4 (C)</w:t>
            </w:r>
          </w:p>
        </w:tc>
        <w:tc>
          <w:tcPr>
            <w:tcW w:w="6662" w:type="dxa"/>
          </w:tcPr>
          <w:p w14:paraId="59B97C27"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Length of the study periods should be clearly identified.</w:t>
            </w:r>
          </w:p>
        </w:tc>
        <w:tc>
          <w:tcPr>
            <w:tcW w:w="3544" w:type="dxa"/>
          </w:tcPr>
          <w:p w14:paraId="3BDCC14E"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22B620F8" w14:textId="77777777" w:rsidTr="00777168">
        <w:tc>
          <w:tcPr>
            <w:tcW w:w="1702" w:type="dxa"/>
          </w:tcPr>
          <w:p w14:paraId="1B601A44"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Sampling</w:t>
            </w:r>
          </w:p>
        </w:tc>
        <w:tc>
          <w:tcPr>
            <w:tcW w:w="1701" w:type="dxa"/>
            <w:shd w:val="clear" w:color="auto" w:fill="FFFFFF"/>
          </w:tcPr>
          <w:p w14:paraId="50DC52A8"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0B3DA7">
              <w:rPr>
                <w:rFonts w:ascii="Arial" w:eastAsia="Calibri" w:hAnsi="Arial" w:cs="Arial"/>
                <w:sz w:val="20"/>
                <w:szCs w:val="20"/>
                <w:shd w:val="clear" w:color="auto" w:fill="FFE599"/>
                <w14:ligatures w14:val="none"/>
              </w:rPr>
              <w:t>3</w:t>
            </w:r>
            <w:r w:rsidRPr="00A778FF">
              <w:rPr>
                <w:rFonts w:ascii="Arial" w:eastAsia="Calibri" w:hAnsi="Arial" w:cs="Arial"/>
                <w:sz w:val="20"/>
                <w:szCs w:val="20"/>
                <w:shd w:val="clear" w:color="auto" w:fill="FFE599"/>
                <w14:ligatures w14:val="none"/>
              </w:rPr>
              <w:t>.</w:t>
            </w:r>
            <w:r w:rsidRPr="00A778FF">
              <w:rPr>
                <w:rFonts w:ascii="Arial" w:eastAsia="Calibri" w:hAnsi="Arial" w:cs="Arial"/>
                <w:sz w:val="20"/>
                <w:szCs w:val="20"/>
                <w14:ligatures w14:val="none"/>
              </w:rPr>
              <w:t>5 (C)</w:t>
            </w:r>
          </w:p>
        </w:tc>
        <w:tc>
          <w:tcPr>
            <w:tcW w:w="6662" w:type="dxa"/>
          </w:tcPr>
          <w:p w14:paraId="2F5BDA76"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Sampling protocols (e.g. subject preparation, sampling conditions) that </w:t>
            </w:r>
            <w:proofErr w:type="spellStart"/>
            <w:r w:rsidRPr="00A778FF">
              <w:rPr>
                <w:rFonts w:ascii="Arial" w:eastAsia="Calibri" w:hAnsi="Arial" w:cs="Arial"/>
                <w:sz w:val="20"/>
                <w:szCs w:val="20"/>
                <w14:ligatures w14:val="none"/>
              </w:rPr>
              <w:t>minimise</w:t>
            </w:r>
            <w:proofErr w:type="spellEnd"/>
            <w:r w:rsidRPr="00A778FF">
              <w:rPr>
                <w:rFonts w:ascii="Arial" w:eastAsia="Calibri" w:hAnsi="Arial" w:cs="Arial"/>
                <w:sz w:val="20"/>
                <w:szCs w:val="20"/>
                <w14:ligatures w14:val="none"/>
              </w:rPr>
              <w:t xml:space="preserve"> pre-analytical variation should be adequately described to enable transportability of the data. Numbers of samples taken should be sufficient to deliver the required power to the study</w:t>
            </w:r>
            <w:r w:rsidRPr="00A778FF" w:rsidDel="0008212F">
              <w:rPr>
                <w:rFonts w:ascii="Arial" w:eastAsia="Calibri" w:hAnsi="Arial" w:cs="Arial"/>
                <w:sz w:val="20"/>
                <w:szCs w:val="20"/>
                <w14:ligatures w14:val="none"/>
              </w:rPr>
              <w:t xml:space="preserve"> </w:t>
            </w:r>
          </w:p>
        </w:tc>
        <w:tc>
          <w:tcPr>
            <w:tcW w:w="3544" w:type="dxa"/>
          </w:tcPr>
          <w:p w14:paraId="71D8BC21"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4954A861" w14:textId="77777777" w:rsidTr="00777168">
        <w:tc>
          <w:tcPr>
            <w:tcW w:w="1702" w:type="dxa"/>
          </w:tcPr>
          <w:p w14:paraId="401BA1FC"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Samples</w:t>
            </w:r>
          </w:p>
        </w:tc>
        <w:tc>
          <w:tcPr>
            <w:tcW w:w="1701" w:type="dxa"/>
            <w:shd w:val="clear" w:color="auto" w:fill="FFFFFF"/>
          </w:tcPr>
          <w:p w14:paraId="7F221CDB"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3.6 (C)</w:t>
            </w:r>
          </w:p>
        </w:tc>
        <w:tc>
          <w:tcPr>
            <w:tcW w:w="6662" w:type="dxa"/>
          </w:tcPr>
          <w:p w14:paraId="5AB9F55E"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Recorded details should include the beginning and end date of the study and timings of sampling. </w:t>
            </w:r>
          </w:p>
          <w:p w14:paraId="2B070213"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 </w:t>
            </w:r>
          </w:p>
          <w:p w14:paraId="46E74E18"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Sampe type should be described in detail. Storage conditions of samples prior to analysis should be described.</w:t>
            </w:r>
          </w:p>
          <w:p w14:paraId="32ABDB97" w14:textId="77777777" w:rsidR="00A778FF" w:rsidRPr="00A778FF" w:rsidRDefault="00A778FF" w:rsidP="00A778FF">
            <w:pPr>
              <w:spacing w:after="0" w:line="240" w:lineRule="auto"/>
              <w:rPr>
                <w:rFonts w:ascii="Arial" w:eastAsia="Calibri" w:hAnsi="Arial" w:cs="Arial"/>
                <w:sz w:val="20"/>
                <w:szCs w:val="20"/>
                <w14:ligatures w14:val="none"/>
              </w:rPr>
            </w:pPr>
          </w:p>
        </w:tc>
        <w:tc>
          <w:tcPr>
            <w:tcW w:w="3544" w:type="dxa"/>
          </w:tcPr>
          <w:p w14:paraId="061406C7"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2CF9549B" w14:textId="77777777" w:rsidTr="00777168">
        <w:tc>
          <w:tcPr>
            <w:tcW w:w="1702" w:type="dxa"/>
          </w:tcPr>
          <w:p w14:paraId="4FCC71E5"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Conditions for analysis of samples</w:t>
            </w:r>
          </w:p>
        </w:tc>
        <w:tc>
          <w:tcPr>
            <w:tcW w:w="1701" w:type="dxa"/>
            <w:shd w:val="clear" w:color="auto" w:fill="FFFFFF"/>
          </w:tcPr>
          <w:p w14:paraId="713A442B"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3.7 (C)</w:t>
            </w:r>
          </w:p>
        </w:tc>
        <w:tc>
          <w:tcPr>
            <w:tcW w:w="6662" w:type="dxa"/>
          </w:tcPr>
          <w:p w14:paraId="635607A0"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A description of conditions under which the samples were </w:t>
            </w:r>
            <w:proofErr w:type="spellStart"/>
            <w:r w:rsidRPr="00A778FF">
              <w:rPr>
                <w:rFonts w:ascii="Arial" w:eastAsia="Calibri" w:hAnsi="Arial" w:cs="Arial"/>
                <w:sz w:val="20"/>
                <w:szCs w:val="20"/>
                <w14:ligatures w14:val="none"/>
              </w:rPr>
              <w:t>analysed</w:t>
            </w:r>
            <w:proofErr w:type="spellEnd"/>
            <w:r w:rsidRPr="00A778FF">
              <w:rPr>
                <w:rFonts w:ascii="Arial" w:eastAsia="Calibri" w:hAnsi="Arial" w:cs="Arial"/>
                <w:sz w:val="20"/>
                <w:szCs w:val="20"/>
                <w14:ligatures w14:val="none"/>
              </w:rPr>
              <w:t xml:space="preserve">. Analytical protocols should be designed to </w:t>
            </w:r>
            <w:proofErr w:type="spellStart"/>
            <w:r w:rsidRPr="00A778FF">
              <w:rPr>
                <w:rFonts w:ascii="Arial" w:eastAsia="Calibri" w:hAnsi="Arial" w:cs="Arial"/>
                <w:sz w:val="20"/>
                <w:szCs w:val="20"/>
                <w14:ligatures w14:val="none"/>
              </w:rPr>
              <w:t>minimise</w:t>
            </w:r>
            <w:proofErr w:type="spellEnd"/>
            <w:r w:rsidRPr="00A778FF">
              <w:rPr>
                <w:rFonts w:ascii="Arial" w:eastAsia="Calibri" w:hAnsi="Arial" w:cs="Arial"/>
                <w:sz w:val="20"/>
                <w:szCs w:val="20"/>
                <w14:ligatures w14:val="none"/>
              </w:rPr>
              <w:t xml:space="preserve"> sources of analytical variation (Optimal Conditions Precision). </w:t>
            </w:r>
          </w:p>
        </w:tc>
        <w:tc>
          <w:tcPr>
            <w:tcW w:w="3544" w:type="dxa"/>
          </w:tcPr>
          <w:p w14:paraId="766F7571"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0A4EAF3A" w14:textId="77777777" w:rsidTr="00777168">
        <w:tc>
          <w:tcPr>
            <w:tcW w:w="1702" w:type="dxa"/>
          </w:tcPr>
          <w:p w14:paraId="742F8F27" w14:textId="77777777" w:rsidR="00A778FF" w:rsidRPr="00A778FF" w:rsidRDefault="00A778FF" w:rsidP="00A778FF">
            <w:pPr>
              <w:spacing w:after="0" w:line="240" w:lineRule="auto"/>
              <w:jc w:val="center"/>
              <w:rPr>
                <w:rFonts w:ascii="Arial" w:eastAsia="Calibri" w:hAnsi="Arial" w:cs="Arial"/>
                <w:b/>
                <w:bCs/>
                <w:sz w:val="20"/>
                <w:szCs w:val="20"/>
                <w14:ligatures w14:val="none"/>
              </w:rPr>
            </w:pPr>
            <w:r w:rsidRPr="00A778FF">
              <w:rPr>
                <w:rFonts w:ascii="Arial" w:eastAsia="Calibri" w:hAnsi="Arial" w:cs="Arial"/>
                <w:b/>
                <w:bCs/>
                <w:sz w:val="20"/>
                <w:szCs w:val="20"/>
                <w14:ligatures w14:val="none"/>
              </w:rPr>
              <w:t>Data Analysis</w:t>
            </w:r>
          </w:p>
        </w:tc>
        <w:tc>
          <w:tcPr>
            <w:tcW w:w="1701" w:type="dxa"/>
            <w:shd w:val="clear" w:color="auto" w:fill="FFFFFF"/>
          </w:tcPr>
          <w:p w14:paraId="5F93CAFE"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4</w:t>
            </w:r>
          </w:p>
        </w:tc>
        <w:tc>
          <w:tcPr>
            <w:tcW w:w="6662" w:type="dxa"/>
          </w:tcPr>
          <w:p w14:paraId="43DF6DFB" w14:textId="4474B8C9" w:rsidR="00A778FF" w:rsidRPr="00A778FF" w:rsidRDefault="00A778FF" w:rsidP="00A778FF">
            <w:pPr>
              <w:spacing w:after="0" w:line="240" w:lineRule="auto"/>
              <w:rPr>
                <w:rFonts w:ascii="Arial" w:eastAsia="Calibri" w:hAnsi="Arial" w:cs="Arial"/>
                <w:sz w:val="20"/>
                <w:szCs w:val="20"/>
                <w14:ligatures w14:val="none"/>
              </w:rPr>
            </w:pPr>
            <w:bookmarkStart w:id="0" w:name="_Hlk168567730"/>
            <w:r w:rsidRPr="00A778FF">
              <w:rPr>
                <w:rFonts w:ascii="Arial" w:eastAsia="Calibri" w:hAnsi="Arial" w:cs="Arial"/>
                <w:sz w:val="20"/>
                <w:szCs w:val="20"/>
                <w14:ligatures w14:val="none"/>
              </w:rPr>
              <w:t xml:space="preserve">Data analysis techniques should be described. The power of the study to identify indices of biological variation should be calculated and </w:t>
            </w:r>
            <w:proofErr w:type="spellStart"/>
            <w:r w:rsidRPr="00A778FF">
              <w:rPr>
                <w:rFonts w:ascii="Arial" w:eastAsia="Calibri" w:hAnsi="Arial" w:cs="Arial"/>
                <w:sz w:val="20"/>
                <w:szCs w:val="20"/>
                <w14:ligatures w14:val="none"/>
              </w:rPr>
              <w:t>presented</w:t>
            </w:r>
            <w:r w:rsidRPr="00A778FF">
              <w:rPr>
                <w:rFonts w:ascii="Arial" w:eastAsia="Calibri" w:hAnsi="Arial" w:cs="Arial"/>
                <w:sz w:val="20"/>
                <w:szCs w:val="20"/>
                <w:vertAlign w:val="superscript"/>
                <w14:ligatures w14:val="none"/>
              </w:rPr>
              <w:t>b</w:t>
            </w:r>
            <w:proofErr w:type="spellEnd"/>
            <w:r w:rsidRPr="00A778FF">
              <w:rPr>
                <w:rFonts w:ascii="Arial" w:eastAsia="Calibri" w:hAnsi="Arial" w:cs="Arial"/>
                <w:sz w:val="20"/>
                <w:szCs w:val="20"/>
                <w14:ligatures w14:val="none"/>
              </w:rPr>
              <w:t>.</w:t>
            </w:r>
            <w:r w:rsidR="00467B9F">
              <w:rPr>
                <w:rFonts w:ascii="Arial" w:eastAsia="Calibri" w:hAnsi="Arial" w:cs="Arial"/>
                <w:sz w:val="20"/>
                <w:szCs w:val="20"/>
                <w14:ligatures w14:val="none"/>
              </w:rPr>
              <w:t xml:space="preserve"> </w:t>
            </w:r>
            <w:r w:rsidR="00467B9F" w:rsidRPr="000B3DA7">
              <w:rPr>
                <w:rFonts w:ascii="Arial" w:eastAsia="Calibri" w:hAnsi="Arial" w:cs="Arial"/>
                <w:sz w:val="20"/>
                <w:szCs w:val="20"/>
                <w14:ligatures w14:val="none"/>
              </w:rPr>
              <w:t xml:space="preserve">If data are partitioned </w:t>
            </w:r>
            <w:r w:rsidR="00467B9F" w:rsidRPr="000B3DA7">
              <w:rPr>
                <w:rFonts w:ascii="Arial" w:eastAsia="Calibri" w:hAnsi="Arial" w:cs="Arial"/>
                <w:i/>
                <w:iCs/>
                <w:sz w:val="20"/>
                <w:szCs w:val="20"/>
                <w14:ligatures w14:val="none"/>
              </w:rPr>
              <w:t>(e.g.</w:t>
            </w:r>
            <w:proofErr w:type="gramStart"/>
            <w:r w:rsidR="00F96DD6" w:rsidRPr="000B3DA7">
              <w:rPr>
                <w:rFonts w:ascii="Arial" w:eastAsia="Calibri" w:hAnsi="Arial" w:cs="Arial"/>
                <w:i/>
                <w:iCs/>
                <w:sz w:val="20"/>
                <w:szCs w:val="20"/>
                <w14:ligatures w14:val="none"/>
              </w:rPr>
              <w:t xml:space="preserve">by </w:t>
            </w:r>
            <w:r w:rsidR="00467B9F" w:rsidRPr="000B3DA7">
              <w:rPr>
                <w:rFonts w:ascii="Arial" w:eastAsia="Calibri" w:hAnsi="Arial" w:cs="Arial"/>
                <w:sz w:val="20"/>
                <w:szCs w:val="20"/>
                <w14:ligatures w14:val="none"/>
              </w:rPr>
              <w:t xml:space="preserve"> ag</w:t>
            </w:r>
            <w:r w:rsidR="00F96DD6" w:rsidRPr="000B3DA7">
              <w:rPr>
                <w:rFonts w:ascii="Arial" w:eastAsia="Calibri" w:hAnsi="Arial" w:cs="Arial"/>
                <w:sz w:val="20"/>
                <w:szCs w:val="20"/>
                <w14:ligatures w14:val="none"/>
              </w:rPr>
              <w:t>e</w:t>
            </w:r>
            <w:proofErr w:type="gramEnd"/>
            <w:r w:rsidR="00467B9F" w:rsidRPr="000B3DA7">
              <w:rPr>
                <w:rFonts w:ascii="Arial" w:eastAsia="Calibri" w:hAnsi="Arial" w:cs="Arial"/>
                <w:sz w:val="20"/>
                <w:szCs w:val="20"/>
                <w14:ligatures w14:val="none"/>
              </w:rPr>
              <w:t xml:space="preserve"> </w:t>
            </w:r>
            <w:r w:rsidR="00F96DD6" w:rsidRPr="000B3DA7">
              <w:rPr>
                <w:rFonts w:ascii="Arial" w:eastAsia="Calibri" w:hAnsi="Arial" w:cs="Arial"/>
                <w:sz w:val="20"/>
                <w:szCs w:val="20"/>
                <w14:ligatures w14:val="none"/>
              </w:rPr>
              <w:t xml:space="preserve">, </w:t>
            </w:r>
            <w:r w:rsidR="00467B9F" w:rsidRPr="000B3DA7">
              <w:rPr>
                <w:rFonts w:ascii="Arial" w:eastAsia="Calibri" w:hAnsi="Arial" w:cs="Arial"/>
                <w:sz w:val="20"/>
                <w:szCs w:val="20"/>
                <w14:ligatures w14:val="none"/>
              </w:rPr>
              <w:t xml:space="preserve">sex </w:t>
            </w:r>
            <w:r w:rsidR="00F96DD6" w:rsidRPr="000B3DA7">
              <w:rPr>
                <w:rFonts w:ascii="Arial" w:eastAsia="Calibri" w:hAnsi="Arial" w:cs="Arial"/>
                <w:sz w:val="20"/>
                <w:szCs w:val="20"/>
                <w14:ligatures w14:val="none"/>
              </w:rPr>
              <w:t>or other</w:t>
            </w:r>
            <w:r w:rsidR="00467B9F" w:rsidRPr="000B3DA7">
              <w:rPr>
                <w:rFonts w:ascii="Arial" w:eastAsia="Calibri" w:hAnsi="Arial" w:cs="Arial"/>
                <w:sz w:val="20"/>
                <w:szCs w:val="20"/>
                <w14:ligatures w14:val="none"/>
              </w:rPr>
              <w:t>) Section</w:t>
            </w:r>
            <w:r w:rsidR="00F96DD6" w:rsidRPr="000B3DA7">
              <w:rPr>
                <w:rFonts w:ascii="Arial" w:eastAsia="Calibri" w:hAnsi="Arial" w:cs="Arial"/>
                <w:sz w:val="20"/>
                <w:szCs w:val="20"/>
                <w14:ligatures w14:val="none"/>
              </w:rPr>
              <w:t xml:space="preserve">4 including </w:t>
            </w:r>
            <w:r w:rsidR="00467B9F" w:rsidRPr="000B3DA7">
              <w:rPr>
                <w:rFonts w:ascii="Arial" w:eastAsia="Calibri" w:hAnsi="Arial" w:cs="Arial"/>
                <w:sz w:val="20"/>
                <w:szCs w:val="20"/>
                <w14:ligatures w14:val="none"/>
              </w:rPr>
              <w:t xml:space="preserve"> 4.1 and 4.2  should applied and reported for each partitioned data set.</w:t>
            </w:r>
            <w:bookmarkEnd w:id="0"/>
          </w:p>
        </w:tc>
        <w:tc>
          <w:tcPr>
            <w:tcW w:w="3544" w:type="dxa"/>
          </w:tcPr>
          <w:p w14:paraId="6D8B0BC0"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158C8766" w14:textId="77777777" w:rsidTr="00777168">
        <w:tc>
          <w:tcPr>
            <w:tcW w:w="1702" w:type="dxa"/>
          </w:tcPr>
          <w:p w14:paraId="07A4FBE5"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Outlier analysis</w:t>
            </w:r>
          </w:p>
        </w:tc>
        <w:tc>
          <w:tcPr>
            <w:tcW w:w="1701" w:type="dxa"/>
            <w:shd w:val="clear" w:color="auto" w:fill="FFFFFF"/>
          </w:tcPr>
          <w:p w14:paraId="5F604007"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4.1 (C)</w:t>
            </w:r>
          </w:p>
        </w:tc>
        <w:tc>
          <w:tcPr>
            <w:tcW w:w="6662" w:type="dxa"/>
          </w:tcPr>
          <w:p w14:paraId="0A854375"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Clinical data collected during the study should be assessed. Test for outliers should be applied to all levels of data (between replicate analysis, between samples within subject, between subjects). Outlier should be excluded from the final analysis of the data. The numbers of outliers and reasons for their exclusion must be given.</w:t>
            </w:r>
          </w:p>
        </w:tc>
        <w:tc>
          <w:tcPr>
            <w:tcW w:w="3544" w:type="dxa"/>
          </w:tcPr>
          <w:p w14:paraId="35799D19"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7476BE9C" w14:textId="77777777" w:rsidTr="00777168">
        <w:tc>
          <w:tcPr>
            <w:tcW w:w="1702" w:type="dxa"/>
          </w:tcPr>
          <w:p w14:paraId="4B331A30"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lastRenderedPageBreak/>
              <w:t>Steady State</w:t>
            </w:r>
          </w:p>
        </w:tc>
        <w:tc>
          <w:tcPr>
            <w:tcW w:w="1701" w:type="dxa"/>
            <w:shd w:val="clear" w:color="auto" w:fill="FFFFFF"/>
          </w:tcPr>
          <w:p w14:paraId="02807DE1"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4.2 (C)</w:t>
            </w:r>
          </w:p>
        </w:tc>
        <w:tc>
          <w:tcPr>
            <w:tcW w:w="6662" w:type="dxa"/>
          </w:tcPr>
          <w:p w14:paraId="1669DD6F"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For the obtained estimates of CV</w:t>
            </w:r>
            <w:r w:rsidRPr="00A778FF">
              <w:rPr>
                <w:rFonts w:ascii="Arial" w:eastAsia="Calibri" w:hAnsi="Arial" w:cs="Arial"/>
                <w:sz w:val="20"/>
                <w:szCs w:val="20"/>
                <w:vertAlign w:val="subscript"/>
                <w14:ligatures w14:val="none"/>
              </w:rPr>
              <w:t>I</w:t>
            </w:r>
            <w:r w:rsidRPr="00A778FF">
              <w:rPr>
                <w:rFonts w:ascii="Arial" w:eastAsia="Calibri" w:hAnsi="Arial" w:cs="Arial"/>
                <w:sz w:val="20"/>
                <w:szCs w:val="20"/>
                <w14:ligatures w14:val="none"/>
              </w:rPr>
              <w:t xml:space="preserve"> to be reliable, subjects must be in steady state.  Evidence should therefore be presented that </w:t>
            </w:r>
            <w:proofErr w:type="gramStart"/>
            <w:r w:rsidRPr="00A778FF">
              <w:rPr>
                <w:rFonts w:ascii="Arial" w:eastAsia="Calibri" w:hAnsi="Arial" w:cs="Arial"/>
                <w:sz w:val="20"/>
                <w:szCs w:val="20"/>
                <w14:ligatures w14:val="none"/>
              </w:rPr>
              <w:t>data  from</w:t>
            </w:r>
            <w:proofErr w:type="gramEnd"/>
            <w:r w:rsidRPr="00A778FF">
              <w:rPr>
                <w:rFonts w:ascii="Arial" w:eastAsia="Calibri" w:hAnsi="Arial" w:cs="Arial"/>
                <w:sz w:val="20"/>
                <w:szCs w:val="20"/>
                <w14:ligatures w14:val="none"/>
              </w:rPr>
              <w:t xml:space="preserve"> subjects to be included  in the analysis to determine CV</w:t>
            </w:r>
            <w:r w:rsidRPr="00A778FF">
              <w:rPr>
                <w:rFonts w:ascii="Arial" w:eastAsia="Calibri" w:hAnsi="Arial" w:cs="Arial"/>
                <w:sz w:val="20"/>
                <w:szCs w:val="20"/>
                <w:vertAlign w:val="subscript"/>
                <w14:ligatures w14:val="none"/>
              </w:rPr>
              <w:t xml:space="preserve">I </w:t>
            </w:r>
            <w:r w:rsidRPr="00A778FF">
              <w:rPr>
                <w:rFonts w:ascii="Arial" w:eastAsia="Calibri" w:hAnsi="Arial" w:cs="Arial"/>
                <w:sz w:val="20"/>
                <w:szCs w:val="20"/>
                <w14:ligatures w14:val="none"/>
              </w:rPr>
              <w:t xml:space="preserve"> have been examined using trend analysis to confirm steady state  and where necessary the data have been adequately transformed to account for this.</w:t>
            </w:r>
          </w:p>
        </w:tc>
        <w:tc>
          <w:tcPr>
            <w:tcW w:w="3544" w:type="dxa"/>
          </w:tcPr>
          <w:p w14:paraId="7660A3BF"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30B3084F" w14:textId="77777777" w:rsidTr="00777168">
        <w:tc>
          <w:tcPr>
            <w:tcW w:w="1702" w:type="dxa"/>
          </w:tcPr>
          <w:p w14:paraId="0A7B59FD"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Heterogeneity of variance.</w:t>
            </w:r>
          </w:p>
        </w:tc>
        <w:tc>
          <w:tcPr>
            <w:tcW w:w="1701" w:type="dxa"/>
            <w:shd w:val="clear" w:color="auto" w:fill="FFFFFF"/>
          </w:tcPr>
          <w:p w14:paraId="3938075E"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4.3 (C)</w:t>
            </w:r>
          </w:p>
        </w:tc>
        <w:tc>
          <w:tcPr>
            <w:tcW w:w="6662" w:type="dxa"/>
          </w:tcPr>
          <w:p w14:paraId="357F6D6D"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Subjects with outlying within subject variance should be rejected from calculations used to determine an estimate of common true variance. The numbers of outliers and reasons for their exclusion must be </w:t>
            </w:r>
            <w:proofErr w:type="spellStart"/>
            <w:r w:rsidRPr="00A778FF">
              <w:rPr>
                <w:rFonts w:ascii="Arial" w:eastAsia="Calibri" w:hAnsi="Arial" w:cs="Arial"/>
                <w:sz w:val="20"/>
                <w:szCs w:val="20"/>
                <w14:ligatures w14:val="none"/>
              </w:rPr>
              <w:t>given</w:t>
            </w:r>
            <w:r w:rsidRPr="00A778FF">
              <w:rPr>
                <w:rFonts w:ascii="Arial" w:eastAsia="Calibri" w:hAnsi="Arial" w:cs="Arial"/>
                <w:sz w:val="20"/>
                <w:szCs w:val="20"/>
                <w:vertAlign w:val="superscript"/>
                <w14:ligatures w14:val="none"/>
              </w:rPr>
              <w:t>b</w:t>
            </w:r>
            <w:proofErr w:type="spellEnd"/>
            <w:r w:rsidRPr="00A778FF">
              <w:rPr>
                <w:rFonts w:ascii="Arial" w:eastAsia="Calibri" w:hAnsi="Arial" w:cs="Arial"/>
                <w:sz w:val="20"/>
                <w:szCs w:val="20"/>
                <w14:ligatures w14:val="none"/>
              </w:rPr>
              <w:t>.</w:t>
            </w:r>
          </w:p>
        </w:tc>
        <w:tc>
          <w:tcPr>
            <w:tcW w:w="3544" w:type="dxa"/>
          </w:tcPr>
          <w:p w14:paraId="7495C4FD"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05C6F3F4" w14:textId="77777777" w:rsidTr="00777168">
        <w:tc>
          <w:tcPr>
            <w:tcW w:w="1702" w:type="dxa"/>
          </w:tcPr>
          <w:p w14:paraId="5F5295D7"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Statistical methods described and appropriate</w:t>
            </w:r>
          </w:p>
        </w:tc>
        <w:tc>
          <w:tcPr>
            <w:tcW w:w="1701" w:type="dxa"/>
            <w:shd w:val="clear" w:color="auto" w:fill="FFFFFF"/>
          </w:tcPr>
          <w:p w14:paraId="7E4B3C75"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4.4 (C)</w:t>
            </w:r>
          </w:p>
        </w:tc>
        <w:tc>
          <w:tcPr>
            <w:tcW w:w="6662" w:type="dxa"/>
          </w:tcPr>
          <w:p w14:paraId="275B4F2A"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Statistical methods used should be appropriately identified, fit for purpose, and referenced. Data that do not conform to a normal distribution should be appropriately transformed.</w:t>
            </w:r>
          </w:p>
        </w:tc>
        <w:tc>
          <w:tcPr>
            <w:tcW w:w="3544" w:type="dxa"/>
          </w:tcPr>
          <w:p w14:paraId="74F8BF11"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639ED618" w14:textId="77777777" w:rsidTr="00777168">
        <w:tc>
          <w:tcPr>
            <w:tcW w:w="1702" w:type="dxa"/>
          </w:tcPr>
          <w:p w14:paraId="3C898606"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b/>
                <w:bCs/>
                <w:sz w:val="20"/>
                <w:szCs w:val="20"/>
                <w14:ligatures w14:val="none"/>
              </w:rPr>
              <w:t>Results</w:t>
            </w:r>
          </w:p>
        </w:tc>
        <w:tc>
          <w:tcPr>
            <w:tcW w:w="1701" w:type="dxa"/>
            <w:shd w:val="clear" w:color="auto" w:fill="FFFFFF"/>
          </w:tcPr>
          <w:p w14:paraId="02E7585E"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5</w:t>
            </w:r>
          </w:p>
        </w:tc>
        <w:tc>
          <w:tcPr>
            <w:tcW w:w="6662" w:type="dxa"/>
          </w:tcPr>
          <w:p w14:paraId="0035CCDE"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Unified terminology should be used, and appropriately defined metadata clearly presented to enable understanding and transportation of the data through time and across health care systems. </w:t>
            </w:r>
          </w:p>
        </w:tc>
        <w:tc>
          <w:tcPr>
            <w:tcW w:w="3544" w:type="dxa"/>
          </w:tcPr>
          <w:p w14:paraId="2B011567"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52E5B246" w14:textId="77777777" w:rsidTr="00777168">
        <w:tc>
          <w:tcPr>
            <w:tcW w:w="1702" w:type="dxa"/>
          </w:tcPr>
          <w:p w14:paraId="5F8843D0" w14:textId="77777777" w:rsidR="00A778FF" w:rsidRPr="00A778FF" w:rsidRDefault="00A778FF" w:rsidP="00A778FF">
            <w:pPr>
              <w:spacing w:after="0" w:line="240" w:lineRule="auto"/>
              <w:rPr>
                <w:rFonts w:ascii="Arial" w:eastAsia="Calibri" w:hAnsi="Arial" w:cs="Arial"/>
                <w:b/>
                <w:bCs/>
                <w:sz w:val="20"/>
                <w:szCs w:val="20"/>
                <w14:ligatures w14:val="none"/>
              </w:rPr>
            </w:pPr>
            <w:r w:rsidRPr="00A778FF">
              <w:rPr>
                <w:rFonts w:ascii="Arial" w:eastAsia="Calibri" w:hAnsi="Arial" w:cs="Arial"/>
                <w:sz w:val="20"/>
                <w:szCs w:val="20"/>
                <w14:ligatures w14:val="none"/>
              </w:rPr>
              <w:t>Terminology</w:t>
            </w:r>
          </w:p>
        </w:tc>
        <w:tc>
          <w:tcPr>
            <w:tcW w:w="1701" w:type="dxa"/>
            <w:shd w:val="clear" w:color="auto" w:fill="FFFFFF"/>
          </w:tcPr>
          <w:p w14:paraId="099E6E63"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5.1 (D)</w:t>
            </w:r>
          </w:p>
        </w:tc>
        <w:tc>
          <w:tcPr>
            <w:tcW w:w="6662" w:type="dxa"/>
          </w:tcPr>
          <w:p w14:paraId="1DFD8E0E" w14:textId="360627BE"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Terms and symbols used to describe biological variation should conform to standards identified by </w:t>
            </w:r>
            <w:proofErr w:type="spellStart"/>
            <w:r w:rsidRPr="00A778FF">
              <w:rPr>
                <w:rFonts w:ascii="Arial" w:eastAsia="Calibri" w:hAnsi="Arial" w:cs="Arial"/>
                <w:sz w:val="20"/>
                <w:szCs w:val="20"/>
                <w14:ligatures w14:val="none"/>
              </w:rPr>
              <w:t>Simundic</w:t>
            </w:r>
            <w:proofErr w:type="spellEnd"/>
            <w:r w:rsidRPr="00A778FF">
              <w:rPr>
                <w:rFonts w:ascii="Arial" w:eastAsia="Calibri" w:hAnsi="Arial" w:cs="Arial"/>
                <w:sz w:val="20"/>
                <w:szCs w:val="20"/>
                <w14:ligatures w14:val="none"/>
              </w:rPr>
              <w:t xml:space="preserve"> </w:t>
            </w:r>
            <w:r w:rsidRPr="00A778FF">
              <w:rPr>
                <w:rFonts w:ascii="Arial" w:eastAsia="Calibri" w:hAnsi="Arial" w:cs="Arial"/>
                <w:i/>
                <w:iCs/>
                <w:sz w:val="20"/>
                <w:szCs w:val="20"/>
                <w14:ligatures w14:val="none"/>
              </w:rPr>
              <w:t xml:space="preserve">et </w:t>
            </w:r>
            <w:proofErr w:type="spellStart"/>
            <w:r w:rsidRPr="00A778FF">
              <w:rPr>
                <w:rFonts w:ascii="Arial" w:eastAsia="Calibri" w:hAnsi="Arial" w:cs="Arial"/>
                <w:i/>
                <w:iCs/>
                <w:sz w:val="20"/>
                <w:szCs w:val="20"/>
                <w14:ligatures w14:val="none"/>
              </w:rPr>
              <w:t>al</w:t>
            </w:r>
            <w:r w:rsidRPr="000B3DA7">
              <w:rPr>
                <w:rFonts w:ascii="Arial" w:eastAsia="Calibri" w:hAnsi="Arial" w:cs="Arial"/>
                <w:i/>
                <w:iCs/>
                <w:sz w:val="20"/>
                <w:szCs w:val="20"/>
                <w14:ligatures w14:val="none"/>
              </w:rPr>
              <w:t>.</w:t>
            </w:r>
            <w:r w:rsidR="00F96DD6" w:rsidRPr="000B3DA7">
              <w:rPr>
                <w:rFonts w:ascii="Arial" w:eastAsia="Calibri" w:hAnsi="Arial" w:cs="Arial"/>
                <w:sz w:val="20"/>
                <w:szCs w:val="20"/>
                <w:vertAlign w:val="superscript"/>
                <w14:ligatures w14:val="none"/>
              </w:rPr>
              <w:t>c</w:t>
            </w:r>
            <w:proofErr w:type="spellEnd"/>
            <w:r w:rsidRPr="00A778FF">
              <w:rPr>
                <w:rFonts w:ascii="Arial" w:eastAsia="Calibri" w:hAnsi="Arial" w:cs="Arial"/>
                <w:i/>
                <w:iCs/>
                <w:sz w:val="20"/>
                <w:szCs w:val="20"/>
                <w14:ligatures w14:val="none"/>
              </w:rPr>
              <w:t xml:space="preserve"> </w:t>
            </w:r>
          </w:p>
        </w:tc>
        <w:tc>
          <w:tcPr>
            <w:tcW w:w="3544" w:type="dxa"/>
          </w:tcPr>
          <w:p w14:paraId="233F6A82"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5F146507" w14:textId="77777777" w:rsidTr="00777168">
        <w:tc>
          <w:tcPr>
            <w:tcW w:w="1702" w:type="dxa"/>
          </w:tcPr>
          <w:p w14:paraId="50F51859"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Results clearly presented and managed</w:t>
            </w:r>
          </w:p>
        </w:tc>
        <w:tc>
          <w:tcPr>
            <w:tcW w:w="1701" w:type="dxa"/>
            <w:shd w:val="clear" w:color="auto" w:fill="FFFFFF"/>
          </w:tcPr>
          <w:p w14:paraId="65B3DDE7"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5.2 (D)</w:t>
            </w:r>
          </w:p>
        </w:tc>
        <w:tc>
          <w:tcPr>
            <w:tcW w:w="6662" w:type="dxa"/>
          </w:tcPr>
          <w:p w14:paraId="4054E360"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Biological variation data, with derived indices, should be tabulated in a format that enables extraction of the key data unambiguously associated with a minimum data set to enable transportability of the data. </w:t>
            </w:r>
          </w:p>
          <w:p w14:paraId="13A3A867" w14:textId="77777777" w:rsidR="00A778FF" w:rsidRPr="00A778FF" w:rsidRDefault="00A778FF" w:rsidP="00A778FF">
            <w:pPr>
              <w:spacing w:after="0" w:line="240" w:lineRule="auto"/>
              <w:rPr>
                <w:rFonts w:ascii="Arial" w:eastAsia="Calibri" w:hAnsi="Arial" w:cs="Arial"/>
                <w:sz w:val="20"/>
                <w:szCs w:val="20"/>
                <w14:ligatures w14:val="none"/>
              </w:rPr>
            </w:pPr>
          </w:p>
          <w:p w14:paraId="088038AF"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The power of the study and confidence limits around estimates of biological variation should be presented.</w:t>
            </w:r>
          </w:p>
          <w:p w14:paraId="3A0B4D11" w14:textId="77777777" w:rsidR="00A778FF" w:rsidRPr="00A778FF" w:rsidRDefault="00A778FF" w:rsidP="00A778FF">
            <w:pPr>
              <w:spacing w:after="0" w:line="240" w:lineRule="auto"/>
              <w:rPr>
                <w:rFonts w:ascii="Arial" w:eastAsia="Calibri" w:hAnsi="Arial" w:cs="Arial"/>
                <w:sz w:val="20"/>
                <w:szCs w:val="20"/>
                <w14:ligatures w14:val="none"/>
              </w:rPr>
            </w:pPr>
          </w:p>
          <w:p w14:paraId="5E98678E" w14:textId="77777777" w:rsidR="00A778FF" w:rsidRPr="00A778FF" w:rsidRDefault="00A778FF" w:rsidP="00A778FF">
            <w:pPr>
              <w:spacing w:after="0" w:line="240" w:lineRule="auto"/>
              <w:ind w:left="34"/>
              <w:rPr>
                <w:rFonts w:ascii="Arial" w:eastAsia="Calibri" w:hAnsi="Arial" w:cs="Arial"/>
                <w:sz w:val="20"/>
                <w:szCs w:val="20"/>
                <w14:ligatures w14:val="none"/>
              </w:rPr>
            </w:pPr>
            <w:r w:rsidRPr="00A778FF">
              <w:rPr>
                <w:rFonts w:ascii="Arial" w:eastAsia="Calibri" w:hAnsi="Arial" w:cs="Arial"/>
                <w:sz w:val="20"/>
                <w:szCs w:val="20"/>
                <w14:ligatures w14:val="none"/>
              </w:rPr>
              <w:t>The results section should clearly identify the results of outlier analysis undertaken and confirm homogeneity of the data sets.</w:t>
            </w:r>
          </w:p>
          <w:p w14:paraId="17C99F62" w14:textId="77777777" w:rsidR="00A778FF" w:rsidRPr="00A778FF" w:rsidRDefault="00A778FF" w:rsidP="00A778FF">
            <w:pPr>
              <w:spacing w:after="0" w:line="240" w:lineRule="auto"/>
              <w:ind w:left="34"/>
              <w:rPr>
                <w:rFonts w:ascii="Arial" w:eastAsia="Calibri" w:hAnsi="Arial" w:cs="Arial"/>
                <w:sz w:val="20"/>
                <w:szCs w:val="20"/>
                <w14:ligatures w14:val="none"/>
              </w:rPr>
            </w:pPr>
            <w:r w:rsidRPr="00A778FF">
              <w:rPr>
                <w:rFonts w:ascii="Arial" w:eastAsia="Calibri" w:hAnsi="Arial" w:cs="Arial"/>
                <w:sz w:val="20"/>
                <w:szCs w:val="20"/>
                <w14:ligatures w14:val="none"/>
              </w:rPr>
              <w:t xml:space="preserve">If data are stratified, the variables used to enable this should be clearly </w:t>
            </w:r>
            <w:proofErr w:type="spellStart"/>
            <w:r w:rsidRPr="00A778FF">
              <w:rPr>
                <w:rFonts w:ascii="Arial" w:eastAsia="Calibri" w:hAnsi="Arial" w:cs="Arial"/>
                <w:sz w:val="20"/>
                <w:szCs w:val="20"/>
                <w14:ligatures w14:val="none"/>
              </w:rPr>
              <w:t>characterised</w:t>
            </w:r>
            <w:proofErr w:type="spellEnd"/>
            <w:r w:rsidRPr="00A778FF">
              <w:rPr>
                <w:rFonts w:ascii="Arial" w:eastAsia="Calibri" w:hAnsi="Arial" w:cs="Arial"/>
                <w:sz w:val="20"/>
                <w:szCs w:val="20"/>
                <w14:ligatures w14:val="none"/>
              </w:rPr>
              <w:t xml:space="preserve">. </w:t>
            </w:r>
          </w:p>
          <w:p w14:paraId="2CF4428D" w14:textId="77777777" w:rsidR="00A778FF" w:rsidRPr="00A778FF" w:rsidRDefault="00A778FF" w:rsidP="00A778FF">
            <w:pPr>
              <w:spacing w:after="0" w:line="240" w:lineRule="auto"/>
              <w:rPr>
                <w:rFonts w:ascii="Arial" w:eastAsia="Calibri" w:hAnsi="Arial" w:cs="Arial"/>
                <w:sz w:val="20"/>
                <w:szCs w:val="20"/>
                <w14:ligatures w14:val="none"/>
              </w:rPr>
            </w:pPr>
          </w:p>
        </w:tc>
        <w:tc>
          <w:tcPr>
            <w:tcW w:w="3544" w:type="dxa"/>
          </w:tcPr>
          <w:p w14:paraId="31A9EDCB"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0690B22E" w14:textId="77777777" w:rsidTr="00777168">
        <w:tc>
          <w:tcPr>
            <w:tcW w:w="1702" w:type="dxa"/>
          </w:tcPr>
          <w:p w14:paraId="2C74A70B"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b/>
                <w:bCs/>
                <w:sz w:val="20"/>
                <w:szCs w:val="20"/>
                <w14:ligatures w14:val="none"/>
              </w:rPr>
              <w:t>Discussion</w:t>
            </w:r>
          </w:p>
        </w:tc>
        <w:tc>
          <w:tcPr>
            <w:tcW w:w="1701" w:type="dxa"/>
            <w:shd w:val="clear" w:color="auto" w:fill="FFFFFF"/>
          </w:tcPr>
          <w:p w14:paraId="1239213F" w14:textId="77777777" w:rsidR="00A778FF" w:rsidRPr="00A778FF" w:rsidRDefault="00A778FF" w:rsidP="00A778FF">
            <w:pPr>
              <w:spacing w:after="0" w:line="240" w:lineRule="auto"/>
              <w:jc w:val="center"/>
              <w:rPr>
                <w:rFonts w:ascii="Arial" w:eastAsia="Calibri" w:hAnsi="Arial" w:cs="Arial"/>
                <w:sz w:val="20"/>
                <w:szCs w:val="20"/>
                <w14:ligatures w14:val="none"/>
              </w:rPr>
            </w:pPr>
            <w:r w:rsidRPr="00A778FF">
              <w:rPr>
                <w:rFonts w:ascii="Arial" w:eastAsia="Calibri" w:hAnsi="Arial" w:cs="Arial"/>
                <w:sz w:val="20"/>
                <w:szCs w:val="20"/>
                <w14:ligatures w14:val="none"/>
              </w:rPr>
              <w:t>6</w:t>
            </w:r>
          </w:p>
        </w:tc>
        <w:tc>
          <w:tcPr>
            <w:tcW w:w="6662" w:type="dxa"/>
          </w:tcPr>
          <w:p w14:paraId="34BD35F8" w14:textId="77777777" w:rsidR="00A778FF" w:rsidRPr="00A778FF" w:rsidRDefault="00A778FF" w:rsidP="00A778FF">
            <w:pPr>
              <w:spacing w:after="0" w:line="240" w:lineRule="auto"/>
              <w:rPr>
                <w:rFonts w:ascii="Arial" w:eastAsia="Calibri" w:hAnsi="Arial" w:cs="Arial"/>
                <w:sz w:val="20"/>
                <w:szCs w:val="20"/>
                <w14:ligatures w14:val="none"/>
              </w:rPr>
            </w:pPr>
            <w:r w:rsidRPr="00A778FF">
              <w:rPr>
                <w:rFonts w:ascii="Arial" w:eastAsia="Calibri" w:hAnsi="Arial" w:cs="Arial"/>
                <w:sz w:val="20"/>
                <w:szCs w:val="20"/>
                <w14:ligatures w14:val="none"/>
              </w:rPr>
              <w:t xml:space="preserve">The discussion of the data should clearly include a focus on factors that impact on the transportability of the data to other settings. Limitations and strengths of the study should be addressed. </w:t>
            </w:r>
          </w:p>
          <w:p w14:paraId="59CC3AE4" w14:textId="1015F935" w:rsidR="00A778FF" w:rsidRPr="00F96DD6" w:rsidRDefault="00A778FF" w:rsidP="00A778FF">
            <w:pPr>
              <w:spacing w:after="0" w:line="240" w:lineRule="auto"/>
              <w:rPr>
                <w:rFonts w:ascii="Arial" w:eastAsia="Calibri" w:hAnsi="Arial" w:cs="Arial"/>
                <w:sz w:val="20"/>
                <w:szCs w:val="20"/>
                <w:vertAlign w:val="superscript"/>
                <w14:ligatures w14:val="none"/>
              </w:rPr>
            </w:pPr>
            <w:r w:rsidRPr="00A778FF">
              <w:rPr>
                <w:rFonts w:ascii="Arial" w:eastAsia="Calibri" w:hAnsi="Arial" w:cs="Arial"/>
                <w:sz w:val="20"/>
                <w:szCs w:val="20"/>
                <w14:ligatures w14:val="none"/>
              </w:rPr>
              <w:t xml:space="preserve">If the data are used to set analytical performance specifications, derive reference change values, and study individuality, the recommendations of </w:t>
            </w:r>
            <w:proofErr w:type="spellStart"/>
            <w:r w:rsidRPr="00A778FF">
              <w:rPr>
                <w:rFonts w:ascii="Arial" w:eastAsia="Calibri" w:hAnsi="Arial" w:cs="Arial"/>
                <w:sz w:val="20"/>
                <w:szCs w:val="20"/>
                <w14:ligatures w14:val="none"/>
              </w:rPr>
              <w:t>Simundic</w:t>
            </w:r>
            <w:proofErr w:type="spellEnd"/>
            <w:r w:rsidRPr="00A778FF">
              <w:rPr>
                <w:rFonts w:ascii="Arial" w:eastAsia="Calibri" w:hAnsi="Arial" w:cs="Arial"/>
                <w:sz w:val="20"/>
                <w:szCs w:val="20"/>
                <w14:ligatures w14:val="none"/>
              </w:rPr>
              <w:t xml:space="preserve"> </w:t>
            </w:r>
            <w:r w:rsidRPr="00806CEF">
              <w:rPr>
                <w:rFonts w:ascii="Arial" w:eastAsia="Calibri" w:hAnsi="Arial" w:cs="Arial"/>
                <w:i/>
                <w:iCs/>
                <w:sz w:val="20"/>
                <w:szCs w:val="20"/>
                <w14:ligatures w14:val="none"/>
              </w:rPr>
              <w:t>et al</w:t>
            </w:r>
            <w:r w:rsidRPr="00A778FF">
              <w:rPr>
                <w:rFonts w:ascii="Arial" w:eastAsia="Calibri" w:hAnsi="Arial" w:cs="Arial"/>
                <w:sz w:val="20"/>
                <w:szCs w:val="20"/>
                <w14:ligatures w14:val="none"/>
              </w:rPr>
              <w:t xml:space="preserve"> should be </w:t>
            </w:r>
            <w:proofErr w:type="spellStart"/>
            <w:r w:rsidRPr="00A778FF">
              <w:rPr>
                <w:rFonts w:ascii="Arial" w:eastAsia="Calibri" w:hAnsi="Arial" w:cs="Arial"/>
                <w:sz w:val="20"/>
                <w:szCs w:val="20"/>
                <w14:ligatures w14:val="none"/>
              </w:rPr>
              <w:t>followed</w:t>
            </w:r>
            <w:r w:rsidRPr="000B3DA7">
              <w:rPr>
                <w:rFonts w:ascii="Arial" w:eastAsia="Calibri" w:hAnsi="Arial" w:cs="Arial"/>
                <w:sz w:val="20"/>
                <w:szCs w:val="20"/>
                <w14:ligatures w14:val="none"/>
              </w:rPr>
              <w:t>.</w:t>
            </w:r>
            <w:r w:rsidR="00F96DD6" w:rsidRPr="000B3DA7">
              <w:rPr>
                <w:rFonts w:ascii="Arial" w:eastAsia="Calibri" w:hAnsi="Arial" w:cs="Arial"/>
                <w:sz w:val="20"/>
                <w:szCs w:val="20"/>
                <w:vertAlign w:val="superscript"/>
                <w14:ligatures w14:val="none"/>
              </w:rPr>
              <w:t>c</w:t>
            </w:r>
            <w:proofErr w:type="spellEnd"/>
          </w:p>
        </w:tc>
        <w:tc>
          <w:tcPr>
            <w:tcW w:w="3544" w:type="dxa"/>
          </w:tcPr>
          <w:p w14:paraId="0AFC27D4" w14:textId="77777777" w:rsidR="00A778FF" w:rsidRPr="00A778FF" w:rsidRDefault="00A778FF" w:rsidP="00A778FF">
            <w:pPr>
              <w:spacing w:after="0" w:line="240" w:lineRule="auto"/>
              <w:rPr>
                <w:rFonts w:ascii="Arial" w:eastAsia="Calibri" w:hAnsi="Arial" w:cs="Arial"/>
                <w:sz w:val="20"/>
                <w:szCs w:val="20"/>
                <w14:ligatures w14:val="none"/>
              </w:rPr>
            </w:pPr>
          </w:p>
        </w:tc>
      </w:tr>
      <w:tr w:rsidR="00A778FF" w:rsidRPr="00A778FF" w14:paraId="23897C35" w14:textId="77777777" w:rsidTr="00777168">
        <w:tc>
          <w:tcPr>
            <w:tcW w:w="1702" w:type="dxa"/>
          </w:tcPr>
          <w:p w14:paraId="78105118" w14:textId="77777777" w:rsidR="00A778FF" w:rsidRPr="00A778FF" w:rsidRDefault="00A778FF" w:rsidP="00A778FF">
            <w:pPr>
              <w:spacing w:after="0" w:line="240" w:lineRule="auto"/>
              <w:rPr>
                <w:rFonts w:ascii="Arial" w:eastAsia="Calibri" w:hAnsi="Arial" w:cs="Arial"/>
                <w:b/>
                <w:bCs/>
                <w:sz w:val="20"/>
                <w:szCs w:val="20"/>
                <w14:ligatures w14:val="none"/>
              </w:rPr>
            </w:pPr>
          </w:p>
        </w:tc>
        <w:tc>
          <w:tcPr>
            <w:tcW w:w="1701" w:type="dxa"/>
            <w:shd w:val="clear" w:color="auto" w:fill="FFFFFF"/>
          </w:tcPr>
          <w:p w14:paraId="25040360" w14:textId="77777777" w:rsidR="00A778FF" w:rsidRPr="00A778FF" w:rsidRDefault="00A778FF" w:rsidP="00A778FF">
            <w:pPr>
              <w:spacing w:after="0" w:line="240" w:lineRule="auto"/>
              <w:jc w:val="center"/>
              <w:rPr>
                <w:rFonts w:ascii="Arial" w:eastAsia="Calibri" w:hAnsi="Arial" w:cs="Arial"/>
                <w:sz w:val="20"/>
                <w:szCs w:val="20"/>
                <w14:ligatures w14:val="none"/>
              </w:rPr>
            </w:pPr>
          </w:p>
        </w:tc>
        <w:tc>
          <w:tcPr>
            <w:tcW w:w="6662" w:type="dxa"/>
          </w:tcPr>
          <w:p w14:paraId="260244E1" w14:textId="77777777" w:rsidR="00A778FF" w:rsidRPr="00A778FF" w:rsidRDefault="00A778FF" w:rsidP="00A778FF">
            <w:pPr>
              <w:spacing w:after="0" w:line="240" w:lineRule="auto"/>
              <w:rPr>
                <w:rFonts w:ascii="Arial" w:eastAsia="Calibri" w:hAnsi="Arial" w:cs="Arial"/>
                <w:sz w:val="20"/>
                <w:szCs w:val="20"/>
                <w14:ligatures w14:val="none"/>
              </w:rPr>
            </w:pPr>
          </w:p>
        </w:tc>
        <w:tc>
          <w:tcPr>
            <w:tcW w:w="3544" w:type="dxa"/>
          </w:tcPr>
          <w:p w14:paraId="40193EC2" w14:textId="77777777" w:rsidR="00A778FF" w:rsidRPr="00A778FF" w:rsidRDefault="00A778FF" w:rsidP="00A778FF">
            <w:pPr>
              <w:spacing w:after="0" w:line="240" w:lineRule="auto"/>
              <w:rPr>
                <w:rFonts w:ascii="Arial" w:eastAsia="Calibri" w:hAnsi="Arial" w:cs="Arial"/>
                <w:sz w:val="20"/>
                <w:szCs w:val="20"/>
                <w14:ligatures w14:val="none"/>
              </w:rPr>
            </w:pPr>
          </w:p>
        </w:tc>
      </w:tr>
    </w:tbl>
    <w:p w14:paraId="6C6ECE06" w14:textId="7148E188" w:rsidR="00A778FF" w:rsidRPr="00A778FF" w:rsidRDefault="00A778FF" w:rsidP="00806CEF">
      <w:pPr>
        <w:spacing w:line="480" w:lineRule="auto"/>
        <w:ind w:left="426" w:hanging="426"/>
        <w:rPr>
          <w:rFonts w:ascii="Arial" w:eastAsia="Calibri" w:hAnsi="Arial" w:cs="Arial"/>
          <w:sz w:val="20"/>
          <w:szCs w:val="20"/>
          <w14:ligatures w14:val="none"/>
        </w:rPr>
      </w:pPr>
      <w:r w:rsidRPr="00A778FF">
        <w:rPr>
          <w:rFonts w:ascii="Arial" w:eastAsia="Calibri" w:hAnsi="Arial" w:cs="Arial"/>
          <w:sz w:val="20"/>
          <w:szCs w:val="20"/>
          <w:vertAlign w:val="superscript"/>
          <w14:ligatures w14:val="none"/>
        </w:rPr>
        <w:t xml:space="preserve">a </w:t>
      </w:r>
      <w:r w:rsidR="00806CEF">
        <w:rPr>
          <w:rFonts w:ascii="Arial" w:eastAsia="Calibri" w:hAnsi="Arial" w:cs="Arial"/>
          <w:sz w:val="20"/>
          <w:szCs w:val="20"/>
          <w:vertAlign w:val="superscript"/>
          <w14:ligatures w14:val="none"/>
        </w:rPr>
        <w:t xml:space="preserve">  </w:t>
      </w:r>
      <w:r w:rsidRPr="00A778FF">
        <w:rPr>
          <w:rFonts w:ascii="Arial" w:eastAsia="Calibri" w:hAnsi="Arial" w:cs="Arial"/>
          <w:sz w:val="20"/>
          <w:szCs w:val="20"/>
          <w14:ligatures w14:val="none"/>
        </w:rPr>
        <w:t>MDS domains defined as A to F as shown in Table 1.</w:t>
      </w:r>
    </w:p>
    <w:p w14:paraId="71E2B509" w14:textId="1F9149C5" w:rsidR="00A778FF" w:rsidRDefault="00A778FF" w:rsidP="00F96DD6">
      <w:pPr>
        <w:spacing w:line="480" w:lineRule="auto"/>
        <w:ind w:left="284" w:hanging="284"/>
        <w:rPr>
          <w:rFonts w:ascii="Arial" w:eastAsia="Calibri" w:hAnsi="Arial" w:cs="Arial"/>
          <w:sz w:val="20"/>
          <w:szCs w:val="20"/>
          <w14:ligatures w14:val="none"/>
        </w:rPr>
      </w:pPr>
      <w:r w:rsidRPr="00A778FF">
        <w:rPr>
          <w:rFonts w:ascii="Arial" w:eastAsia="Calibri" w:hAnsi="Arial" w:cs="Arial"/>
          <w:sz w:val="20"/>
          <w:szCs w:val="20"/>
          <w:vertAlign w:val="superscript"/>
          <w14:ligatures w14:val="none"/>
        </w:rPr>
        <w:lastRenderedPageBreak/>
        <w:t>b</w:t>
      </w:r>
      <w:r w:rsidRPr="00A778FF">
        <w:rPr>
          <w:rFonts w:ascii="Arial" w:eastAsia="Calibri" w:hAnsi="Arial" w:cs="Arial"/>
          <w:sz w:val="20"/>
          <w:szCs w:val="20"/>
          <w14:ligatures w14:val="none"/>
        </w:rPr>
        <w:t xml:space="preserve"> </w:t>
      </w:r>
      <w:r w:rsidR="00F96DD6">
        <w:rPr>
          <w:rFonts w:ascii="Arial" w:eastAsia="Calibri" w:hAnsi="Arial" w:cs="Arial"/>
          <w:sz w:val="20"/>
          <w:szCs w:val="20"/>
          <w14:ligatures w14:val="none"/>
        </w:rPr>
        <w:tab/>
      </w:r>
      <w:r w:rsidRPr="00A778FF">
        <w:rPr>
          <w:rFonts w:ascii="Arial" w:eastAsia="Calibri" w:hAnsi="Arial" w:cs="Arial"/>
          <w:sz w:val="20"/>
          <w:szCs w:val="20"/>
          <w14:ligatures w14:val="none"/>
        </w:rPr>
        <w:t xml:space="preserve">Tests to determine the power of a study to identify heteroscedasticity need to be applied. If variances are not homogenous derived estimates of biological variation cannot be </w:t>
      </w:r>
      <w:proofErr w:type="gramStart"/>
      <w:r w:rsidRPr="00A778FF">
        <w:rPr>
          <w:rFonts w:ascii="Arial" w:eastAsia="Calibri" w:hAnsi="Arial" w:cs="Arial"/>
          <w:sz w:val="20"/>
          <w:szCs w:val="20"/>
          <w14:ligatures w14:val="none"/>
        </w:rPr>
        <w:t>trusted, and</w:t>
      </w:r>
      <w:proofErr w:type="gramEnd"/>
      <w:r w:rsidRPr="00A778FF">
        <w:rPr>
          <w:rFonts w:ascii="Arial" w:eastAsia="Calibri" w:hAnsi="Arial" w:cs="Arial"/>
          <w:sz w:val="20"/>
          <w:szCs w:val="20"/>
          <w14:ligatures w14:val="none"/>
        </w:rPr>
        <w:t xml:space="preserve"> are not representative for the population in which it is examined.</w:t>
      </w:r>
    </w:p>
    <w:p w14:paraId="67795A0F" w14:textId="519BF36B" w:rsidR="00F96DD6" w:rsidRDefault="00F96DD6" w:rsidP="00F96DD6">
      <w:pPr>
        <w:widowControl w:val="0"/>
        <w:autoSpaceDE w:val="0"/>
        <w:autoSpaceDN w:val="0"/>
        <w:adjustRightInd w:val="0"/>
        <w:spacing w:line="480" w:lineRule="auto"/>
        <w:ind w:left="284" w:hanging="284"/>
        <w:rPr>
          <w:rFonts w:ascii="Arial" w:hAnsi="Arial" w:cs="Arial"/>
          <w:noProof/>
          <w:kern w:val="0"/>
          <w:sz w:val="24"/>
        </w:rPr>
      </w:pPr>
      <w:r>
        <w:rPr>
          <w:rFonts w:ascii="Arial" w:eastAsia="Calibri" w:hAnsi="Arial" w:cs="Arial"/>
          <w:sz w:val="20"/>
          <w:szCs w:val="20"/>
          <w:vertAlign w:val="superscript"/>
          <w14:ligatures w14:val="none"/>
        </w:rPr>
        <w:t xml:space="preserve">c </w:t>
      </w:r>
      <w:r>
        <w:rPr>
          <w:rFonts w:ascii="Arial" w:eastAsia="Calibri" w:hAnsi="Arial" w:cs="Arial"/>
          <w:sz w:val="20"/>
          <w:szCs w:val="20"/>
          <w:vertAlign w:val="superscript"/>
          <w14:ligatures w14:val="none"/>
        </w:rPr>
        <w:tab/>
      </w:r>
      <w:proofErr w:type="spellStart"/>
      <w:r w:rsidRPr="000B3DA7">
        <w:rPr>
          <w:rFonts w:ascii="Arial" w:eastAsia="Calibri" w:hAnsi="Arial" w:cs="Arial"/>
          <w:sz w:val="20"/>
          <w:szCs w:val="20"/>
          <w14:ligatures w14:val="none"/>
        </w:rPr>
        <w:t>Simundic</w:t>
      </w:r>
      <w:proofErr w:type="spellEnd"/>
      <w:r w:rsidRPr="000B3DA7">
        <w:rPr>
          <w:rFonts w:ascii="Arial" w:eastAsia="Calibri" w:hAnsi="Arial" w:cs="Arial"/>
          <w:sz w:val="20"/>
          <w:szCs w:val="20"/>
          <w14:ligatures w14:val="none"/>
        </w:rPr>
        <w:t xml:space="preserve"> A-M, </w:t>
      </w:r>
      <w:proofErr w:type="spellStart"/>
      <w:r w:rsidRPr="000B3DA7">
        <w:rPr>
          <w:rFonts w:ascii="Arial" w:eastAsia="Calibri" w:hAnsi="Arial" w:cs="Arial"/>
          <w:sz w:val="20"/>
          <w:szCs w:val="20"/>
          <w14:ligatures w14:val="none"/>
        </w:rPr>
        <w:t>Kacko</w:t>
      </w:r>
      <w:proofErr w:type="spellEnd"/>
      <w:r w:rsidRPr="000B3DA7">
        <w:rPr>
          <w:rFonts w:ascii="Arial" w:eastAsia="Calibri" w:hAnsi="Arial" w:cs="Arial"/>
          <w:sz w:val="20"/>
          <w:szCs w:val="20"/>
          <w14:ligatures w14:val="none"/>
        </w:rPr>
        <w:t xml:space="preserve"> S, Miler M, Fraser CG, Per HP. Terms and Symbols Used in Studies on Biological Variation: The Need for Harmonization. Clin Chemistry. 2015;61(2):438–9.</w:t>
      </w:r>
      <w:r w:rsidRPr="000B3DA7">
        <w:rPr>
          <w:rFonts w:ascii="Arial" w:hAnsi="Arial" w:cs="Arial"/>
          <w:noProof/>
          <w:kern w:val="0"/>
          <w:sz w:val="24"/>
        </w:rPr>
        <w:t xml:space="preserve"> </w:t>
      </w:r>
      <w:hyperlink r:id="rId7" w:history="1">
        <w:r w:rsidR="00806CEF" w:rsidRPr="000B3DA7">
          <w:rPr>
            <w:rStyle w:val="Hyperlink"/>
            <w:rFonts w:ascii="Arial" w:hAnsi="Arial" w:cs="Arial"/>
            <w:noProof/>
            <w:kern w:val="0"/>
            <w:sz w:val="24"/>
          </w:rPr>
          <w:t>https://doi.org/10.1373/clinchem.2014.233791</w:t>
        </w:r>
      </w:hyperlink>
    </w:p>
    <w:p w14:paraId="0EF7B51A" w14:textId="77777777" w:rsidR="00806CEF" w:rsidRPr="0014063D" w:rsidRDefault="00806CEF" w:rsidP="00F96DD6">
      <w:pPr>
        <w:widowControl w:val="0"/>
        <w:autoSpaceDE w:val="0"/>
        <w:autoSpaceDN w:val="0"/>
        <w:adjustRightInd w:val="0"/>
        <w:spacing w:line="480" w:lineRule="auto"/>
        <w:ind w:left="284" w:hanging="284"/>
        <w:rPr>
          <w:rFonts w:ascii="Arial" w:hAnsi="Arial" w:cs="Arial"/>
          <w:noProof/>
          <w:kern w:val="0"/>
          <w:sz w:val="24"/>
        </w:rPr>
      </w:pPr>
    </w:p>
    <w:p w14:paraId="28922941" w14:textId="3580E30B" w:rsidR="00F96DD6" w:rsidRPr="00F96DD6" w:rsidRDefault="00F96DD6" w:rsidP="00A778FF">
      <w:pPr>
        <w:spacing w:line="480" w:lineRule="auto"/>
        <w:rPr>
          <w:rFonts w:ascii="Arial" w:eastAsia="Calibri" w:hAnsi="Arial" w:cs="Arial"/>
          <w:sz w:val="20"/>
          <w:szCs w:val="20"/>
          <w:vertAlign w:val="superscript"/>
          <w14:ligatures w14:val="none"/>
        </w:rPr>
      </w:pPr>
    </w:p>
    <w:p w14:paraId="3E5377E3" w14:textId="1E266992" w:rsidR="00A778FF" w:rsidRDefault="00A778FF">
      <w:pPr>
        <w:rPr>
          <w:rFonts w:ascii="Arial" w:eastAsia="Calibri" w:hAnsi="Arial" w:cs="Arial"/>
          <w:sz w:val="24"/>
          <w:szCs w:val="24"/>
          <w:lang w:val="en-GB"/>
          <w14:ligatures w14:val="none"/>
        </w:rPr>
      </w:pPr>
      <w:r w:rsidRPr="00A778FF">
        <w:rPr>
          <w:rFonts w:ascii="Arial" w:eastAsia="Calibri" w:hAnsi="Arial" w:cs="Arial"/>
          <w:sz w:val="24"/>
          <w:szCs w:val="24"/>
          <w:lang w:val="en-GB"/>
          <w14:ligatures w14:val="none"/>
        </w:rPr>
        <w:br w:type="page"/>
      </w:r>
    </w:p>
    <w:p w14:paraId="3AA00F68" w14:textId="00259F0D" w:rsidR="00A778FF" w:rsidRDefault="00A778FF" w:rsidP="00A778FF">
      <w:pPr>
        <w:rPr>
          <w:rFonts w:ascii="Arial" w:eastAsia="Calibri" w:hAnsi="Arial" w:cs="Arial"/>
          <w:kern w:val="0"/>
          <w:sz w:val="24"/>
          <w:szCs w:val="24"/>
          <w:lang w:val="en-GB"/>
          <w14:ligatures w14:val="none"/>
        </w:rPr>
      </w:pPr>
      <w:r w:rsidRPr="00A778FF">
        <w:rPr>
          <w:rFonts w:ascii="Arial" w:eastAsia="Calibri" w:hAnsi="Arial" w:cs="Arial"/>
          <w:b/>
          <w:bCs/>
          <w:sz w:val="24"/>
          <w:szCs w:val="24"/>
          <w:lang w:val="en-GB"/>
          <w14:ligatures w14:val="none"/>
        </w:rPr>
        <w:lastRenderedPageBreak/>
        <w:t>Table S2</w:t>
      </w:r>
      <w:r w:rsidRPr="00A778FF">
        <w:rPr>
          <w:rFonts w:ascii="Arial" w:eastAsia="Calibri" w:hAnsi="Arial" w:cs="Arial"/>
          <w:sz w:val="24"/>
          <w:szCs w:val="24"/>
          <w:lang w:val="en-GB"/>
          <w14:ligatures w14:val="none"/>
        </w:rPr>
        <w:t xml:space="preserve">. </w:t>
      </w:r>
      <w:r w:rsidRPr="00A778FF">
        <w:rPr>
          <w:rFonts w:ascii="Arial" w:eastAsia="Calibri" w:hAnsi="Arial" w:cs="Arial"/>
          <w:kern w:val="0"/>
          <w:sz w:val="24"/>
          <w:szCs w:val="24"/>
          <w:lang w:val="en-GB"/>
          <w14:ligatures w14:val="none"/>
        </w:rPr>
        <w:t xml:space="preserve">Potential benefits for the delivery and use of biological variation (BV) data tabulated against improvement areas; to be realised through compliance with EFLM checklists embedded within the STARBIV enabled </w:t>
      </w:r>
      <w:proofErr w:type="gramStart"/>
      <w:r w:rsidRPr="00A778FF">
        <w:rPr>
          <w:rFonts w:ascii="Arial" w:eastAsia="Calibri" w:hAnsi="Arial" w:cs="Arial"/>
          <w:kern w:val="0"/>
          <w:sz w:val="24"/>
          <w:szCs w:val="24"/>
          <w:lang w:val="en-GB"/>
          <w14:ligatures w14:val="none"/>
        </w:rPr>
        <w:t>by the use of</w:t>
      </w:r>
      <w:proofErr w:type="gramEnd"/>
      <w:r w:rsidRPr="00A778FF">
        <w:rPr>
          <w:rFonts w:ascii="Arial" w:eastAsia="Calibri" w:hAnsi="Arial" w:cs="Arial"/>
          <w:kern w:val="0"/>
          <w:sz w:val="24"/>
          <w:szCs w:val="24"/>
          <w:lang w:val="en-GB"/>
          <w14:ligatures w14:val="none"/>
        </w:rPr>
        <w:t xml:space="preserve"> the EFLM mind map. </w:t>
      </w:r>
    </w:p>
    <w:p w14:paraId="2A01B26B" w14:textId="77777777" w:rsidR="00A778FF" w:rsidRPr="00A778FF" w:rsidRDefault="00A778FF" w:rsidP="00A778FF">
      <w:pPr>
        <w:rPr>
          <w:rFonts w:ascii="Arial" w:eastAsia="Calibri" w:hAnsi="Arial" w:cs="Arial"/>
          <w:sz w:val="24"/>
          <w:szCs w:val="24"/>
          <w:lang w:val="en-GB"/>
          <w14:ligatures w14:val="none"/>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10914"/>
      </w:tblGrid>
      <w:tr w:rsidR="00A778FF" w:rsidRPr="00A778FF" w14:paraId="2C0698F5" w14:textId="77777777" w:rsidTr="00A778FF">
        <w:tc>
          <w:tcPr>
            <w:tcW w:w="2122" w:type="dxa"/>
          </w:tcPr>
          <w:p w14:paraId="297BD0A4" w14:textId="77777777" w:rsidR="00A778FF" w:rsidRPr="00A778FF" w:rsidRDefault="00A778FF" w:rsidP="00A778FF">
            <w:pPr>
              <w:spacing w:after="0" w:line="240" w:lineRule="auto"/>
              <w:jc w:val="center"/>
              <w:rPr>
                <w:rFonts w:ascii="Arial" w:eastAsia="Calibri" w:hAnsi="Arial" w:cs="Arial"/>
                <w:b/>
                <w:bCs/>
                <w14:ligatures w14:val="none"/>
              </w:rPr>
            </w:pPr>
            <w:r w:rsidRPr="00A778FF">
              <w:rPr>
                <w:rFonts w:ascii="Arial" w:eastAsia="Calibri" w:hAnsi="Arial" w:cs="Arial"/>
                <w:b/>
                <w:bCs/>
                <w14:ligatures w14:val="none"/>
              </w:rPr>
              <w:t>Improvement Area</w:t>
            </w:r>
          </w:p>
        </w:tc>
        <w:tc>
          <w:tcPr>
            <w:tcW w:w="10914" w:type="dxa"/>
          </w:tcPr>
          <w:p w14:paraId="0DFFDE7A" w14:textId="77777777" w:rsidR="00A778FF" w:rsidRPr="00A778FF" w:rsidRDefault="00A778FF" w:rsidP="00A778FF">
            <w:pPr>
              <w:spacing w:after="0" w:line="240" w:lineRule="auto"/>
              <w:jc w:val="center"/>
              <w:rPr>
                <w:rFonts w:ascii="Arial" w:eastAsia="Calibri" w:hAnsi="Arial" w:cs="Arial"/>
                <w:b/>
                <w:bCs/>
                <w14:ligatures w14:val="none"/>
              </w:rPr>
            </w:pPr>
            <w:r w:rsidRPr="00A778FF">
              <w:rPr>
                <w:rFonts w:ascii="Arial" w:eastAsia="Calibri" w:hAnsi="Arial" w:cs="Arial"/>
                <w:b/>
                <w:bCs/>
                <w14:ligatures w14:val="none"/>
              </w:rPr>
              <w:t>Benefits</w:t>
            </w:r>
          </w:p>
        </w:tc>
      </w:tr>
      <w:tr w:rsidR="00A778FF" w:rsidRPr="00A778FF" w14:paraId="6FD4B993" w14:textId="77777777" w:rsidTr="00A778FF">
        <w:tc>
          <w:tcPr>
            <w:tcW w:w="2122" w:type="dxa"/>
          </w:tcPr>
          <w:p w14:paraId="1426B00B" w14:textId="77777777" w:rsidR="00A778FF" w:rsidRPr="00A778FF" w:rsidRDefault="00A778FF" w:rsidP="00A778FF">
            <w:pPr>
              <w:spacing w:after="0" w:line="276" w:lineRule="auto"/>
              <w:rPr>
                <w:rFonts w:ascii="Arial" w:eastAsia="Calibri" w:hAnsi="Arial" w:cs="Arial"/>
                <w14:ligatures w14:val="none"/>
              </w:rPr>
            </w:pPr>
            <w:r w:rsidRPr="00A778FF">
              <w:rPr>
                <w:rFonts w:ascii="Arial" w:eastAsia="Calibri" w:hAnsi="Arial" w:cs="Arial"/>
                <w:kern w:val="0"/>
                <w:lang w:val="en-GB" w:eastAsia="en-GB"/>
                <w14:ligatures w14:val="none"/>
              </w:rPr>
              <w:t>Quality assessment assurance of biological variation (BV) data</w:t>
            </w:r>
          </w:p>
        </w:tc>
        <w:tc>
          <w:tcPr>
            <w:tcW w:w="10914" w:type="dxa"/>
          </w:tcPr>
          <w:p w14:paraId="2B3C62F3" w14:textId="77777777" w:rsidR="00A778FF" w:rsidRPr="00A778FF" w:rsidRDefault="00A778FF" w:rsidP="00A778FF">
            <w:pPr>
              <w:numPr>
                <w:ilvl w:val="0"/>
                <w:numId w:val="1"/>
              </w:numPr>
              <w:spacing w:after="0"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Provision of a framework for the design, delivery, and reporting of new studies compliant with quality indicators (e.g. BIVAC).</w:t>
            </w:r>
          </w:p>
          <w:p w14:paraId="46ACCCA8" w14:textId="77777777" w:rsidR="00A778FF" w:rsidRPr="00A778FF" w:rsidRDefault="00A778FF" w:rsidP="00A778FF">
            <w:pPr>
              <w:numPr>
                <w:ilvl w:val="0"/>
                <w:numId w:val="1"/>
              </w:numPr>
              <w:spacing w:after="0"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Like the STARD initiative for diagnostic accuracy studies, STARBIV checklist will help to improve the quality of reporting of future BV studies delivering to users’ valid data sets accompanied by a required minimum data set.</w:t>
            </w:r>
          </w:p>
          <w:p w14:paraId="6E3434B3" w14:textId="77777777" w:rsidR="00A778FF" w:rsidRPr="00A778FF" w:rsidRDefault="00A778FF" w:rsidP="00A778FF">
            <w:pPr>
              <w:numPr>
                <w:ilvl w:val="0"/>
                <w:numId w:val="1"/>
              </w:numPr>
              <w:spacing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Assures that future study reports include meta-data required to enable the use of BV data as reference data.</w:t>
            </w:r>
          </w:p>
          <w:p w14:paraId="63D6B7E7" w14:textId="77777777" w:rsidR="00A778FF" w:rsidRPr="00A778FF" w:rsidRDefault="00A778FF" w:rsidP="00A778FF">
            <w:pPr>
              <w:numPr>
                <w:ilvl w:val="0"/>
                <w:numId w:val="1"/>
              </w:numPr>
              <w:spacing w:after="0"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STARBIV enables</w:t>
            </w:r>
            <w:r w:rsidRPr="00A778FF">
              <w:rPr>
                <w:rFonts w:ascii="Arial" w:eastAsia="Calibri" w:hAnsi="Arial" w:cs="Arial"/>
                <w:sz w:val="20"/>
                <w:szCs w:val="20"/>
                <w14:ligatures w14:val="none"/>
              </w:rPr>
              <w:t>:</w:t>
            </w:r>
          </w:p>
          <w:p w14:paraId="3F5A02F1" w14:textId="77777777" w:rsidR="00A778FF" w:rsidRPr="00A778FF" w:rsidRDefault="00A778FF" w:rsidP="00A778FF">
            <w:pPr>
              <w:numPr>
                <w:ilvl w:val="1"/>
                <w:numId w:val="1"/>
              </w:numPr>
              <w:spacing w:after="0"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critical appraisal of historical BV data to deliver assurance that best practice has been applied retrospectively in their generation and reporting.</w:t>
            </w:r>
          </w:p>
          <w:p w14:paraId="7B2FB236" w14:textId="77777777" w:rsidR="00A778FF" w:rsidRPr="00A778FF" w:rsidRDefault="00A778FF" w:rsidP="00A778FF">
            <w:pPr>
              <w:numPr>
                <w:ilvl w:val="1"/>
                <w:numId w:val="1"/>
              </w:numPr>
              <w:spacing w:after="0" w:line="276"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 xml:space="preserve">ensures prospectively that future study reports meet a standard and deliver BV data that are assessable as fit for purpose and transportable. </w:t>
            </w:r>
          </w:p>
        </w:tc>
      </w:tr>
      <w:tr w:rsidR="00A778FF" w:rsidRPr="00A778FF" w14:paraId="20620449" w14:textId="77777777" w:rsidTr="00A778FF">
        <w:tc>
          <w:tcPr>
            <w:tcW w:w="2122" w:type="dxa"/>
          </w:tcPr>
          <w:p w14:paraId="4EE03543" w14:textId="77777777" w:rsidR="00A778FF" w:rsidRPr="00A778FF" w:rsidRDefault="00A778FF" w:rsidP="00A778FF">
            <w:pPr>
              <w:spacing w:after="0" w:line="276" w:lineRule="auto"/>
              <w:rPr>
                <w:rFonts w:ascii="Arial" w:eastAsia="Calibri" w:hAnsi="Arial" w:cs="Arial"/>
                <w14:ligatures w14:val="none"/>
              </w:rPr>
            </w:pPr>
            <w:r w:rsidRPr="00A778FF">
              <w:rPr>
                <w:rFonts w:ascii="Arial" w:eastAsia="Calibri" w:hAnsi="Arial" w:cs="Arial"/>
                <w:kern w:val="0"/>
                <w:lang w:val="en-GB" w:eastAsia="en-GB"/>
                <w14:ligatures w14:val="none"/>
              </w:rPr>
              <w:t>Consistency and comparability</w:t>
            </w:r>
          </w:p>
        </w:tc>
        <w:tc>
          <w:tcPr>
            <w:tcW w:w="10914" w:type="dxa"/>
          </w:tcPr>
          <w:p w14:paraId="0A6824BC" w14:textId="77777777" w:rsidR="00A778FF" w:rsidRPr="00A778FF" w:rsidRDefault="00A778FF" w:rsidP="00A778FF">
            <w:pPr>
              <w:numPr>
                <w:ilvl w:val="0"/>
                <w:numId w:val="2"/>
              </w:numPr>
              <w:spacing w:after="0" w:line="276" w:lineRule="auto"/>
              <w:contextualSpacing/>
              <w:rPr>
                <w:rFonts w:ascii="Arial" w:eastAsia="Calibri" w:hAnsi="Arial" w:cs="Arial"/>
                <w:kern w:val="0"/>
                <w:sz w:val="20"/>
                <w:szCs w:val="20"/>
                <w:lang w:val="en-GB" w:eastAsia="en-GB"/>
                <w14:ligatures w14:val="none"/>
              </w:rPr>
            </w:pPr>
            <w:r w:rsidRPr="00A778FF">
              <w:rPr>
                <w:rFonts w:ascii="Arial" w:eastAsia="Calibri" w:hAnsi="Arial" w:cs="Arial"/>
                <w:sz w:val="20"/>
                <w:szCs w:val="20"/>
                <w:lang w:val="en-GB"/>
                <w14:ligatures w14:val="none"/>
              </w:rPr>
              <w:t>Provision of a structured framework for reviewers and end-users of BV data to enable objective assessment of data sets based on well-documented studies performed to and compliant with a standard.</w:t>
            </w:r>
          </w:p>
          <w:p w14:paraId="5855E828" w14:textId="77777777" w:rsidR="00A778FF" w:rsidRPr="00A778FF" w:rsidRDefault="00A778FF" w:rsidP="00A778FF">
            <w:pPr>
              <w:numPr>
                <w:ilvl w:val="0"/>
                <w:numId w:val="2"/>
              </w:numPr>
              <w:spacing w:after="0" w:line="276" w:lineRule="auto"/>
              <w:contextualSpacing/>
              <w:rPr>
                <w:rFonts w:ascii="Arial" w:eastAsia="Calibri" w:hAnsi="Arial" w:cs="Arial"/>
                <w:kern w:val="0"/>
                <w:sz w:val="20"/>
                <w:szCs w:val="20"/>
                <w:lang w:val="en-GB" w:eastAsia="en-GB"/>
                <w14:ligatures w14:val="none"/>
              </w:rPr>
            </w:pPr>
            <w:r w:rsidRPr="00A778FF">
              <w:rPr>
                <w:rFonts w:ascii="Arial" w:eastAsia="Calibri" w:hAnsi="Arial" w:cs="Arial"/>
                <w:kern w:val="0"/>
                <w:sz w:val="20"/>
                <w:szCs w:val="20"/>
                <w:lang w:val="en-GB"/>
                <w14:ligatures w14:val="none"/>
              </w:rPr>
              <w:t xml:space="preserve">Enables </w:t>
            </w:r>
            <w:r w:rsidRPr="00A778FF">
              <w:rPr>
                <w:rFonts w:ascii="Arial" w:eastAsia="Calibri" w:hAnsi="Arial" w:cs="Arial"/>
                <w:kern w:val="0"/>
                <w:sz w:val="20"/>
                <w:szCs w:val="20"/>
                <w14:ligatures w14:val="none"/>
              </w:rPr>
              <w:t xml:space="preserve">producers of BV data to deliver consistent reports for publication of these reference data. </w:t>
            </w:r>
            <w:hyperlink r:id="rId8" w:history="1">
              <w:r w:rsidRPr="00A778FF">
                <w:rPr>
                  <w:rFonts w:ascii="Arial" w:eastAsia="Calibri" w:hAnsi="Arial" w:cs="Arial"/>
                  <w:color w:val="0000FF"/>
                  <w:kern w:val="0"/>
                  <w:sz w:val="20"/>
                  <w:szCs w:val="20"/>
                  <w:u w:val="single"/>
                  <w14:ligatures w14:val="none"/>
                </w:rPr>
                <w:t>https://biologicalvariation.eu/Publication_Structure_V2_0.html</w:t>
              </w:r>
            </w:hyperlink>
            <w:r w:rsidRPr="00A778FF">
              <w:rPr>
                <w:rFonts w:ascii="Arial" w:eastAsia="Calibri" w:hAnsi="Arial" w:cs="Arial"/>
                <w:sz w:val="20"/>
                <w:szCs w:val="20"/>
                <w:lang w:val="en-GB"/>
                <w14:ligatures w14:val="none"/>
              </w:rPr>
              <w:t xml:space="preserve"> </w:t>
            </w:r>
          </w:p>
          <w:p w14:paraId="72B838A5" w14:textId="77777777" w:rsidR="00A778FF" w:rsidRPr="00A778FF" w:rsidRDefault="00A778FF" w:rsidP="00A778FF">
            <w:pPr>
              <w:numPr>
                <w:ilvl w:val="0"/>
                <w:numId w:val="2"/>
              </w:numPr>
              <w:spacing w:after="0" w:line="276" w:lineRule="auto"/>
              <w:contextualSpacing/>
              <w:rPr>
                <w:rFonts w:ascii="Arial" w:eastAsia="Calibri" w:hAnsi="Arial" w:cs="Arial"/>
                <w:kern w:val="0"/>
                <w:sz w:val="20"/>
                <w:szCs w:val="20"/>
                <w:lang w:val="en-GB" w:eastAsia="en-GB"/>
                <w14:ligatures w14:val="none"/>
              </w:rPr>
            </w:pPr>
            <w:r w:rsidRPr="00A778FF">
              <w:rPr>
                <w:rFonts w:ascii="Arial" w:eastAsia="Calibri" w:hAnsi="Arial" w:cs="Arial"/>
                <w:sz w:val="20"/>
                <w:szCs w:val="20"/>
                <w:lang w:val="en-GB"/>
                <w14:ligatures w14:val="none"/>
              </w:rPr>
              <w:t>Ensures the MDS is supplied to enable meta-analysis and combination of data sets from compatible studies to improve the confidence limits around the BV data estimates.</w:t>
            </w:r>
          </w:p>
        </w:tc>
      </w:tr>
      <w:tr w:rsidR="00A778FF" w:rsidRPr="00A778FF" w14:paraId="1134BECA" w14:textId="77777777" w:rsidTr="00A778FF">
        <w:tc>
          <w:tcPr>
            <w:tcW w:w="2122" w:type="dxa"/>
          </w:tcPr>
          <w:p w14:paraId="6B4B1F30" w14:textId="77777777" w:rsidR="00A778FF" w:rsidRPr="00A778FF" w:rsidRDefault="00A778FF" w:rsidP="00A778FF">
            <w:pPr>
              <w:spacing w:after="0" w:line="240" w:lineRule="auto"/>
              <w:rPr>
                <w:rFonts w:ascii="Arial" w:eastAsia="Calibri" w:hAnsi="Arial" w:cs="Arial"/>
                <w14:ligatures w14:val="none"/>
              </w:rPr>
            </w:pPr>
            <w:r w:rsidRPr="00A778FF">
              <w:rPr>
                <w:rFonts w:ascii="Arial" w:eastAsia="Calibri" w:hAnsi="Arial" w:cs="Arial"/>
                <w14:ligatures w14:val="none"/>
              </w:rPr>
              <w:t>Decision-making</w:t>
            </w:r>
          </w:p>
        </w:tc>
        <w:tc>
          <w:tcPr>
            <w:tcW w:w="10914" w:type="dxa"/>
          </w:tcPr>
          <w:p w14:paraId="3BF856E5" w14:textId="77777777" w:rsidR="00A778FF" w:rsidRPr="00A778FF" w:rsidRDefault="00A778FF" w:rsidP="00A778FF">
            <w:pPr>
              <w:numPr>
                <w:ilvl w:val="0"/>
                <w:numId w:val="3"/>
              </w:numPr>
              <w:spacing w:after="0" w:line="240"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Compliance with standardized reporting guidelines enables availability of well characterised BV data in a format that enables users to assess relevance of published data to their clinical practice i.e. transportability.</w:t>
            </w:r>
          </w:p>
          <w:p w14:paraId="412A5CBE" w14:textId="77777777" w:rsidR="00A778FF" w:rsidRPr="00A778FF" w:rsidRDefault="00A778FF" w:rsidP="00A778FF">
            <w:pPr>
              <w:numPr>
                <w:ilvl w:val="0"/>
                <w:numId w:val="3"/>
              </w:numPr>
              <w:spacing w:after="0" w:line="240" w:lineRule="auto"/>
              <w:contextualSpacing/>
              <w:rPr>
                <w:rFonts w:ascii="Arial" w:eastAsia="Calibri" w:hAnsi="Arial" w:cs="Arial"/>
                <w:sz w:val="20"/>
                <w:szCs w:val="20"/>
                <w:lang w:val="en-GB"/>
                <w14:ligatures w14:val="none"/>
              </w:rPr>
            </w:pPr>
            <w:r w:rsidRPr="00A778FF">
              <w:rPr>
                <w:rFonts w:ascii="Arial" w:eastAsia="Calibri" w:hAnsi="Arial" w:cs="Arial"/>
                <w:sz w:val="20"/>
                <w:szCs w:val="20"/>
                <w:lang w:val="en-GB"/>
                <w14:ligatures w14:val="none"/>
              </w:rPr>
              <w:t>Compliance imbues confidence in users around the veracity of the BV data and the applications to which it is put in their clinical practice.</w:t>
            </w:r>
          </w:p>
        </w:tc>
      </w:tr>
      <w:tr w:rsidR="00A778FF" w:rsidRPr="00A778FF" w14:paraId="162AB0B3" w14:textId="77777777" w:rsidTr="00A778FF">
        <w:tc>
          <w:tcPr>
            <w:tcW w:w="2122" w:type="dxa"/>
          </w:tcPr>
          <w:p w14:paraId="2F881616" w14:textId="77777777" w:rsidR="00A778FF" w:rsidRPr="00A778FF" w:rsidRDefault="00A778FF" w:rsidP="00A778FF">
            <w:pPr>
              <w:spacing w:after="0" w:line="240" w:lineRule="auto"/>
              <w:rPr>
                <w:rFonts w:ascii="Arial" w:eastAsia="Calibri" w:hAnsi="Arial" w:cs="Arial"/>
                <w14:ligatures w14:val="none"/>
              </w:rPr>
            </w:pPr>
            <w:r w:rsidRPr="00A778FF">
              <w:rPr>
                <w:rFonts w:ascii="Arial" w:eastAsia="Calibri" w:hAnsi="Arial" w:cs="Arial"/>
                <w14:ligatures w14:val="none"/>
              </w:rPr>
              <w:t>Health Informatics</w:t>
            </w:r>
          </w:p>
        </w:tc>
        <w:tc>
          <w:tcPr>
            <w:tcW w:w="10914" w:type="dxa"/>
          </w:tcPr>
          <w:p w14:paraId="12C42781" w14:textId="77777777" w:rsidR="00A778FF" w:rsidRPr="00A778FF" w:rsidRDefault="00A778FF" w:rsidP="00A778FF">
            <w:pPr>
              <w:numPr>
                <w:ilvl w:val="0"/>
                <w:numId w:val="4"/>
              </w:numPr>
              <w:spacing w:after="0" w:line="240" w:lineRule="auto"/>
              <w:contextualSpacing/>
              <w:rPr>
                <w:rFonts w:ascii="Arial" w:eastAsia="Calibri" w:hAnsi="Arial" w:cs="Arial"/>
                <w:sz w:val="20"/>
                <w:szCs w:val="20"/>
                <w14:ligatures w14:val="none"/>
              </w:rPr>
            </w:pPr>
            <w:r w:rsidRPr="00A778FF">
              <w:rPr>
                <w:rFonts w:ascii="Arial" w:eastAsia="Calibri" w:hAnsi="Arial" w:cs="Arial"/>
                <w:sz w:val="20"/>
                <w:szCs w:val="20"/>
                <w:lang w:val="en-GB"/>
                <w14:ligatures w14:val="none"/>
              </w:rPr>
              <w:t>A checklist approach will assure/ensure that an agreed MDS is reported with BV data to enable automated clinical informatics applications.</w:t>
            </w:r>
          </w:p>
          <w:p w14:paraId="0A2C4DB8" w14:textId="77777777" w:rsidR="00A778FF" w:rsidRPr="00A778FF" w:rsidRDefault="00A778FF" w:rsidP="00A778FF">
            <w:pPr>
              <w:numPr>
                <w:ilvl w:val="0"/>
                <w:numId w:val="4"/>
              </w:numPr>
              <w:spacing w:after="0" w:line="240" w:lineRule="auto"/>
              <w:contextualSpacing/>
              <w:rPr>
                <w:rFonts w:ascii="Arial" w:eastAsia="Calibri" w:hAnsi="Arial" w:cs="Arial"/>
                <w:sz w:val="20"/>
                <w:szCs w:val="20"/>
                <w14:ligatures w14:val="none"/>
              </w:rPr>
            </w:pPr>
            <w:r w:rsidRPr="00A778FF">
              <w:rPr>
                <w:rFonts w:ascii="Arial" w:eastAsia="Calibri" w:hAnsi="Arial" w:cs="Arial"/>
                <w:sz w:val="20"/>
                <w:szCs w:val="20"/>
                <w:lang w:val="en-GB"/>
                <w14:ligatures w14:val="none"/>
              </w:rPr>
              <w:t>BV data accompanied by key metadata set from defined domains, will enable development and compliance with health informatics standards for the transmission and integration of BV data into information and knowledge management systems.</w:t>
            </w:r>
          </w:p>
          <w:p w14:paraId="60AE34C1" w14:textId="77777777" w:rsidR="00A778FF" w:rsidRPr="00A778FF" w:rsidRDefault="00A778FF" w:rsidP="00A778FF">
            <w:pPr>
              <w:numPr>
                <w:ilvl w:val="0"/>
                <w:numId w:val="4"/>
              </w:numPr>
              <w:spacing w:after="0" w:line="240" w:lineRule="auto"/>
              <w:contextualSpacing/>
              <w:rPr>
                <w:rFonts w:ascii="Arial" w:eastAsia="Calibri" w:hAnsi="Arial" w:cs="Arial"/>
                <w:sz w:val="20"/>
                <w:szCs w:val="20"/>
                <w14:ligatures w14:val="none"/>
              </w:rPr>
            </w:pPr>
            <w:r w:rsidRPr="00A778FF">
              <w:rPr>
                <w:rFonts w:ascii="Arial" w:eastAsia="Calibri" w:hAnsi="Arial" w:cs="Arial"/>
                <w:sz w:val="20"/>
                <w:szCs w:val="20"/>
                <w:lang w:val="en-GB"/>
                <w14:ligatures w14:val="none"/>
              </w:rPr>
              <w:t>Promotes the use of BV data as reliable reference data and supports data sharing through online databases and other media.</w:t>
            </w:r>
          </w:p>
        </w:tc>
      </w:tr>
    </w:tbl>
    <w:p w14:paraId="7EC97BAB" w14:textId="4DFB9EB7" w:rsidR="00A778FF" w:rsidRPr="00A778FF" w:rsidRDefault="00A778FF" w:rsidP="00A778FF">
      <w:pPr>
        <w:rPr>
          <w:rFonts w:ascii="Arial" w:eastAsia="Calibri" w:hAnsi="Arial" w:cs="Arial"/>
          <w:sz w:val="24"/>
          <w:szCs w:val="24"/>
          <w14:ligatures w14:val="none"/>
        </w:rPr>
      </w:pPr>
    </w:p>
    <w:p w14:paraId="6C3DF5A3" w14:textId="77777777" w:rsidR="00325F75" w:rsidRDefault="00A778FF" w:rsidP="00325F75">
      <w:pPr>
        <w:spacing w:line="276" w:lineRule="auto"/>
        <w:rPr>
          <w:rFonts w:ascii="Arial" w:eastAsia="Calibri" w:hAnsi="Arial" w:cs="Arial"/>
          <w:color w:val="0000FF"/>
          <w:kern w:val="0"/>
          <w:sz w:val="24"/>
          <w:szCs w:val="24"/>
          <w:u w:val="single"/>
          <w14:ligatures w14:val="none"/>
        </w:rPr>
      </w:pPr>
      <w:r w:rsidRPr="00A778FF">
        <w:rPr>
          <w:rFonts w:ascii="Arial" w:eastAsia="Calibri" w:hAnsi="Arial" w:cs="Arial"/>
          <w:b/>
          <w:bCs/>
          <w:sz w:val="24"/>
          <w:szCs w:val="24"/>
          <w14:ligatures w14:val="none"/>
        </w:rPr>
        <w:lastRenderedPageBreak/>
        <w:t>Figure S1.</w:t>
      </w:r>
      <w:r w:rsidRPr="00A778FF">
        <w:rPr>
          <w:rFonts w:ascii="Arial" w:eastAsia="Calibri" w:hAnsi="Arial" w:cs="Arial"/>
          <w:kern w:val="0"/>
          <w:sz w:val="24"/>
          <w:szCs w:val="24"/>
          <w14:ligatures w14:val="none"/>
        </w:rPr>
        <w:t xml:space="preserve"> Illustrative example of the granular content of the EFLM Biological variation interactive mind map </w:t>
      </w:r>
      <w:r w:rsidRPr="00A778FF">
        <w:rPr>
          <w:rFonts w:ascii="Arial" w:eastAsia="Calibri" w:hAnsi="Arial" w:cs="Arial"/>
          <w:i/>
          <w:iCs/>
          <w:kern w:val="0"/>
          <w:sz w:val="24"/>
          <w:szCs w:val="24"/>
          <w14:ligatures w14:val="none"/>
        </w:rPr>
        <w:t>How to write a paper on biological variation</w:t>
      </w:r>
      <w:r w:rsidRPr="00A778FF">
        <w:rPr>
          <w:rFonts w:ascii="Arial" w:eastAsia="Calibri" w:hAnsi="Arial" w:cs="Arial"/>
          <w:kern w:val="0"/>
          <w:sz w:val="24"/>
          <w:szCs w:val="24"/>
          <w14:ligatures w14:val="none"/>
        </w:rPr>
        <w:t xml:space="preserve"> online at </w:t>
      </w:r>
      <w:hyperlink r:id="rId9" w:history="1">
        <w:r w:rsidRPr="00A778FF">
          <w:rPr>
            <w:rFonts w:ascii="Arial" w:eastAsia="Calibri" w:hAnsi="Arial" w:cs="Arial"/>
            <w:color w:val="0000FF"/>
            <w:kern w:val="0"/>
            <w:sz w:val="24"/>
            <w:szCs w:val="24"/>
            <w:u w:val="single"/>
            <w14:ligatures w14:val="none"/>
          </w:rPr>
          <w:t>https://biologicalvariation.eu/Publication_Structure_V2_0.html</w:t>
        </w:r>
      </w:hyperlink>
    </w:p>
    <w:p w14:paraId="489EC0D2" w14:textId="6FA01B23" w:rsidR="00111D56" w:rsidRDefault="00325F75" w:rsidP="00325F75">
      <w:pPr>
        <w:spacing w:line="276" w:lineRule="auto"/>
      </w:pPr>
      <w:r>
        <w:rPr>
          <w:noProof/>
        </w:rPr>
        <w:drawing>
          <wp:inline distT="0" distB="0" distL="0" distR="0" wp14:anchorId="41BCC542" wp14:editId="1A996A34">
            <wp:extent cx="7499031" cy="5391150"/>
            <wp:effectExtent l="0" t="0" r="6985" b="0"/>
            <wp:docPr id="148082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7294" cy="5418657"/>
                    </a:xfrm>
                    <a:prstGeom prst="rect">
                      <a:avLst/>
                    </a:prstGeom>
                    <a:noFill/>
                  </pic:spPr>
                </pic:pic>
              </a:graphicData>
            </a:graphic>
          </wp:inline>
        </w:drawing>
      </w:r>
    </w:p>
    <w:sectPr w:rsidR="00111D56" w:rsidSect="00EA10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54367"/>
    <w:multiLevelType w:val="hybridMultilevel"/>
    <w:tmpl w:val="2C820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AD4023"/>
    <w:multiLevelType w:val="hybridMultilevel"/>
    <w:tmpl w:val="A1745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AC56BF"/>
    <w:multiLevelType w:val="hybridMultilevel"/>
    <w:tmpl w:val="47920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0C76E00"/>
    <w:multiLevelType w:val="hybridMultilevel"/>
    <w:tmpl w:val="C46867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0697638">
    <w:abstractNumId w:val="3"/>
  </w:num>
  <w:num w:numId="2" w16cid:durableId="1824200597">
    <w:abstractNumId w:val="0"/>
  </w:num>
  <w:num w:numId="3" w16cid:durableId="1229683430">
    <w:abstractNumId w:val="1"/>
  </w:num>
  <w:num w:numId="4" w16cid:durableId="1055394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FF"/>
    <w:rsid w:val="000B3DA7"/>
    <w:rsid w:val="00111D56"/>
    <w:rsid w:val="002E6742"/>
    <w:rsid w:val="00325F75"/>
    <w:rsid w:val="003E55F6"/>
    <w:rsid w:val="004117A9"/>
    <w:rsid w:val="00420FF4"/>
    <w:rsid w:val="00467B9F"/>
    <w:rsid w:val="006439E0"/>
    <w:rsid w:val="00806CEF"/>
    <w:rsid w:val="00983BB4"/>
    <w:rsid w:val="00A778FF"/>
    <w:rsid w:val="00C47E08"/>
    <w:rsid w:val="00D03ED4"/>
    <w:rsid w:val="00D8656C"/>
    <w:rsid w:val="00EA1089"/>
    <w:rsid w:val="00F9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4B08"/>
  <w15:chartTrackingRefBased/>
  <w15:docId w15:val="{DF8EF606-F9C4-46A1-8DA5-70D79F52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7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7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8FF"/>
    <w:rPr>
      <w:rFonts w:eastAsiaTheme="majorEastAsia" w:cstheme="majorBidi"/>
      <w:color w:val="272727" w:themeColor="text1" w:themeTint="D8"/>
    </w:rPr>
  </w:style>
  <w:style w:type="paragraph" w:styleId="Title">
    <w:name w:val="Title"/>
    <w:basedOn w:val="Normal"/>
    <w:next w:val="Normal"/>
    <w:link w:val="TitleChar"/>
    <w:uiPriority w:val="10"/>
    <w:qFormat/>
    <w:rsid w:val="00A7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8FF"/>
    <w:pPr>
      <w:spacing w:before="160"/>
      <w:jc w:val="center"/>
    </w:pPr>
    <w:rPr>
      <w:i/>
      <w:iCs/>
      <w:color w:val="404040" w:themeColor="text1" w:themeTint="BF"/>
    </w:rPr>
  </w:style>
  <w:style w:type="character" w:customStyle="1" w:styleId="QuoteChar">
    <w:name w:val="Quote Char"/>
    <w:basedOn w:val="DefaultParagraphFont"/>
    <w:link w:val="Quote"/>
    <w:uiPriority w:val="29"/>
    <w:rsid w:val="00A778FF"/>
    <w:rPr>
      <w:i/>
      <w:iCs/>
      <w:color w:val="404040" w:themeColor="text1" w:themeTint="BF"/>
    </w:rPr>
  </w:style>
  <w:style w:type="paragraph" w:styleId="ListParagraph">
    <w:name w:val="List Paragraph"/>
    <w:basedOn w:val="Normal"/>
    <w:uiPriority w:val="34"/>
    <w:qFormat/>
    <w:rsid w:val="00A778FF"/>
    <w:pPr>
      <w:ind w:left="720"/>
      <w:contextualSpacing/>
    </w:pPr>
  </w:style>
  <w:style w:type="character" w:styleId="IntenseEmphasis">
    <w:name w:val="Intense Emphasis"/>
    <w:basedOn w:val="DefaultParagraphFont"/>
    <w:uiPriority w:val="21"/>
    <w:qFormat/>
    <w:rsid w:val="00A778FF"/>
    <w:rPr>
      <w:i/>
      <w:iCs/>
      <w:color w:val="2F5496" w:themeColor="accent1" w:themeShade="BF"/>
    </w:rPr>
  </w:style>
  <w:style w:type="paragraph" w:styleId="IntenseQuote">
    <w:name w:val="Intense Quote"/>
    <w:basedOn w:val="Normal"/>
    <w:next w:val="Normal"/>
    <w:link w:val="IntenseQuoteChar"/>
    <w:uiPriority w:val="30"/>
    <w:qFormat/>
    <w:rsid w:val="00A77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8FF"/>
    <w:rPr>
      <w:i/>
      <w:iCs/>
      <w:color w:val="2F5496" w:themeColor="accent1" w:themeShade="BF"/>
    </w:rPr>
  </w:style>
  <w:style w:type="character" w:styleId="IntenseReference">
    <w:name w:val="Intense Reference"/>
    <w:basedOn w:val="DefaultParagraphFont"/>
    <w:uiPriority w:val="32"/>
    <w:qFormat/>
    <w:rsid w:val="00A778FF"/>
    <w:rPr>
      <w:b/>
      <w:bCs/>
      <w:smallCaps/>
      <w:color w:val="2F5496" w:themeColor="accent1" w:themeShade="BF"/>
      <w:spacing w:val="5"/>
    </w:rPr>
  </w:style>
  <w:style w:type="character" w:styleId="Hyperlink">
    <w:name w:val="Hyperlink"/>
    <w:basedOn w:val="DefaultParagraphFont"/>
    <w:uiPriority w:val="99"/>
    <w:unhideWhenUsed/>
    <w:rsid w:val="00A778FF"/>
    <w:rPr>
      <w:color w:val="0563C1" w:themeColor="hyperlink"/>
      <w:u w:val="single"/>
    </w:rPr>
  </w:style>
  <w:style w:type="character" w:styleId="UnresolvedMention">
    <w:name w:val="Unresolved Mention"/>
    <w:basedOn w:val="DefaultParagraphFont"/>
    <w:uiPriority w:val="99"/>
    <w:semiHidden/>
    <w:unhideWhenUsed/>
    <w:rsid w:val="00A77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logicalvariation.eu/Publication_Structure_V2_0.html" TargetMode="External"/><Relationship Id="rId3" Type="http://schemas.openxmlformats.org/officeDocument/2006/relationships/settings" Target="settings.xml"/><Relationship Id="rId7" Type="http://schemas.openxmlformats.org/officeDocument/2006/relationships/hyperlink" Target="https://doi.org/10.1373/clinchem.2014.2337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ologicalvariation.eu/Publication_Structure_V2_0.html" TargetMode="External"/><Relationship Id="rId11" Type="http://schemas.openxmlformats.org/officeDocument/2006/relationships/fontTable" Target="fontTable.xml"/><Relationship Id="rId5" Type="http://schemas.openxmlformats.org/officeDocument/2006/relationships/hyperlink" Target="https://biologicalvariation.eu/Publication_Structure_V2_0.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iologicalvariation.eu/Publication_Structure_V2_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Bartlett</dc:creator>
  <cp:keywords/>
  <dc:description/>
  <cp:lastModifiedBy>William Bartlett</cp:lastModifiedBy>
  <cp:revision>3</cp:revision>
  <dcterms:created xsi:type="dcterms:W3CDTF">2024-06-09T08:19:00Z</dcterms:created>
  <dcterms:modified xsi:type="dcterms:W3CDTF">2024-06-23T14:04:00Z</dcterms:modified>
</cp:coreProperties>
</file>