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D43A" w14:textId="750AE867" w:rsidR="001A3FEB" w:rsidRPr="00A25C9E" w:rsidRDefault="001E64DA" w:rsidP="00A25C9E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25C9E">
        <w:rPr>
          <w:rFonts w:asciiTheme="majorBidi" w:hAnsiTheme="majorBidi" w:cstheme="majorBidi"/>
          <w:b/>
          <w:bCs/>
          <w:sz w:val="28"/>
          <w:szCs w:val="28"/>
          <w:lang w:val="en-US"/>
        </w:rPr>
        <w:t>Supplementary material</w:t>
      </w:r>
    </w:p>
    <w:p w14:paraId="127EC3B4" w14:textId="77777777" w:rsidR="001E64DA" w:rsidRPr="00BE477F" w:rsidRDefault="001E64DA" w:rsidP="00A0032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96BCE28" w14:textId="6CF71D83" w:rsidR="00D86F59" w:rsidRDefault="0041232B" w:rsidP="00A0032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1. </w:t>
      </w:r>
      <w:r w:rsidR="00E73787">
        <w:rPr>
          <w:rFonts w:asciiTheme="majorBidi" w:hAnsiTheme="majorBidi" w:cstheme="majorBidi"/>
          <w:b/>
          <w:bCs/>
          <w:sz w:val="24"/>
          <w:szCs w:val="24"/>
          <w:lang w:val="en-US"/>
        </w:rPr>
        <w:t>Parallelism</w:t>
      </w:r>
    </w:p>
    <w:p w14:paraId="61C6F563" w14:textId="68ECA1AA" w:rsidR="00235AF9" w:rsidRDefault="000E4689" w:rsidP="00CF240B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E4689">
        <w:rPr>
          <w:rFonts w:asciiTheme="majorBidi" w:hAnsiTheme="majorBidi" w:cstheme="majorBidi"/>
          <w:sz w:val="24"/>
          <w:szCs w:val="24"/>
          <w:lang w:val="en-US"/>
        </w:rPr>
        <w:t>In order to assess parallelism and matrix effects, we conducted duplicate measurements on a serial dilution of four distinct serum samples. Each well was subjected to parallel measurements within three Glass Nano Reactors (GNRs), yielding a total of six measurements per sample, as detailed in Table S1.</w:t>
      </w:r>
    </w:p>
    <w:p w14:paraId="1BB58C2D" w14:textId="41D864BC" w:rsidR="00EC395B" w:rsidRPr="00C66A36" w:rsidRDefault="009B2C1E" w:rsidP="00A00328">
      <w:pPr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C66A36">
        <w:rPr>
          <w:rFonts w:asciiTheme="majorBidi" w:hAnsiTheme="majorBidi" w:cstheme="majorBidi"/>
          <w:b/>
          <w:bCs/>
          <w:sz w:val="20"/>
          <w:szCs w:val="20"/>
          <w:lang w:val="en-US"/>
        </w:rPr>
        <w:t>Table S1.</w:t>
      </w:r>
      <w:r w:rsidR="00A53892" w:rsidRPr="00C66A36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2E1285" w:rsidRPr="00C66A36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GFAP raw concentrations obtained through six </w:t>
      </w:r>
      <w:r w:rsidR="00A53892" w:rsidRPr="00C66A36">
        <w:rPr>
          <w:rFonts w:asciiTheme="majorBidi" w:hAnsiTheme="majorBidi" w:cstheme="majorBidi"/>
          <w:b/>
          <w:bCs/>
          <w:sz w:val="20"/>
          <w:szCs w:val="20"/>
          <w:lang w:val="en-US"/>
        </w:rPr>
        <w:t>parallel measurements per sample.</w:t>
      </w:r>
    </w:p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1868"/>
        <w:gridCol w:w="1868"/>
        <w:gridCol w:w="1868"/>
        <w:gridCol w:w="1870"/>
        <w:gridCol w:w="1870"/>
      </w:tblGrid>
      <w:tr w:rsidR="004448E1" w:rsidRPr="002E2CC3" w14:paraId="7F3B9FC4" w14:textId="77777777" w:rsidTr="00083D47">
        <w:trPr>
          <w:trHeight w:val="494"/>
        </w:trPr>
        <w:tc>
          <w:tcPr>
            <w:tcW w:w="9344" w:type="dxa"/>
            <w:gridSpan w:val="5"/>
            <w:vAlign w:val="center"/>
          </w:tcPr>
          <w:p w14:paraId="3A94F303" w14:textId="67AF9C67" w:rsidR="004448E1" w:rsidRPr="00DE527F" w:rsidRDefault="004448E1" w:rsidP="00EC39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52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Measured GFAP concentrations (</w:t>
            </w:r>
            <w:proofErr w:type="spellStart"/>
            <w:r w:rsidRPr="00DE52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pg</w:t>
            </w:r>
            <w:proofErr w:type="spellEnd"/>
            <w:r w:rsidRPr="00DE52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/mL)</w:t>
            </w:r>
          </w:p>
        </w:tc>
      </w:tr>
      <w:tr w:rsidR="00EC395B" w14:paraId="16B71506" w14:textId="77777777" w:rsidTr="00EC395B">
        <w:trPr>
          <w:trHeight w:val="494"/>
        </w:trPr>
        <w:tc>
          <w:tcPr>
            <w:tcW w:w="1868" w:type="dxa"/>
            <w:vAlign w:val="center"/>
          </w:tcPr>
          <w:p w14:paraId="3E4C7ECB" w14:textId="7C1A29CE" w:rsidR="00EC395B" w:rsidRPr="00DE527F" w:rsidRDefault="00EC395B" w:rsidP="00EC39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52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Dilution</w:t>
            </w:r>
          </w:p>
        </w:tc>
        <w:tc>
          <w:tcPr>
            <w:tcW w:w="1868" w:type="dxa"/>
            <w:vAlign w:val="center"/>
          </w:tcPr>
          <w:p w14:paraId="17A8F6D5" w14:textId="11B8638E" w:rsidR="00EC395B" w:rsidRPr="00DE527F" w:rsidRDefault="00EC395B" w:rsidP="00EC39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52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Sample 1</w:t>
            </w:r>
          </w:p>
        </w:tc>
        <w:tc>
          <w:tcPr>
            <w:tcW w:w="1868" w:type="dxa"/>
            <w:vAlign w:val="center"/>
          </w:tcPr>
          <w:p w14:paraId="48120EFD" w14:textId="2F4A8059" w:rsidR="00EC395B" w:rsidRPr="00DE527F" w:rsidRDefault="00EC395B" w:rsidP="00EC39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52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Sample 2</w:t>
            </w:r>
          </w:p>
        </w:tc>
        <w:tc>
          <w:tcPr>
            <w:tcW w:w="1870" w:type="dxa"/>
            <w:vAlign w:val="center"/>
          </w:tcPr>
          <w:p w14:paraId="77D5CFEE" w14:textId="7AE02A6A" w:rsidR="00EC395B" w:rsidRPr="00DE527F" w:rsidRDefault="00EC395B" w:rsidP="00EC39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52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Sample 3</w:t>
            </w:r>
          </w:p>
        </w:tc>
        <w:tc>
          <w:tcPr>
            <w:tcW w:w="1870" w:type="dxa"/>
            <w:vAlign w:val="center"/>
          </w:tcPr>
          <w:p w14:paraId="6096DD5D" w14:textId="36BE8455" w:rsidR="00EC395B" w:rsidRPr="00DE527F" w:rsidRDefault="00EC395B" w:rsidP="00EC39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52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Sample 4</w:t>
            </w:r>
          </w:p>
        </w:tc>
      </w:tr>
      <w:tr w:rsidR="00050D82" w14:paraId="5FE2BFBC" w14:textId="77777777" w:rsidTr="00050D82">
        <w:trPr>
          <w:trHeight w:val="85"/>
        </w:trPr>
        <w:tc>
          <w:tcPr>
            <w:tcW w:w="1868" w:type="dxa"/>
            <w:vMerge w:val="restart"/>
            <w:vAlign w:val="center"/>
          </w:tcPr>
          <w:p w14:paraId="1A520C04" w14:textId="59C17680" w:rsidR="00050D82" w:rsidRPr="00DE527F" w:rsidRDefault="00050D82" w:rsidP="00EC39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52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Neat</w:t>
            </w:r>
          </w:p>
        </w:tc>
        <w:tc>
          <w:tcPr>
            <w:tcW w:w="1868" w:type="dxa"/>
            <w:vAlign w:val="center"/>
          </w:tcPr>
          <w:p w14:paraId="58A3C7B9" w14:textId="53BE7D67" w:rsidR="00050D82" w:rsidRPr="0088010D" w:rsidRDefault="002F1EA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8" w:type="dxa"/>
            <w:vAlign w:val="center"/>
          </w:tcPr>
          <w:p w14:paraId="1E31EEFB" w14:textId="781B3225" w:rsidR="00050D82" w:rsidRPr="0088010D" w:rsidRDefault="003D014D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6.09</w:t>
            </w:r>
          </w:p>
        </w:tc>
        <w:tc>
          <w:tcPr>
            <w:tcW w:w="1870" w:type="dxa"/>
            <w:vAlign w:val="center"/>
          </w:tcPr>
          <w:p w14:paraId="7CA9E6CD" w14:textId="429CF6F0" w:rsidR="00050D82" w:rsidRPr="0088010D" w:rsidRDefault="007874D7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870" w:type="dxa"/>
            <w:vAlign w:val="center"/>
          </w:tcPr>
          <w:p w14:paraId="1D083B97" w14:textId="2230DF0C" w:rsidR="00050D82" w:rsidRPr="0088010D" w:rsidRDefault="00B54CF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11.9</w:t>
            </w:r>
          </w:p>
        </w:tc>
      </w:tr>
      <w:tr w:rsidR="00050D82" w14:paraId="4CCAEAE9" w14:textId="77777777" w:rsidTr="00EC395B">
        <w:trPr>
          <w:trHeight w:val="82"/>
        </w:trPr>
        <w:tc>
          <w:tcPr>
            <w:tcW w:w="1868" w:type="dxa"/>
            <w:vMerge/>
            <w:vAlign w:val="center"/>
          </w:tcPr>
          <w:p w14:paraId="06ED162C" w14:textId="77777777" w:rsidR="00050D82" w:rsidRPr="00DE527F" w:rsidRDefault="00050D82" w:rsidP="00EC39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  <w:vAlign w:val="center"/>
          </w:tcPr>
          <w:p w14:paraId="50784E1B" w14:textId="35E2CF59" w:rsidR="00050D82" w:rsidRPr="0088010D" w:rsidRDefault="002F1EA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</w:t>
            </w:r>
          </w:p>
        </w:tc>
        <w:tc>
          <w:tcPr>
            <w:tcW w:w="1868" w:type="dxa"/>
            <w:vAlign w:val="center"/>
          </w:tcPr>
          <w:p w14:paraId="32593D86" w14:textId="074AE0FB" w:rsidR="00050D82" w:rsidRPr="0088010D" w:rsidRDefault="003D014D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6.5</w:t>
            </w:r>
          </w:p>
        </w:tc>
        <w:tc>
          <w:tcPr>
            <w:tcW w:w="1870" w:type="dxa"/>
            <w:vAlign w:val="center"/>
          </w:tcPr>
          <w:p w14:paraId="2499FDBF" w14:textId="2F37E493" w:rsidR="00050D82" w:rsidRPr="0088010D" w:rsidRDefault="007874D7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23.8</w:t>
            </w:r>
          </w:p>
        </w:tc>
        <w:tc>
          <w:tcPr>
            <w:tcW w:w="1870" w:type="dxa"/>
            <w:vAlign w:val="center"/>
          </w:tcPr>
          <w:p w14:paraId="42A8477A" w14:textId="266DEA77" w:rsidR="00050D82" w:rsidRPr="0088010D" w:rsidRDefault="00B54CF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16.5</w:t>
            </w:r>
          </w:p>
        </w:tc>
      </w:tr>
      <w:tr w:rsidR="00050D82" w14:paraId="0233FC9F" w14:textId="77777777" w:rsidTr="00EC395B">
        <w:trPr>
          <w:trHeight w:val="82"/>
        </w:trPr>
        <w:tc>
          <w:tcPr>
            <w:tcW w:w="1868" w:type="dxa"/>
            <w:vMerge/>
            <w:vAlign w:val="center"/>
          </w:tcPr>
          <w:p w14:paraId="1FA2D373" w14:textId="77777777" w:rsidR="00050D82" w:rsidRPr="00DE527F" w:rsidRDefault="00050D82" w:rsidP="00EC39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  <w:vAlign w:val="center"/>
          </w:tcPr>
          <w:p w14:paraId="44969E58" w14:textId="47D76EA5" w:rsidR="00050D82" w:rsidRPr="0088010D" w:rsidRDefault="002F1EA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</w:t>
            </w:r>
          </w:p>
        </w:tc>
        <w:tc>
          <w:tcPr>
            <w:tcW w:w="1868" w:type="dxa"/>
            <w:vAlign w:val="center"/>
          </w:tcPr>
          <w:p w14:paraId="61457F51" w14:textId="2C7A065A" w:rsidR="00050D82" w:rsidRPr="0088010D" w:rsidRDefault="003D014D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6.06</w:t>
            </w:r>
          </w:p>
        </w:tc>
        <w:tc>
          <w:tcPr>
            <w:tcW w:w="1870" w:type="dxa"/>
            <w:vAlign w:val="center"/>
          </w:tcPr>
          <w:p w14:paraId="42322F1A" w14:textId="4DCD0FB6" w:rsidR="00050D82" w:rsidRPr="0088010D" w:rsidRDefault="007874D7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24.1</w:t>
            </w:r>
          </w:p>
        </w:tc>
        <w:tc>
          <w:tcPr>
            <w:tcW w:w="1870" w:type="dxa"/>
            <w:vAlign w:val="center"/>
          </w:tcPr>
          <w:p w14:paraId="1A45C8C5" w14:textId="09006D6F" w:rsidR="00050D82" w:rsidRPr="0088010D" w:rsidRDefault="00B54CF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14.6</w:t>
            </w:r>
          </w:p>
        </w:tc>
      </w:tr>
      <w:tr w:rsidR="00050D82" w14:paraId="1C85958F" w14:textId="77777777" w:rsidTr="00EC395B">
        <w:trPr>
          <w:trHeight w:val="82"/>
        </w:trPr>
        <w:tc>
          <w:tcPr>
            <w:tcW w:w="1868" w:type="dxa"/>
            <w:vMerge/>
            <w:vAlign w:val="center"/>
          </w:tcPr>
          <w:p w14:paraId="1F6F0514" w14:textId="77777777" w:rsidR="00050D82" w:rsidRPr="00DE527F" w:rsidRDefault="00050D82" w:rsidP="00EC39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  <w:vAlign w:val="center"/>
          </w:tcPr>
          <w:p w14:paraId="01229548" w14:textId="1C7E8733" w:rsidR="00050D82" w:rsidRPr="0088010D" w:rsidRDefault="002F1EA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3.41</w:t>
            </w:r>
          </w:p>
        </w:tc>
        <w:tc>
          <w:tcPr>
            <w:tcW w:w="1868" w:type="dxa"/>
            <w:vAlign w:val="center"/>
          </w:tcPr>
          <w:p w14:paraId="26C59A70" w14:textId="40DFE247" w:rsidR="00050D82" w:rsidRPr="0088010D" w:rsidRDefault="003D014D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6.31</w:t>
            </w:r>
          </w:p>
        </w:tc>
        <w:tc>
          <w:tcPr>
            <w:tcW w:w="1870" w:type="dxa"/>
            <w:vAlign w:val="center"/>
          </w:tcPr>
          <w:p w14:paraId="05C285C5" w14:textId="52C25C89" w:rsidR="00050D82" w:rsidRPr="0088010D" w:rsidRDefault="007874D7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870" w:type="dxa"/>
            <w:vAlign w:val="center"/>
          </w:tcPr>
          <w:p w14:paraId="129295B2" w14:textId="15AA325D" w:rsidR="00050D82" w:rsidRPr="0088010D" w:rsidRDefault="00B54CF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15.2</w:t>
            </w:r>
          </w:p>
        </w:tc>
      </w:tr>
      <w:tr w:rsidR="00050D82" w14:paraId="776E46BF" w14:textId="77777777" w:rsidTr="00EC395B">
        <w:trPr>
          <w:trHeight w:val="82"/>
        </w:trPr>
        <w:tc>
          <w:tcPr>
            <w:tcW w:w="1868" w:type="dxa"/>
            <w:vMerge/>
            <w:vAlign w:val="center"/>
          </w:tcPr>
          <w:p w14:paraId="4BC76082" w14:textId="77777777" w:rsidR="00050D82" w:rsidRPr="00DE527F" w:rsidRDefault="00050D82" w:rsidP="00EC39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  <w:vAlign w:val="center"/>
          </w:tcPr>
          <w:p w14:paraId="3ACE3D59" w14:textId="56A7E909" w:rsidR="00050D82" w:rsidRPr="0088010D" w:rsidRDefault="002F1EA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2.68</w:t>
            </w:r>
          </w:p>
        </w:tc>
        <w:tc>
          <w:tcPr>
            <w:tcW w:w="1868" w:type="dxa"/>
            <w:vAlign w:val="center"/>
          </w:tcPr>
          <w:p w14:paraId="15144086" w14:textId="3320CB6D" w:rsidR="00050D82" w:rsidRPr="0088010D" w:rsidRDefault="003D014D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4.74</w:t>
            </w:r>
          </w:p>
        </w:tc>
        <w:tc>
          <w:tcPr>
            <w:tcW w:w="1870" w:type="dxa"/>
            <w:vAlign w:val="center"/>
          </w:tcPr>
          <w:p w14:paraId="44FC0934" w14:textId="464B8B77" w:rsidR="00050D82" w:rsidRPr="0088010D" w:rsidRDefault="007874D7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24.6</w:t>
            </w:r>
          </w:p>
        </w:tc>
        <w:tc>
          <w:tcPr>
            <w:tcW w:w="1870" w:type="dxa"/>
            <w:vAlign w:val="center"/>
          </w:tcPr>
          <w:p w14:paraId="13F9F665" w14:textId="4243DD35" w:rsidR="00050D82" w:rsidRPr="0088010D" w:rsidRDefault="00B54CF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13.8</w:t>
            </w:r>
          </w:p>
        </w:tc>
      </w:tr>
      <w:tr w:rsidR="00050D82" w14:paraId="07AEC55D" w14:textId="77777777" w:rsidTr="00394D19">
        <w:trPr>
          <w:trHeight w:val="82"/>
        </w:trPr>
        <w:tc>
          <w:tcPr>
            <w:tcW w:w="1868" w:type="dxa"/>
            <w:vMerge/>
            <w:tcBorders>
              <w:bottom w:val="single" w:sz="12" w:space="0" w:color="auto"/>
            </w:tcBorders>
            <w:vAlign w:val="center"/>
          </w:tcPr>
          <w:p w14:paraId="5C9D0738" w14:textId="77777777" w:rsidR="00050D82" w:rsidRPr="00DE527F" w:rsidRDefault="00050D82" w:rsidP="00EC39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  <w:tcBorders>
              <w:bottom w:val="single" w:sz="12" w:space="0" w:color="auto"/>
            </w:tcBorders>
            <w:vAlign w:val="center"/>
          </w:tcPr>
          <w:p w14:paraId="0F2AD6AC" w14:textId="3AC89141" w:rsidR="00050D82" w:rsidRPr="0088010D" w:rsidRDefault="002F1EA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2.36</w:t>
            </w:r>
          </w:p>
        </w:tc>
        <w:tc>
          <w:tcPr>
            <w:tcW w:w="1868" w:type="dxa"/>
            <w:tcBorders>
              <w:bottom w:val="single" w:sz="12" w:space="0" w:color="auto"/>
            </w:tcBorders>
            <w:vAlign w:val="center"/>
          </w:tcPr>
          <w:p w14:paraId="797A4A77" w14:textId="0C28D111" w:rsidR="00050D82" w:rsidRPr="0088010D" w:rsidRDefault="003D014D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vAlign w:val="center"/>
          </w:tcPr>
          <w:p w14:paraId="6387AA18" w14:textId="2FB87385" w:rsidR="00050D82" w:rsidRPr="0088010D" w:rsidRDefault="007874D7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23.4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vAlign w:val="center"/>
          </w:tcPr>
          <w:p w14:paraId="66954617" w14:textId="3A844B68" w:rsidR="00050D82" w:rsidRPr="0088010D" w:rsidRDefault="00B54CF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14.7</w:t>
            </w:r>
          </w:p>
        </w:tc>
      </w:tr>
      <w:tr w:rsidR="00050D82" w14:paraId="7F1A8167" w14:textId="77777777" w:rsidTr="00394D19">
        <w:trPr>
          <w:trHeight w:val="85"/>
        </w:trPr>
        <w:tc>
          <w:tcPr>
            <w:tcW w:w="1868" w:type="dxa"/>
            <w:vMerge w:val="restart"/>
            <w:tcBorders>
              <w:top w:val="single" w:sz="12" w:space="0" w:color="auto"/>
            </w:tcBorders>
            <w:vAlign w:val="center"/>
          </w:tcPr>
          <w:p w14:paraId="1C86D619" w14:textId="530ABAAE" w:rsidR="00050D82" w:rsidRPr="00DE527F" w:rsidRDefault="00050D82" w:rsidP="00EC39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52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1:2</w:t>
            </w:r>
          </w:p>
        </w:tc>
        <w:tc>
          <w:tcPr>
            <w:tcW w:w="1868" w:type="dxa"/>
            <w:tcBorders>
              <w:top w:val="single" w:sz="12" w:space="0" w:color="auto"/>
            </w:tcBorders>
            <w:vAlign w:val="center"/>
          </w:tcPr>
          <w:p w14:paraId="7BD035E0" w14:textId="13A0729B" w:rsidR="00050D82" w:rsidRPr="0088010D" w:rsidRDefault="002F1EA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2.37</w:t>
            </w:r>
          </w:p>
        </w:tc>
        <w:tc>
          <w:tcPr>
            <w:tcW w:w="1868" w:type="dxa"/>
            <w:tcBorders>
              <w:top w:val="single" w:sz="12" w:space="0" w:color="auto"/>
            </w:tcBorders>
            <w:vAlign w:val="center"/>
          </w:tcPr>
          <w:p w14:paraId="7DAFC66F" w14:textId="65643F7D" w:rsidR="00050D82" w:rsidRPr="0088010D" w:rsidRDefault="003D014D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2.25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vAlign w:val="center"/>
          </w:tcPr>
          <w:p w14:paraId="5B5C9E76" w14:textId="173FD37F" w:rsidR="00050D82" w:rsidRPr="0088010D" w:rsidRDefault="007874D7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12.2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vAlign w:val="center"/>
          </w:tcPr>
          <w:p w14:paraId="0B3804BD" w14:textId="77279C79" w:rsidR="00050D82" w:rsidRPr="0088010D" w:rsidRDefault="00B54CF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7.27</w:t>
            </w:r>
          </w:p>
        </w:tc>
      </w:tr>
      <w:tr w:rsidR="00050D82" w14:paraId="5DB30696" w14:textId="77777777" w:rsidTr="00EC395B">
        <w:trPr>
          <w:trHeight w:val="82"/>
        </w:trPr>
        <w:tc>
          <w:tcPr>
            <w:tcW w:w="1868" w:type="dxa"/>
            <w:vMerge/>
            <w:vAlign w:val="center"/>
          </w:tcPr>
          <w:p w14:paraId="2B485081" w14:textId="77777777" w:rsidR="00050D82" w:rsidRPr="00DE527F" w:rsidRDefault="00050D82" w:rsidP="00EC39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  <w:vAlign w:val="center"/>
          </w:tcPr>
          <w:p w14:paraId="104521DC" w14:textId="1325A778" w:rsidR="00050D82" w:rsidRPr="0088010D" w:rsidRDefault="002F1EA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1.44</w:t>
            </w:r>
          </w:p>
        </w:tc>
        <w:tc>
          <w:tcPr>
            <w:tcW w:w="1868" w:type="dxa"/>
            <w:vAlign w:val="center"/>
          </w:tcPr>
          <w:p w14:paraId="4730A2DA" w14:textId="32DF82BD" w:rsidR="00050D82" w:rsidRPr="0088010D" w:rsidRDefault="003D014D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2.7</w:t>
            </w:r>
          </w:p>
        </w:tc>
        <w:tc>
          <w:tcPr>
            <w:tcW w:w="1870" w:type="dxa"/>
            <w:vAlign w:val="center"/>
          </w:tcPr>
          <w:p w14:paraId="2FE46C4C" w14:textId="06A15E0C" w:rsidR="00050D82" w:rsidRPr="0088010D" w:rsidRDefault="007874D7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70" w:type="dxa"/>
            <w:vAlign w:val="center"/>
          </w:tcPr>
          <w:p w14:paraId="691B770C" w14:textId="521518E8" w:rsidR="00050D82" w:rsidRPr="0088010D" w:rsidRDefault="00B54CF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6.73</w:t>
            </w:r>
          </w:p>
        </w:tc>
      </w:tr>
      <w:tr w:rsidR="00050D82" w14:paraId="247C6D31" w14:textId="77777777" w:rsidTr="00EC395B">
        <w:trPr>
          <w:trHeight w:val="82"/>
        </w:trPr>
        <w:tc>
          <w:tcPr>
            <w:tcW w:w="1868" w:type="dxa"/>
            <w:vMerge/>
            <w:vAlign w:val="center"/>
          </w:tcPr>
          <w:p w14:paraId="381092AB" w14:textId="77777777" w:rsidR="00050D82" w:rsidRPr="00DE527F" w:rsidRDefault="00050D82" w:rsidP="00EC39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  <w:vAlign w:val="center"/>
          </w:tcPr>
          <w:p w14:paraId="6ED76C5B" w14:textId="18E11CAA" w:rsidR="00050D82" w:rsidRPr="0088010D" w:rsidRDefault="002F1EA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2.47</w:t>
            </w:r>
          </w:p>
        </w:tc>
        <w:tc>
          <w:tcPr>
            <w:tcW w:w="1868" w:type="dxa"/>
            <w:vAlign w:val="center"/>
          </w:tcPr>
          <w:p w14:paraId="5964CEC7" w14:textId="72CA152B" w:rsidR="00050D82" w:rsidRPr="0088010D" w:rsidRDefault="003D014D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2.12</w:t>
            </w:r>
          </w:p>
        </w:tc>
        <w:tc>
          <w:tcPr>
            <w:tcW w:w="1870" w:type="dxa"/>
            <w:vAlign w:val="center"/>
          </w:tcPr>
          <w:p w14:paraId="0B5D7B8B" w14:textId="3E8FAA5E" w:rsidR="00050D82" w:rsidRPr="0088010D" w:rsidRDefault="007874D7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10.8</w:t>
            </w:r>
          </w:p>
        </w:tc>
        <w:tc>
          <w:tcPr>
            <w:tcW w:w="1870" w:type="dxa"/>
            <w:vAlign w:val="center"/>
          </w:tcPr>
          <w:p w14:paraId="1C592F68" w14:textId="374A8FC2" w:rsidR="00050D82" w:rsidRPr="0088010D" w:rsidRDefault="00B54CF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6.92</w:t>
            </w:r>
          </w:p>
        </w:tc>
      </w:tr>
      <w:tr w:rsidR="00050D82" w14:paraId="75894D98" w14:textId="77777777" w:rsidTr="00EC395B">
        <w:trPr>
          <w:trHeight w:val="82"/>
        </w:trPr>
        <w:tc>
          <w:tcPr>
            <w:tcW w:w="1868" w:type="dxa"/>
            <w:vMerge/>
            <w:vAlign w:val="center"/>
          </w:tcPr>
          <w:p w14:paraId="5475C46B" w14:textId="77777777" w:rsidR="00050D82" w:rsidRPr="00DE527F" w:rsidRDefault="00050D82" w:rsidP="00EC39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  <w:vAlign w:val="center"/>
          </w:tcPr>
          <w:p w14:paraId="44FD31FC" w14:textId="4BC75291" w:rsidR="00050D82" w:rsidRPr="0088010D" w:rsidRDefault="002F1EA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2.41</w:t>
            </w:r>
          </w:p>
        </w:tc>
        <w:tc>
          <w:tcPr>
            <w:tcW w:w="1868" w:type="dxa"/>
            <w:vAlign w:val="center"/>
          </w:tcPr>
          <w:p w14:paraId="407366B7" w14:textId="71D1CE8F" w:rsidR="00050D82" w:rsidRPr="0088010D" w:rsidRDefault="003D014D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2.68</w:t>
            </w:r>
          </w:p>
        </w:tc>
        <w:tc>
          <w:tcPr>
            <w:tcW w:w="1870" w:type="dxa"/>
            <w:vAlign w:val="center"/>
          </w:tcPr>
          <w:p w14:paraId="26384FFA" w14:textId="42307F92" w:rsidR="00050D82" w:rsidRPr="0088010D" w:rsidRDefault="007874D7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12.3</w:t>
            </w:r>
          </w:p>
        </w:tc>
        <w:tc>
          <w:tcPr>
            <w:tcW w:w="1870" w:type="dxa"/>
            <w:vAlign w:val="center"/>
          </w:tcPr>
          <w:p w14:paraId="5960E6F6" w14:textId="21CA6F8A" w:rsidR="00050D82" w:rsidRPr="0088010D" w:rsidRDefault="00B54CF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6.75</w:t>
            </w:r>
          </w:p>
        </w:tc>
      </w:tr>
      <w:tr w:rsidR="00050D82" w14:paraId="45549A75" w14:textId="77777777" w:rsidTr="00EC395B">
        <w:trPr>
          <w:trHeight w:val="82"/>
        </w:trPr>
        <w:tc>
          <w:tcPr>
            <w:tcW w:w="1868" w:type="dxa"/>
            <w:vMerge/>
            <w:vAlign w:val="center"/>
          </w:tcPr>
          <w:p w14:paraId="2F72C571" w14:textId="77777777" w:rsidR="00050D82" w:rsidRPr="00DE527F" w:rsidRDefault="00050D82" w:rsidP="00EC39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  <w:vAlign w:val="center"/>
          </w:tcPr>
          <w:p w14:paraId="610D5864" w14:textId="2A3582B9" w:rsidR="00050D82" w:rsidRPr="0088010D" w:rsidRDefault="002F1EA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1.35</w:t>
            </w:r>
          </w:p>
        </w:tc>
        <w:tc>
          <w:tcPr>
            <w:tcW w:w="1868" w:type="dxa"/>
            <w:vAlign w:val="center"/>
          </w:tcPr>
          <w:p w14:paraId="5804D416" w14:textId="56C7E717" w:rsidR="00050D82" w:rsidRPr="0088010D" w:rsidRDefault="003D014D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2.18</w:t>
            </w:r>
          </w:p>
        </w:tc>
        <w:tc>
          <w:tcPr>
            <w:tcW w:w="1870" w:type="dxa"/>
            <w:vAlign w:val="center"/>
          </w:tcPr>
          <w:p w14:paraId="4C492F13" w14:textId="5E62FF0F" w:rsidR="00050D82" w:rsidRPr="0088010D" w:rsidRDefault="007874D7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870" w:type="dxa"/>
            <w:vAlign w:val="center"/>
          </w:tcPr>
          <w:p w14:paraId="2E9FD900" w14:textId="56809D4D" w:rsidR="00050D82" w:rsidRPr="0088010D" w:rsidRDefault="00B54CF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6.16</w:t>
            </w:r>
          </w:p>
        </w:tc>
      </w:tr>
      <w:tr w:rsidR="00050D82" w14:paraId="22CDA13B" w14:textId="77777777" w:rsidTr="00394D19">
        <w:trPr>
          <w:trHeight w:val="82"/>
        </w:trPr>
        <w:tc>
          <w:tcPr>
            <w:tcW w:w="1868" w:type="dxa"/>
            <w:vMerge/>
            <w:tcBorders>
              <w:bottom w:val="single" w:sz="12" w:space="0" w:color="auto"/>
            </w:tcBorders>
            <w:vAlign w:val="center"/>
          </w:tcPr>
          <w:p w14:paraId="59B662F4" w14:textId="77777777" w:rsidR="00050D82" w:rsidRPr="00DE527F" w:rsidRDefault="00050D82" w:rsidP="00EC39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  <w:tcBorders>
              <w:bottom w:val="single" w:sz="12" w:space="0" w:color="auto"/>
            </w:tcBorders>
            <w:vAlign w:val="center"/>
          </w:tcPr>
          <w:p w14:paraId="44FF0C6C" w14:textId="1C0B35ED" w:rsidR="00050D82" w:rsidRPr="0088010D" w:rsidRDefault="002F1EA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1.25</w:t>
            </w:r>
          </w:p>
        </w:tc>
        <w:tc>
          <w:tcPr>
            <w:tcW w:w="1868" w:type="dxa"/>
            <w:tcBorders>
              <w:bottom w:val="single" w:sz="12" w:space="0" w:color="auto"/>
            </w:tcBorders>
            <w:vAlign w:val="center"/>
          </w:tcPr>
          <w:p w14:paraId="078C66A7" w14:textId="7F22A970" w:rsidR="00050D82" w:rsidRPr="0088010D" w:rsidRDefault="003D014D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2.78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vAlign w:val="center"/>
          </w:tcPr>
          <w:p w14:paraId="304AB8DC" w14:textId="199CB6A2" w:rsidR="00050D82" w:rsidRPr="0088010D" w:rsidRDefault="007874D7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11.2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vAlign w:val="center"/>
          </w:tcPr>
          <w:p w14:paraId="3DA29F7F" w14:textId="2E07A371" w:rsidR="00050D82" w:rsidRPr="0088010D" w:rsidRDefault="00B54CF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6.5</w:t>
            </w:r>
          </w:p>
        </w:tc>
      </w:tr>
      <w:tr w:rsidR="00050D82" w14:paraId="73FCFEEB" w14:textId="77777777" w:rsidTr="00394D19">
        <w:trPr>
          <w:trHeight w:val="85"/>
        </w:trPr>
        <w:tc>
          <w:tcPr>
            <w:tcW w:w="1868" w:type="dxa"/>
            <w:vMerge w:val="restart"/>
            <w:tcBorders>
              <w:top w:val="single" w:sz="12" w:space="0" w:color="auto"/>
            </w:tcBorders>
            <w:vAlign w:val="center"/>
          </w:tcPr>
          <w:p w14:paraId="15EF4EB5" w14:textId="73B5BBFA" w:rsidR="00050D82" w:rsidRPr="00DE527F" w:rsidRDefault="00050D82" w:rsidP="00EC39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52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1:4</w:t>
            </w:r>
          </w:p>
        </w:tc>
        <w:tc>
          <w:tcPr>
            <w:tcW w:w="1868" w:type="dxa"/>
            <w:tcBorders>
              <w:top w:val="single" w:sz="12" w:space="0" w:color="auto"/>
            </w:tcBorders>
            <w:vAlign w:val="center"/>
          </w:tcPr>
          <w:p w14:paraId="18AB336C" w14:textId="4D133F06" w:rsidR="00050D82" w:rsidRPr="0088010D" w:rsidRDefault="002F1EA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0.69</w:t>
            </w:r>
          </w:p>
        </w:tc>
        <w:tc>
          <w:tcPr>
            <w:tcW w:w="1868" w:type="dxa"/>
            <w:tcBorders>
              <w:top w:val="single" w:sz="12" w:space="0" w:color="auto"/>
            </w:tcBorders>
            <w:vAlign w:val="center"/>
          </w:tcPr>
          <w:p w14:paraId="7AE07C84" w14:textId="15559449" w:rsidR="00050D82" w:rsidRPr="0088010D" w:rsidRDefault="003D014D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1.30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vAlign w:val="center"/>
          </w:tcPr>
          <w:p w14:paraId="1115BC55" w14:textId="47EDA951" w:rsidR="00050D82" w:rsidRPr="0088010D" w:rsidRDefault="007E63A7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6.32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vAlign w:val="center"/>
          </w:tcPr>
          <w:p w14:paraId="09E6BD68" w14:textId="7CDC94C8" w:rsidR="00050D82" w:rsidRPr="0088010D" w:rsidRDefault="00B54CF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3.75</w:t>
            </w:r>
          </w:p>
        </w:tc>
      </w:tr>
      <w:tr w:rsidR="00050D82" w14:paraId="5DBC7F17" w14:textId="77777777" w:rsidTr="00EC395B">
        <w:trPr>
          <w:trHeight w:val="82"/>
        </w:trPr>
        <w:tc>
          <w:tcPr>
            <w:tcW w:w="1868" w:type="dxa"/>
            <w:vMerge/>
            <w:vAlign w:val="center"/>
          </w:tcPr>
          <w:p w14:paraId="75743465" w14:textId="77777777" w:rsidR="00050D82" w:rsidRPr="00DE527F" w:rsidRDefault="00050D82" w:rsidP="00EC39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  <w:vAlign w:val="center"/>
          </w:tcPr>
          <w:p w14:paraId="060AF451" w14:textId="7F886F60" w:rsidR="00050D82" w:rsidRPr="0088010D" w:rsidRDefault="002F1EA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0.92</w:t>
            </w:r>
          </w:p>
        </w:tc>
        <w:tc>
          <w:tcPr>
            <w:tcW w:w="1868" w:type="dxa"/>
            <w:vAlign w:val="center"/>
          </w:tcPr>
          <w:p w14:paraId="6D4B7102" w14:textId="2D5E598E" w:rsidR="00050D82" w:rsidRPr="0088010D" w:rsidRDefault="003D014D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1.18</w:t>
            </w:r>
          </w:p>
        </w:tc>
        <w:tc>
          <w:tcPr>
            <w:tcW w:w="1870" w:type="dxa"/>
            <w:vAlign w:val="center"/>
          </w:tcPr>
          <w:p w14:paraId="023B52AA" w14:textId="204988DC" w:rsidR="00050D82" w:rsidRPr="0088010D" w:rsidRDefault="007E63A7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6.9</w:t>
            </w:r>
          </w:p>
        </w:tc>
        <w:tc>
          <w:tcPr>
            <w:tcW w:w="1870" w:type="dxa"/>
            <w:vAlign w:val="center"/>
          </w:tcPr>
          <w:p w14:paraId="38DEFDD4" w14:textId="3708D970" w:rsidR="00050D82" w:rsidRPr="0088010D" w:rsidRDefault="00B54CF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3.78</w:t>
            </w:r>
          </w:p>
        </w:tc>
      </w:tr>
      <w:tr w:rsidR="00050D82" w14:paraId="2C8E86B6" w14:textId="77777777" w:rsidTr="00EC395B">
        <w:trPr>
          <w:trHeight w:val="82"/>
        </w:trPr>
        <w:tc>
          <w:tcPr>
            <w:tcW w:w="1868" w:type="dxa"/>
            <w:vMerge/>
            <w:vAlign w:val="center"/>
          </w:tcPr>
          <w:p w14:paraId="2364745E" w14:textId="77777777" w:rsidR="00050D82" w:rsidRPr="00DE527F" w:rsidRDefault="00050D82" w:rsidP="00EC39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  <w:vAlign w:val="center"/>
          </w:tcPr>
          <w:p w14:paraId="5FD0F9E9" w14:textId="404A0C9F" w:rsidR="00050D82" w:rsidRPr="0088010D" w:rsidRDefault="002F1EA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1868" w:type="dxa"/>
            <w:vAlign w:val="center"/>
          </w:tcPr>
          <w:p w14:paraId="6F104F96" w14:textId="5A11A517" w:rsidR="00050D82" w:rsidRPr="0088010D" w:rsidRDefault="003D014D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1.57</w:t>
            </w:r>
          </w:p>
        </w:tc>
        <w:tc>
          <w:tcPr>
            <w:tcW w:w="1870" w:type="dxa"/>
            <w:vAlign w:val="center"/>
          </w:tcPr>
          <w:p w14:paraId="5FCA1591" w14:textId="4172E3E3" w:rsidR="00050D82" w:rsidRPr="0088010D" w:rsidRDefault="007E63A7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7.3</w:t>
            </w:r>
          </w:p>
        </w:tc>
        <w:tc>
          <w:tcPr>
            <w:tcW w:w="1870" w:type="dxa"/>
            <w:vAlign w:val="center"/>
          </w:tcPr>
          <w:p w14:paraId="66AA410D" w14:textId="1723FF6B" w:rsidR="00050D82" w:rsidRPr="0088010D" w:rsidRDefault="00B54CF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3.3</w:t>
            </w:r>
          </w:p>
        </w:tc>
      </w:tr>
      <w:tr w:rsidR="00050D82" w14:paraId="6070F3CC" w14:textId="77777777" w:rsidTr="00EC395B">
        <w:trPr>
          <w:trHeight w:val="82"/>
        </w:trPr>
        <w:tc>
          <w:tcPr>
            <w:tcW w:w="1868" w:type="dxa"/>
            <w:vMerge/>
            <w:vAlign w:val="center"/>
          </w:tcPr>
          <w:p w14:paraId="72D2B8AC" w14:textId="77777777" w:rsidR="00050D82" w:rsidRPr="00DE527F" w:rsidRDefault="00050D82" w:rsidP="00EC39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  <w:vAlign w:val="center"/>
          </w:tcPr>
          <w:p w14:paraId="1903A668" w14:textId="6EC851C3" w:rsidR="00050D82" w:rsidRPr="0088010D" w:rsidRDefault="002F1EA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1.06</w:t>
            </w:r>
          </w:p>
        </w:tc>
        <w:tc>
          <w:tcPr>
            <w:tcW w:w="1868" w:type="dxa"/>
            <w:vAlign w:val="center"/>
          </w:tcPr>
          <w:p w14:paraId="3C13AA70" w14:textId="42C42AA1" w:rsidR="00050D82" w:rsidRPr="0088010D" w:rsidRDefault="003D014D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1.35</w:t>
            </w:r>
          </w:p>
        </w:tc>
        <w:tc>
          <w:tcPr>
            <w:tcW w:w="1870" w:type="dxa"/>
            <w:vAlign w:val="center"/>
          </w:tcPr>
          <w:p w14:paraId="597E6F8A" w14:textId="4679E3A8" w:rsidR="00050D82" w:rsidRPr="0088010D" w:rsidRDefault="007E63A7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7.76</w:t>
            </w:r>
          </w:p>
        </w:tc>
        <w:tc>
          <w:tcPr>
            <w:tcW w:w="1870" w:type="dxa"/>
            <w:vAlign w:val="center"/>
          </w:tcPr>
          <w:p w14:paraId="6289EDB4" w14:textId="42D1CE43" w:rsidR="00050D82" w:rsidRPr="0088010D" w:rsidRDefault="00B54CF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3.51</w:t>
            </w:r>
          </w:p>
        </w:tc>
      </w:tr>
      <w:tr w:rsidR="00050D82" w14:paraId="24A0D99C" w14:textId="77777777" w:rsidTr="00EC395B">
        <w:trPr>
          <w:trHeight w:val="82"/>
        </w:trPr>
        <w:tc>
          <w:tcPr>
            <w:tcW w:w="1868" w:type="dxa"/>
            <w:vMerge/>
            <w:vAlign w:val="center"/>
          </w:tcPr>
          <w:p w14:paraId="6845B80B" w14:textId="77777777" w:rsidR="00050D82" w:rsidRPr="00DE527F" w:rsidRDefault="00050D82" w:rsidP="00EC39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  <w:vAlign w:val="center"/>
          </w:tcPr>
          <w:p w14:paraId="55B25D27" w14:textId="00641488" w:rsidR="00050D82" w:rsidRPr="0088010D" w:rsidRDefault="002F1EA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68" w:type="dxa"/>
            <w:vAlign w:val="center"/>
          </w:tcPr>
          <w:p w14:paraId="36AC953C" w14:textId="54BB2B44" w:rsidR="00050D82" w:rsidRPr="0088010D" w:rsidRDefault="003D014D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870" w:type="dxa"/>
            <w:vAlign w:val="center"/>
          </w:tcPr>
          <w:p w14:paraId="15E5E023" w14:textId="29A5E1A4" w:rsidR="00050D82" w:rsidRPr="0088010D" w:rsidRDefault="007E63A7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7.39</w:t>
            </w:r>
          </w:p>
        </w:tc>
        <w:tc>
          <w:tcPr>
            <w:tcW w:w="1870" w:type="dxa"/>
            <w:vAlign w:val="center"/>
          </w:tcPr>
          <w:p w14:paraId="2ED4612D" w14:textId="1876F49A" w:rsidR="00050D82" w:rsidRPr="0088010D" w:rsidRDefault="00B54CF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3.35</w:t>
            </w:r>
          </w:p>
        </w:tc>
      </w:tr>
      <w:tr w:rsidR="00050D82" w14:paraId="4C7CE2CA" w14:textId="77777777" w:rsidTr="00394D19">
        <w:trPr>
          <w:trHeight w:val="82"/>
        </w:trPr>
        <w:tc>
          <w:tcPr>
            <w:tcW w:w="1868" w:type="dxa"/>
            <w:vMerge/>
            <w:tcBorders>
              <w:bottom w:val="single" w:sz="12" w:space="0" w:color="auto"/>
            </w:tcBorders>
            <w:vAlign w:val="center"/>
          </w:tcPr>
          <w:p w14:paraId="49C8FC7B" w14:textId="77777777" w:rsidR="00050D82" w:rsidRPr="00DE527F" w:rsidRDefault="00050D82" w:rsidP="00EC39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  <w:tcBorders>
              <w:bottom w:val="single" w:sz="12" w:space="0" w:color="auto"/>
            </w:tcBorders>
            <w:vAlign w:val="center"/>
          </w:tcPr>
          <w:p w14:paraId="3E8AC71C" w14:textId="15B816D5" w:rsidR="00050D82" w:rsidRPr="0088010D" w:rsidRDefault="002F1EA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0.75</w:t>
            </w:r>
          </w:p>
        </w:tc>
        <w:tc>
          <w:tcPr>
            <w:tcW w:w="1868" w:type="dxa"/>
            <w:tcBorders>
              <w:bottom w:val="single" w:sz="12" w:space="0" w:color="auto"/>
            </w:tcBorders>
            <w:vAlign w:val="center"/>
          </w:tcPr>
          <w:p w14:paraId="6D056180" w14:textId="24A3CD88" w:rsidR="00050D82" w:rsidRPr="0088010D" w:rsidRDefault="003D014D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1.01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vAlign w:val="center"/>
          </w:tcPr>
          <w:p w14:paraId="027A4DA9" w14:textId="53D2A38B" w:rsidR="00050D82" w:rsidRPr="0088010D" w:rsidRDefault="007E63A7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6.81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vAlign w:val="center"/>
          </w:tcPr>
          <w:p w14:paraId="2901FE13" w14:textId="37AA45CC" w:rsidR="00050D82" w:rsidRPr="0088010D" w:rsidRDefault="00B54CF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3.38</w:t>
            </w:r>
          </w:p>
        </w:tc>
      </w:tr>
      <w:tr w:rsidR="00050D82" w14:paraId="3C1A8EA1" w14:textId="77777777" w:rsidTr="00394D19">
        <w:trPr>
          <w:trHeight w:val="85"/>
        </w:trPr>
        <w:tc>
          <w:tcPr>
            <w:tcW w:w="1868" w:type="dxa"/>
            <w:vMerge w:val="restart"/>
            <w:tcBorders>
              <w:top w:val="single" w:sz="12" w:space="0" w:color="auto"/>
            </w:tcBorders>
            <w:vAlign w:val="center"/>
          </w:tcPr>
          <w:p w14:paraId="328DDED0" w14:textId="09758EF8" w:rsidR="00050D82" w:rsidRPr="00DE527F" w:rsidRDefault="00050D82" w:rsidP="00EC39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52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1:8</w:t>
            </w:r>
          </w:p>
        </w:tc>
        <w:tc>
          <w:tcPr>
            <w:tcW w:w="1868" w:type="dxa"/>
            <w:tcBorders>
              <w:top w:val="single" w:sz="12" w:space="0" w:color="auto"/>
            </w:tcBorders>
            <w:vAlign w:val="center"/>
          </w:tcPr>
          <w:p w14:paraId="07A9B213" w14:textId="23D7383C" w:rsidR="00050D82" w:rsidRPr="0088010D" w:rsidRDefault="000A52F1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0.33</w:t>
            </w:r>
          </w:p>
        </w:tc>
        <w:tc>
          <w:tcPr>
            <w:tcW w:w="1868" w:type="dxa"/>
            <w:tcBorders>
              <w:top w:val="single" w:sz="12" w:space="0" w:color="auto"/>
            </w:tcBorders>
            <w:vAlign w:val="center"/>
          </w:tcPr>
          <w:p w14:paraId="14213495" w14:textId="30FC34AA" w:rsidR="00050D82" w:rsidRPr="0088010D" w:rsidRDefault="003D014D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0.32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vAlign w:val="center"/>
          </w:tcPr>
          <w:p w14:paraId="58EAFC03" w14:textId="2116F458" w:rsidR="00050D82" w:rsidRPr="0088010D" w:rsidRDefault="00694E57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OLE_LINK102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3.12</w:t>
            </w:r>
            <w:bookmarkEnd w:id="0"/>
          </w:p>
        </w:tc>
        <w:tc>
          <w:tcPr>
            <w:tcW w:w="1870" w:type="dxa"/>
            <w:tcBorders>
              <w:top w:val="single" w:sz="12" w:space="0" w:color="auto"/>
            </w:tcBorders>
            <w:vAlign w:val="center"/>
          </w:tcPr>
          <w:p w14:paraId="49D2EEA8" w14:textId="0CB3118F" w:rsidR="00050D82" w:rsidRPr="0088010D" w:rsidRDefault="007E630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1.87</w:t>
            </w:r>
          </w:p>
        </w:tc>
      </w:tr>
      <w:tr w:rsidR="00050D82" w14:paraId="05B153AE" w14:textId="77777777" w:rsidTr="00EC395B">
        <w:trPr>
          <w:trHeight w:val="82"/>
        </w:trPr>
        <w:tc>
          <w:tcPr>
            <w:tcW w:w="1868" w:type="dxa"/>
            <w:vMerge/>
            <w:vAlign w:val="center"/>
          </w:tcPr>
          <w:p w14:paraId="31AA117F" w14:textId="77777777" w:rsidR="00050D82" w:rsidRDefault="00050D82" w:rsidP="00EC39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68" w:type="dxa"/>
            <w:vAlign w:val="center"/>
          </w:tcPr>
          <w:p w14:paraId="646E08AE" w14:textId="4DB10DD2" w:rsidR="00050D82" w:rsidRPr="0088010D" w:rsidRDefault="000A52F1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0.63</w:t>
            </w:r>
          </w:p>
        </w:tc>
        <w:tc>
          <w:tcPr>
            <w:tcW w:w="1868" w:type="dxa"/>
            <w:vAlign w:val="center"/>
          </w:tcPr>
          <w:p w14:paraId="6C4FE95A" w14:textId="3EC757F7" w:rsidR="00050D82" w:rsidRPr="0088010D" w:rsidRDefault="003D014D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1.05</w:t>
            </w:r>
          </w:p>
        </w:tc>
        <w:tc>
          <w:tcPr>
            <w:tcW w:w="1870" w:type="dxa"/>
            <w:vAlign w:val="center"/>
          </w:tcPr>
          <w:p w14:paraId="50B82259" w14:textId="151FB9E7" w:rsidR="00050D82" w:rsidRPr="0088010D" w:rsidRDefault="002605C2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</w:t>
            </w:r>
          </w:p>
        </w:tc>
        <w:tc>
          <w:tcPr>
            <w:tcW w:w="1870" w:type="dxa"/>
            <w:vAlign w:val="center"/>
          </w:tcPr>
          <w:p w14:paraId="430A8587" w14:textId="393D0A96" w:rsidR="00050D82" w:rsidRPr="0088010D" w:rsidRDefault="007E630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2.4</w:t>
            </w:r>
          </w:p>
        </w:tc>
      </w:tr>
      <w:tr w:rsidR="00050D82" w14:paraId="154395EF" w14:textId="77777777" w:rsidTr="00EC395B">
        <w:trPr>
          <w:trHeight w:val="82"/>
        </w:trPr>
        <w:tc>
          <w:tcPr>
            <w:tcW w:w="1868" w:type="dxa"/>
            <w:vMerge/>
            <w:vAlign w:val="center"/>
          </w:tcPr>
          <w:p w14:paraId="7EE3E032" w14:textId="77777777" w:rsidR="00050D82" w:rsidRDefault="00050D82" w:rsidP="00EC39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68" w:type="dxa"/>
            <w:vAlign w:val="center"/>
          </w:tcPr>
          <w:p w14:paraId="071CE1E4" w14:textId="4C7CAFF7" w:rsidR="00050D82" w:rsidRPr="0088010D" w:rsidRDefault="000A52F1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0.20</w:t>
            </w:r>
          </w:p>
        </w:tc>
        <w:tc>
          <w:tcPr>
            <w:tcW w:w="1868" w:type="dxa"/>
            <w:vAlign w:val="center"/>
          </w:tcPr>
          <w:p w14:paraId="7A12A7E3" w14:textId="0B60980A" w:rsidR="00050D82" w:rsidRPr="0088010D" w:rsidRDefault="003D014D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0.66</w:t>
            </w:r>
          </w:p>
        </w:tc>
        <w:tc>
          <w:tcPr>
            <w:tcW w:w="1870" w:type="dxa"/>
            <w:vAlign w:val="center"/>
          </w:tcPr>
          <w:p w14:paraId="38BFBB48" w14:textId="7458F0BD" w:rsidR="00050D82" w:rsidRPr="0088010D" w:rsidRDefault="002605C2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3.63</w:t>
            </w:r>
          </w:p>
        </w:tc>
        <w:tc>
          <w:tcPr>
            <w:tcW w:w="1870" w:type="dxa"/>
            <w:vAlign w:val="center"/>
          </w:tcPr>
          <w:p w14:paraId="2E8090E6" w14:textId="287EA583" w:rsidR="00050D82" w:rsidRPr="0088010D" w:rsidRDefault="007E630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2.12</w:t>
            </w:r>
          </w:p>
        </w:tc>
      </w:tr>
      <w:tr w:rsidR="00050D82" w14:paraId="66E86D5E" w14:textId="77777777" w:rsidTr="00EC395B">
        <w:trPr>
          <w:trHeight w:val="82"/>
        </w:trPr>
        <w:tc>
          <w:tcPr>
            <w:tcW w:w="1868" w:type="dxa"/>
            <w:vMerge/>
            <w:vAlign w:val="center"/>
          </w:tcPr>
          <w:p w14:paraId="5CDBA526" w14:textId="77777777" w:rsidR="00050D82" w:rsidRDefault="00050D82" w:rsidP="00EC39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68" w:type="dxa"/>
            <w:vAlign w:val="center"/>
          </w:tcPr>
          <w:p w14:paraId="715B8CE7" w14:textId="7AEF49C9" w:rsidR="00050D82" w:rsidRPr="0088010D" w:rsidRDefault="000A52F1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0.37</w:t>
            </w:r>
          </w:p>
        </w:tc>
        <w:tc>
          <w:tcPr>
            <w:tcW w:w="1868" w:type="dxa"/>
            <w:vAlign w:val="center"/>
          </w:tcPr>
          <w:p w14:paraId="60395B8C" w14:textId="24D0D462" w:rsidR="00050D82" w:rsidRPr="0088010D" w:rsidRDefault="003D014D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0.59</w:t>
            </w:r>
          </w:p>
        </w:tc>
        <w:tc>
          <w:tcPr>
            <w:tcW w:w="1870" w:type="dxa"/>
            <w:vAlign w:val="center"/>
          </w:tcPr>
          <w:p w14:paraId="1379FDC7" w14:textId="21AA41BB" w:rsidR="00050D82" w:rsidRPr="0088010D" w:rsidRDefault="007E63A7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3.54</w:t>
            </w:r>
          </w:p>
        </w:tc>
        <w:tc>
          <w:tcPr>
            <w:tcW w:w="1870" w:type="dxa"/>
            <w:vAlign w:val="center"/>
          </w:tcPr>
          <w:p w14:paraId="4A096EB2" w14:textId="6057B472" w:rsidR="00050D82" w:rsidRPr="0088010D" w:rsidRDefault="00B54CF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="007E6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050D82" w14:paraId="7DA1B1D8" w14:textId="77777777" w:rsidTr="00EC395B">
        <w:trPr>
          <w:trHeight w:val="82"/>
        </w:trPr>
        <w:tc>
          <w:tcPr>
            <w:tcW w:w="1868" w:type="dxa"/>
            <w:vMerge/>
            <w:vAlign w:val="center"/>
          </w:tcPr>
          <w:p w14:paraId="7DB88CA8" w14:textId="77777777" w:rsidR="00050D82" w:rsidRDefault="00050D82" w:rsidP="00EC39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68" w:type="dxa"/>
            <w:vAlign w:val="center"/>
          </w:tcPr>
          <w:p w14:paraId="2BF8FD3F" w14:textId="0A10EE28" w:rsidR="00050D82" w:rsidRPr="0088010D" w:rsidRDefault="000A52F1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</w:t>
            </w:r>
          </w:p>
        </w:tc>
        <w:tc>
          <w:tcPr>
            <w:tcW w:w="1868" w:type="dxa"/>
            <w:vAlign w:val="center"/>
          </w:tcPr>
          <w:p w14:paraId="0A18293D" w14:textId="6A16E509" w:rsidR="00050D82" w:rsidRPr="0088010D" w:rsidRDefault="003D014D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0.45</w:t>
            </w:r>
          </w:p>
        </w:tc>
        <w:tc>
          <w:tcPr>
            <w:tcW w:w="1870" w:type="dxa"/>
            <w:vAlign w:val="center"/>
          </w:tcPr>
          <w:p w14:paraId="5BF2CA59" w14:textId="66B0B626" w:rsidR="00050D82" w:rsidRPr="0088010D" w:rsidRDefault="002605C2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0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3.12</w:t>
            </w:r>
          </w:p>
        </w:tc>
        <w:tc>
          <w:tcPr>
            <w:tcW w:w="1870" w:type="dxa"/>
            <w:vAlign w:val="center"/>
          </w:tcPr>
          <w:p w14:paraId="0C499339" w14:textId="34D78331" w:rsidR="00050D82" w:rsidRPr="0088010D" w:rsidRDefault="007E630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1.97</w:t>
            </w:r>
          </w:p>
        </w:tc>
      </w:tr>
      <w:tr w:rsidR="00050D82" w14:paraId="53910B4F" w14:textId="77777777" w:rsidTr="00EC395B">
        <w:trPr>
          <w:trHeight w:val="82"/>
        </w:trPr>
        <w:tc>
          <w:tcPr>
            <w:tcW w:w="1868" w:type="dxa"/>
            <w:vMerge/>
            <w:vAlign w:val="center"/>
          </w:tcPr>
          <w:p w14:paraId="3F3097E4" w14:textId="77777777" w:rsidR="00050D82" w:rsidRDefault="00050D82" w:rsidP="00EC39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68" w:type="dxa"/>
            <w:vAlign w:val="center"/>
          </w:tcPr>
          <w:p w14:paraId="463FD960" w14:textId="01358AF4" w:rsidR="00050D82" w:rsidRPr="0088010D" w:rsidRDefault="000A52F1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0.11</w:t>
            </w:r>
          </w:p>
        </w:tc>
        <w:tc>
          <w:tcPr>
            <w:tcW w:w="1868" w:type="dxa"/>
            <w:vAlign w:val="center"/>
          </w:tcPr>
          <w:p w14:paraId="1A82FFA9" w14:textId="38642546" w:rsidR="00050D82" w:rsidRPr="0088010D" w:rsidRDefault="003D014D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0.53</w:t>
            </w:r>
          </w:p>
        </w:tc>
        <w:tc>
          <w:tcPr>
            <w:tcW w:w="1870" w:type="dxa"/>
            <w:vAlign w:val="center"/>
          </w:tcPr>
          <w:p w14:paraId="2E96AA52" w14:textId="3FEA3459" w:rsidR="00050D82" w:rsidRPr="0088010D" w:rsidRDefault="007E63A7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3.58</w:t>
            </w:r>
          </w:p>
        </w:tc>
        <w:tc>
          <w:tcPr>
            <w:tcW w:w="1870" w:type="dxa"/>
            <w:vAlign w:val="center"/>
          </w:tcPr>
          <w:p w14:paraId="6510E0E8" w14:textId="2B259E1B" w:rsidR="00050D82" w:rsidRPr="0088010D" w:rsidRDefault="007E630C" w:rsidP="00EC3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2.17</w:t>
            </w:r>
          </w:p>
        </w:tc>
      </w:tr>
    </w:tbl>
    <w:p w14:paraId="1A62EF34" w14:textId="77777777" w:rsidR="00972851" w:rsidRDefault="00972851" w:rsidP="00A0032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71B5FDB0" w14:textId="265B2FC5" w:rsidR="00761D1E" w:rsidRPr="00567417" w:rsidRDefault="003F52C5" w:rsidP="00A0032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2</w:t>
      </w:r>
      <w:r w:rsidR="00B7150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</w:t>
      </w:r>
      <w:r w:rsidR="00816496" w:rsidRPr="0056741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GFAP </w:t>
      </w:r>
      <w:r w:rsidR="00CA7C7B" w:rsidRPr="00567417">
        <w:rPr>
          <w:rFonts w:asciiTheme="majorBidi" w:hAnsiTheme="majorBidi" w:cstheme="majorBidi"/>
          <w:b/>
          <w:bCs/>
          <w:sz w:val="24"/>
          <w:szCs w:val="24"/>
          <w:lang w:val="en-US"/>
        </w:rPr>
        <w:t>correlations</w:t>
      </w:r>
      <w:r w:rsidR="00816496" w:rsidRPr="0056741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CA7C7B" w:rsidRPr="00567417">
        <w:rPr>
          <w:rFonts w:asciiTheme="majorBidi" w:hAnsiTheme="majorBidi" w:cstheme="majorBidi"/>
          <w:b/>
          <w:bCs/>
          <w:sz w:val="24"/>
          <w:szCs w:val="24"/>
          <w:lang w:val="en-US"/>
        </w:rPr>
        <w:t>with</w:t>
      </w:r>
      <w:r w:rsidR="0020487C" w:rsidRPr="0056741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age</w:t>
      </w:r>
    </w:p>
    <w:p w14:paraId="1FBF0577" w14:textId="5F6566C0" w:rsidR="00BE477F" w:rsidRPr="00567417" w:rsidRDefault="00CA7C7B" w:rsidP="00A0032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67417">
        <w:rPr>
          <w:rFonts w:asciiTheme="majorBidi" w:hAnsiTheme="majorBidi" w:cstheme="majorBidi"/>
          <w:sz w:val="24"/>
          <w:szCs w:val="24"/>
          <w:lang w:val="en-US"/>
        </w:rPr>
        <w:t>The correlation between GFAP concentrations and age was assessed in both the control and whole cohort. Obtained results revealed a positive correlation in the control and the entire cohort with all three assays (Fig. S1 A-F). However, a stronger correlation was observed in entire cohort (2</w:t>
      </w:r>
      <w:r w:rsidRPr="00567417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nd</w:t>
      </w:r>
      <w:r w:rsidRPr="00567417">
        <w:rPr>
          <w:rFonts w:asciiTheme="majorBidi" w:hAnsiTheme="majorBidi" w:cstheme="majorBidi"/>
          <w:sz w:val="24"/>
          <w:szCs w:val="24"/>
          <w:lang w:val="en-US"/>
        </w:rPr>
        <w:t xml:space="preserve"> gen Ella : (spearman </w:t>
      </w:r>
      <w:r w:rsidRPr="00567417">
        <w:rPr>
          <w:rFonts w:asciiTheme="majorBidi" w:hAnsiTheme="majorBidi" w:cstheme="majorBidi"/>
          <w:i/>
          <w:iCs/>
          <w:sz w:val="24"/>
          <w:szCs w:val="24"/>
          <w:lang w:val="en-US"/>
        </w:rPr>
        <w:t>r</w:t>
      </w:r>
      <w:r w:rsidRPr="00567417">
        <w:rPr>
          <w:rFonts w:asciiTheme="majorBidi" w:hAnsiTheme="majorBidi" w:cstheme="majorBidi"/>
          <w:sz w:val="24"/>
          <w:szCs w:val="24"/>
          <w:lang w:val="en-US"/>
        </w:rPr>
        <w:t xml:space="preserve"> = 0.68 (95% CI: 0.59 – 0.74), </w:t>
      </w:r>
      <w:r w:rsidR="00567417" w:rsidRPr="00567417">
        <w:rPr>
          <w:rFonts w:asciiTheme="majorBidi" w:hAnsiTheme="majorBidi" w:cstheme="majorBidi"/>
          <w:i/>
          <w:iCs/>
          <w:sz w:val="24"/>
          <w:szCs w:val="24"/>
          <w:lang w:val="en-US"/>
        </w:rPr>
        <w:t>P</w:t>
      </w:r>
      <w:r w:rsidRPr="00567417">
        <w:rPr>
          <w:rFonts w:asciiTheme="majorBidi" w:hAnsiTheme="majorBidi" w:cstheme="majorBidi"/>
          <w:sz w:val="24"/>
          <w:szCs w:val="24"/>
          <w:lang w:val="en-US"/>
        </w:rPr>
        <w:t xml:space="preserve"> &lt;</w:t>
      </w:r>
      <w:r w:rsidR="005674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67417">
        <w:rPr>
          <w:rFonts w:asciiTheme="majorBidi" w:hAnsiTheme="majorBidi" w:cstheme="majorBidi"/>
          <w:sz w:val="24"/>
          <w:szCs w:val="24"/>
          <w:lang w:val="en-US"/>
        </w:rPr>
        <w:t xml:space="preserve">0.0001), Simoa: </w:t>
      </w:r>
      <w:r w:rsidRPr="00567417">
        <w:rPr>
          <w:rFonts w:asciiTheme="majorBidi" w:hAnsiTheme="majorBidi" w:cstheme="majorBidi"/>
          <w:i/>
          <w:iCs/>
          <w:sz w:val="24"/>
          <w:szCs w:val="24"/>
          <w:lang w:val="en-US"/>
        </w:rPr>
        <w:t>r</w:t>
      </w:r>
      <w:r w:rsidRPr="00567417">
        <w:rPr>
          <w:rFonts w:asciiTheme="majorBidi" w:hAnsiTheme="majorBidi" w:cstheme="majorBidi"/>
          <w:sz w:val="24"/>
          <w:szCs w:val="24"/>
          <w:lang w:val="en-US"/>
        </w:rPr>
        <w:t xml:space="preserve"> = 0.70 (95% CI: 0.61 – 0.76), </w:t>
      </w:r>
      <w:r w:rsidR="00567417" w:rsidRPr="00567417">
        <w:rPr>
          <w:rFonts w:asciiTheme="majorBidi" w:hAnsiTheme="majorBidi" w:cstheme="majorBidi"/>
          <w:i/>
          <w:iCs/>
          <w:sz w:val="24"/>
          <w:szCs w:val="24"/>
          <w:lang w:val="en-US"/>
        </w:rPr>
        <w:t>P</w:t>
      </w:r>
      <w:r w:rsidRPr="00567417">
        <w:rPr>
          <w:rFonts w:asciiTheme="majorBidi" w:hAnsiTheme="majorBidi" w:cstheme="majorBidi"/>
          <w:sz w:val="24"/>
          <w:szCs w:val="24"/>
          <w:lang w:val="en-US"/>
        </w:rPr>
        <w:t xml:space="preserve"> &lt;</w:t>
      </w:r>
      <w:r w:rsidR="005674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67417">
        <w:rPr>
          <w:rFonts w:asciiTheme="majorBidi" w:hAnsiTheme="majorBidi" w:cstheme="majorBidi"/>
          <w:sz w:val="24"/>
          <w:szCs w:val="24"/>
          <w:lang w:val="en-US"/>
        </w:rPr>
        <w:t>0.0001) compared to the control cohort (2</w:t>
      </w:r>
      <w:r w:rsidRPr="00567417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nd</w:t>
      </w:r>
      <w:r w:rsidRPr="00567417">
        <w:rPr>
          <w:rFonts w:asciiTheme="majorBidi" w:hAnsiTheme="majorBidi" w:cstheme="majorBidi"/>
          <w:sz w:val="24"/>
          <w:szCs w:val="24"/>
          <w:lang w:val="en-US"/>
        </w:rPr>
        <w:t xml:space="preserve"> gen Ella : </w:t>
      </w:r>
      <w:r w:rsidRPr="00567417">
        <w:rPr>
          <w:rFonts w:asciiTheme="majorBidi" w:hAnsiTheme="majorBidi" w:cstheme="majorBidi"/>
          <w:i/>
          <w:iCs/>
          <w:sz w:val="24"/>
          <w:szCs w:val="24"/>
          <w:lang w:val="en-US"/>
        </w:rPr>
        <w:t>r</w:t>
      </w:r>
      <w:r w:rsidRPr="00567417">
        <w:rPr>
          <w:rFonts w:asciiTheme="majorBidi" w:hAnsiTheme="majorBidi" w:cstheme="majorBidi"/>
          <w:sz w:val="24"/>
          <w:szCs w:val="24"/>
          <w:lang w:val="en-US"/>
        </w:rPr>
        <w:t xml:space="preserve"> = 0.60 (95% CI: 0.44 – 0.71), </w:t>
      </w:r>
      <w:r w:rsidR="00567417" w:rsidRPr="00567417">
        <w:rPr>
          <w:rFonts w:asciiTheme="majorBidi" w:hAnsiTheme="majorBidi" w:cstheme="majorBidi"/>
          <w:i/>
          <w:iCs/>
          <w:sz w:val="24"/>
          <w:szCs w:val="24"/>
          <w:lang w:val="en-US"/>
        </w:rPr>
        <w:t>P</w:t>
      </w:r>
      <w:r w:rsidRPr="00567417">
        <w:rPr>
          <w:rFonts w:asciiTheme="majorBidi" w:hAnsiTheme="majorBidi" w:cstheme="majorBidi"/>
          <w:sz w:val="24"/>
          <w:szCs w:val="24"/>
          <w:lang w:val="en-US"/>
        </w:rPr>
        <w:t xml:space="preserve"> &lt;</w:t>
      </w:r>
      <w:r w:rsidR="005674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67417">
        <w:rPr>
          <w:rFonts w:asciiTheme="majorBidi" w:hAnsiTheme="majorBidi" w:cstheme="majorBidi"/>
          <w:sz w:val="24"/>
          <w:szCs w:val="24"/>
          <w:lang w:val="en-US"/>
        </w:rPr>
        <w:t xml:space="preserve">0.0001, Simoa: </w:t>
      </w:r>
      <w:r w:rsidRPr="00567417">
        <w:rPr>
          <w:rFonts w:asciiTheme="majorBidi" w:hAnsiTheme="majorBidi" w:cstheme="majorBidi"/>
          <w:i/>
          <w:iCs/>
          <w:sz w:val="24"/>
          <w:szCs w:val="24"/>
          <w:lang w:val="en-US"/>
        </w:rPr>
        <w:t>r</w:t>
      </w:r>
      <w:r w:rsidRPr="00567417">
        <w:rPr>
          <w:rFonts w:asciiTheme="majorBidi" w:hAnsiTheme="majorBidi" w:cstheme="majorBidi"/>
          <w:sz w:val="24"/>
          <w:szCs w:val="24"/>
          <w:lang w:val="en-US"/>
        </w:rPr>
        <w:t xml:space="preserve"> = 0.65 (95% CI: 0.50 – 0.75), </w:t>
      </w:r>
      <w:r w:rsidR="00567417" w:rsidRPr="00567417">
        <w:rPr>
          <w:rFonts w:asciiTheme="majorBidi" w:hAnsiTheme="majorBidi" w:cstheme="majorBidi"/>
          <w:i/>
          <w:iCs/>
          <w:sz w:val="24"/>
          <w:szCs w:val="24"/>
          <w:lang w:val="en-US"/>
        </w:rPr>
        <w:t>P</w:t>
      </w:r>
      <w:r w:rsidRPr="00567417">
        <w:rPr>
          <w:rFonts w:asciiTheme="majorBidi" w:hAnsiTheme="majorBidi" w:cstheme="majorBidi"/>
          <w:sz w:val="24"/>
          <w:szCs w:val="24"/>
          <w:lang w:val="en-US"/>
        </w:rPr>
        <w:t xml:space="preserve"> &lt;</w:t>
      </w:r>
      <w:r w:rsidR="005674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67417">
        <w:rPr>
          <w:rFonts w:asciiTheme="majorBidi" w:hAnsiTheme="majorBidi" w:cstheme="majorBidi"/>
          <w:sz w:val="24"/>
          <w:szCs w:val="24"/>
          <w:lang w:val="en-US"/>
        </w:rPr>
        <w:t>0.0001). Although this was less clear for the homemade Ella assay in the total cohort (</w:t>
      </w:r>
      <w:r w:rsidRPr="00567417">
        <w:rPr>
          <w:rFonts w:asciiTheme="majorBidi" w:hAnsiTheme="majorBidi" w:cstheme="majorBidi"/>
          <w:i/>
          <w:iCs/>
          <w:sz w:val="24"/>
          <w:szCs w:val="24"/>
          <w:lang w:val="en-US"/>
        </w:rPr>
        <w:t>r</w:t>
      </w:r>
      <w:r w:rsidRPr="00567417">
        <w:rPr>
          <w:rFonts w:asciiTheme="majorBidi" w:hAnsiTheme="majorBidi" w:cstheme="majorBidi"/>
          <w:sz w:val="24"/>
          <w:szCs w:val="24"/>
          <w:lang w:val="en-US"/>
        </w:rPr>
        <w:t xml:space="preserve"> = 0.56 (95% CI: 0.45 – </w:t>
      </w:r>
      <w:r w:rsidRPr="00567417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0.65), </w:t>
      </w:r>
      <w:r w:rsidR="00567417" w:rsidRPr="00567417">
        <w:rPr>
          <w:rFonts w:asciiTheme="majorBidi" w:hAnsiTheme="majorBidi" w:cstheme="majorBidi"/>
          <w:i/>
          <w:iCs/>
          <w:sz w:val="24"/>
          <w:szCs w:val="24"/>
          <w:lang w:val="en-US"/>
        </w:rPr>
        <w:t>P</w:t>
      </w:r>
      <w:r w:rsidRPr="00567417">
        <w:rPr>
          <w:rFonts w:asciiTheme="majorBidi" w:hAnsiTheme="majorBidi" w:cstheme="majorBidi"/>
          <w:sz w:val="24"/>
          <w:szCs w:val="24"/>
          <w:lang w:val="en-US"/>
        </w:rPr>
        <w:t xml:space="preserve"> &lt;</w:t>
      </w:r>
      <w:r w:rsidR="005674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67417">
        <w:rPr>
          <w:rFonts w:asciiTheme="majorBidi" w:hAnsiTheme="majorBidi" w:cstheme="majorBidi"/>
          <w:sz w:val="24"/>
          <w:szCs w:val="24"/>
          <w:lang w:val="en-US"/>
        </w:rPr>
        <w:t>0.0001) (Fig. S1 E) and in the control cohort (</w:t>
      </w:r>
      <w:r w:rsidRPr="00567417">
        <w:rPr>
          <w:rFonts w:asciiTheme="majorBidi" w:hAnsiTheme="majorBidi" w:cstheme="majorBidi"/>
          <w:i/>
          <w:iCs/>
          <w:sz w:val="24"/>
          <w:szCs w:val="24"/>
          <w:lang w:val="en-US"/>
        </w:rPr>
        <w:t>r</w:t>
      </w:r>
      <w:r w:rsidRPr="00567417">
        <w:rPr>
          <w:rFonts w:asciiTheme="majorBidi" w:hAnsiTheme="majorBidi" w:cstheme="majorBidi"/>
          <w:sz w:val="24"/>
          <w:szCs w:val="24"/>
          <w:lang w:val="en-US"/>
        </w:rPr>
        <w:t xml:space="preserve"> = 0.35 (95% CI: 0.14 – 0.52), </w:t>
      </w:r>
      <w:r w:rsidR="00567417" w:rsidRPr="00567417">
        <w:rPr>
          <w:rFonts w:asciiTheme="majorBidi" w:hAnsiTheme="majorBidi" w:cstheme="majorBidi"/>
          <w:i/>
          <w:iCs/>
          <w:sz w:val="24"/>
          <w:szCs w:val="24"/>
          <w:lang w:val="en-US"/>
        </w:rPr>
        <w:t>P</w:t>
      </w:r>
      <w:r w:rsidRPr="00567417">
        <w:rPr>
          <w:rFonts w:asciiTheme="majorBidi" w:hAnsiTheme="majorBidi" w:cstheme="majorBidi"/>
          <w:sz w:val="24"/>
          <w:szCs w:val="24"/>
          <w:lang w:val="en-US"/>
        </w:rPr>
        <w:t xml:space="preserve"> =</w:t>
      </w:r>
      <w:r w:rsidR="005674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67417">
        <w:rPr>
          <w:rFonts w:asciiTheme="majorBidi" w:hAnsiTheme="majorBidi" w:cstheme="majorBidi"/>
          <w:sz w:val="24"/>
          <w:szCs w:val="24"/>
          <w:lang w:val="en-US"/>
        </w:rPr>
        <w:t>0.0009) (Fig. S1 F), in comparison with the other two assays.</w:t>
      </w:r>
    </w:p>
    <w:p w14:paraId="4243D307" w14:textId="6FF52315" w:rsidR="003801E1" w:rsidRDefault="00A25C9E" w:rsidP="00A00328">
      <w:pPr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i/>
          <w:iCs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52EFDE05" wp14:editId="2A4FD783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4728845" cy="5619115"/>
            <wp:effectExtent l="0" t="0" r="0" b="635"/>
            <wp:wrapTopAndBottom/>
            <wp:docPr id="344110960" name="Picture 1" descr="A group of green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10960" name="Picture 1" descr="A group of green dot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8845" cy="561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E7CAC" w14:textId="4F223FC4" w:rsidR="00EE4EFE" w:rsidRDefault="00EE4EFE" w:rsidP="00A00328">
      <w:pPr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</w:pPr>
    </w:p>
    <w:p w14:paraId="38103308" w14:textId="53E02A9A" w:rsidR="00761D1E" w:rsidRPr="00C66A36" w:rsidRDefault="000840EE" w:rsidP="00A00328">
      <w:pPr>
        <w:spacing w:before="240"/>
        <w:jc w:val="both"/>
        <w:rPr>
          <w:rFonts w:asciiTheme="majorBidi" w:hAnsiTheme="majorBidi" w:cstheme="majorBidi"/>
          <w:b/>
          <w:bCs/>
          <w:lang w:val="en-US"/>
        </w:rPr>
      </w:pPr>
      <w:r w:rsidRPr="00C66A36">
        <w:rPr>
          <w:rFonts w:asciiTheme="majorBidi" w:hAnsiTheme="majorBidi" w:cstheme="majorBidi"/>
          <w:b/>
          <w:bCs/>
          <w:lang w:val="en-US"/>
        </w:rPr>
        <w:t xml:space="preserve">Figure </w:t>
      </w:r>
      <w:r w:rsidR="00A05B58" w:rsidRPr="00C66A36">
        <w:rPr>
          <w:rFonts w:asciiTheme="majorBidi" w:hAnsiTheme="majorBidi" w:cstheme="majorBidi"/>
          <w:b/>
          <w:bCs/>
          <w:lang w:val="en-US"/>
        </w:rPr>
        <w:t>S</w:t>
      </w:r>
      <w:r w:rsidRPr="00C66A36">
        <w:rPr>
          <w:rFonts w:asciiTheme="majorBidi" w:hAnsiTheme="majorBidi" w:cstheme="majorBidi"/>
          <w:b/>
          <w:bCs/>
          <w:lang w:val="en-US"/>
        </w:rPr>
        <w:t>1.</w:t>
      </w:r>
      <w:r w:rsidR="003801E1" w:rsidRPr="00C66A36">
        <w:rPr>
          <w:rFonts w:asciiTheme="majorBidi" w:hAnsiTheme="majorBidi" w:cstheme="majorBidi"/>
          <w:b/>
          <w:bCs/>
          <w:lang w:val="en-US"/>
        </w:rPr>
        <w:t xml:space="preserve"> Assessment of correlation between GFAP concentration and age.</w:t>
      </w:r>
    </w:p>
    <w:p w14:paraId="5AF5D2E0" w14:textId="787C3D0B" w:rsidR="00A25C9E" w:rsidRPr="004E2899" w:rsidRDefault="000239E6" w:rsidP="004E2899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C66A36">
        <w:rPr>
          <w:rFonts w:asciiTheme="majorBidi" w:hAnsiTheme="majorBidi" w:cstheme="majorBidi"/>
          <w:sz w:val="20"/>
          <w:szCs w:val="20"/>
          <w:lang w:val="en-US"/>
        </w:rPr>
        <w:t xml:space="preserve">Spearman </w:t>
      </w:r>
      <w:r w:rsidR="00EE4EFE" w:rsidRPr="00C66A36">
        <w:rPr>
          <w:rFonts w:asciiTheme="majorBidi" w:hAnsiTheme="majorBidi" w:cstheme="majorBidi"/>
          <w:sz w:val="20"/>
          <w:szCs w:val="20"/>
          <w:lang w:val="en-US"/>
        </w:rPr>
        <w:t>correlation</w:t>
      </w:r>
      <w:r w:rsidRPr="00C66A36">
        <w:rPr>
          <w:rFonts w:asciiTheme="majorBidi" w:hAnsiTheme="majorBidi" w:cstheme="majorBidi"/>
          <w:sz w:val="20"/>
          <w:szCs w:val="20"/>
          <w:lang w:val="en-US"/>
        </w:rPr>
        <w:t xml:space="preserve"> (</w:t>
      </w:r>
      <w:r w:rsidRPr="00C66A36">
        <w:rPr>
          <w:rFonts w:asciiTheme="majorBidi" w:hAnsiTheme="majorBidi" w:cstheme="majorBidi"/>
          <w:i/>
          <w:iCs/>
          <w:sz w:val="20"/>
          <w:szCs w:val="20"/>
          <w:lang w:val="en-US"/>
        </w:rPr>
        <w:t>rho</w:t>
      </w:r>
      <w:r w:rsidRPr="00C66A36">
        <w:rPr>
          <w:rFonts w:asciiTheme="majorBidi" w:hAnsiTheme="majorBidi" w:cstheme="majorBidi"/>
          <w:sz w:val="20"/>
          <w:szCs w:val="20"/>
          <w:lang w:val="en-US"/>
        </w:rPr>
        <w:t>)</w:t>
      </w:r>
      <w:r w:rsidR="00EE4EFE" w:rsidRPr="00C66A36">
        <w:rPr>
          <w:rFonts w:asciiTheme="majorBidi" w:hAnsiTheme="majorBidi" w:cstheme="majorBidi"/>
          <w:sz w:val="20"/>
          <w:szCs w:val="20"/>
          <w:lang w:val="en-US"/>
        </w:rPr>
        <w:t xml:space="preserve"> between age and </w:t>
      </w:r>
      <w:r w:rsidR="00D2065E" w:rsidRPr="00C66A36">
        <w:rPr>
          <w:rFonts w:asciiTheme="majorBidi" w:hAnsiTheme="majorBidi" w:cstheme="majorBidi"/>
          <w:sz w:val="20"/>
          <w:szCs w:val="20"/>
          <w:lang w:val="en-US"/>
        </w:rPr>
        <w:t xml:space="preserve">serum </w:t>
      </w:r>
      <w:r w:rsidR="00EE4EFE" w:rsidRPr="00C66A36">
        <w:rPr>
          <w:rFonts w:asciiTheme="majorBidi" w:hAnsiTheme="majorBidi" w:cstheme="majorBidi"/>
          <w:sz w:val="20"/>
          <w:szCs w:val="20"/>
          <w:lang w:val="en-US"/>
        </w:rPr>
        <w:t xml:space="preserve">GFAP measured </w:t>
      </w:r>
      <w:r w:rsidR="00EF43ED" w:rsidRPr="00C66A36">
        <w:rPr>
          <w:rFonts w:asciiTheme="majorBidi" w:hAnsiTheme="majorBidi" w:cstheme="majorBidi"/>
          <w:sz w:val="20"/>
          <w:szCs w:val="20"/>
          <w:lang w:val="en-US"/>
        </w:rPr>
        <w:t xml:space="preserve">using </w:t>
      </w:r>
      <w:r w:rsidR="006A7EE3" w:rsidRPr="00C66A36">
        <w:rPr>
          <w:rFonts w:asciiTheme="majorBidi" w:hAnsiTheme="majorBidi" w:cstheme="majorBidi"/>
          <w:sz w:val="20"/>
          <w:szCs w:val="20"/>
          <w:lang w:val="en-US"/>
        </w:rPr>
        <w:t>the</w:t>
      </w:r>
      <w:r w:rsidR="00EE4EFE" w:rsidRPr="00C66A36">
        <w:rPr>
          <w:rFonts w:asciiTheme="majorBidi" w:hAnsiTheme="majorBidi" w:cstheme="majorBidi"/>
          <w:sz w:val="20"/>
          <w:szCs w:val="20"/>
          <w:lang w:val="en-US"/>
        </w:rPr>
        <w:t xml:space="preserve"> 2</w:t>
      </w:r>
      <w:r w:rsidR="00EE4EFE" w:rsidRPr="00C66A36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nd</w:t>
      </w:r>
      <w:r w:rsidR="00EE4EFE" w:rsidRPr="00C66A36">
        <w:rPr>
          <w:rFonts w:asciiTheme="majorBidi" w:hAnsiTheme="majorBidi" w:cstheme="majorBidi"/>
          <w:sz w:val="20"/>
          <w:szCs w:val="20"/>
          <w:lang w:val="en-US"/>
        </w:rPr>
        <w:t xml:space="preserve"> gen Ella assay in the whole cohort </w:t>
      </w:r>
      <w:bookmarkStart w:id="1" w:name="_Hlk142065711"/>
      <w:r w:rsidR="00EE4EFE" w:rsidRPr="00C66A36">
        <w:rPr>
          <w:rFonts w:asciiTheme="majorBidi" w:hAnsiTheme="majorBidi" w:cstheme="majorBidi"/>
          <w:sz w:val="20"/>
          <w:szCs w:val="20"/>
          <w:lang w:val="en-US"/>
        </w:rPr>
        <w:t>(</w:t>
      </w:r>
      <w:r w:rsidR="00EE4EFE" w:rsidRPr="00C66A36">
        <w:rPr>
          <w:rFonts w:asciiTheme="majorBidi" w:hAnsiTheme="majorBidi" w:cstheme="majorBidi"/>
          <w:i/>
          <w:iCs/>
          <w:sz w:val="20"/>
          <w:szCs w:val="20"/>
          <w:lang w:val="en-US"/>
        </w:rPr>
        <w:t>n</w:t>
      </w:r>
      <w:r w:rsidR="00A56871" w:rsidRPr="00C66A3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EE4EFE" w:rsidRPr="00C66A36">
        <w:rPr>
          <w:rFonts w:asciiTheme="majorBidi" w:hAnsiTheme="majorBidi" w:cstheme="majorBidi"/>
          <w:sz w:val="20"/>
          <w:szCs w:val="20"/>
          <w:lang w:val="en-US"/>
        </w:rPr>
        <w:t>=</w:t>
      </w:r>
      <w:r w:rsidR="00A56871" w:rsidRPr="00C66A3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EE4EFE" w:rsidRPr="00C66A36">
        <w:rPr>
          <w:rFonts w:asciiTheme="majorBidi" w:hAnsiTheme="majorBidi" w:cstheme="majorBidi"/>
          <w:sz w:val="20"/>
          <w:szCs w:val="20"/>
          <w:lang w:val="en-US"/>
        </w:rPr>
        <w:t>210)</w:t>
      </w:r>
      <w:bookmarkEnd w:id="1"/>
      <w:r w:rsidR="00EE4EFE" w:rsidRPr="00C66A36">
        <w:rPr>
          <w:rFonts w:asciiTheme="majorBidi" w:hAnsiTheme="majorBidi" w:cstheme="majorBidi"/>
          <w:sz w:val="20"/>
          <w:szCs w:val="20"/>
          <w:lang w:val="en-US"/>
        </w:rPr>
        <w:t xml:space="preserve"> (</w:t>
      </w:r>
      <w:r w:rsidR="00EE4EFE" w:rsidRPr="00C66A36">
        <w:rPr>
          <w:rFonts w:asciiTheme="majorBidi" w:hAnsiTheme="majorBidi" w:cstheme="majorBidi"/>
          <w:b/>
          <w:bCs/>
          <w:sz w:val="20"/>
          <w:szCs w:val="20"/>
          <w:lang w:val="en-US"/>
        </w:rPr>
        <w:t>A</w:t>
      </w:r>
      <w:r w:rsidR="00EE4EFE" w:rsidRPr="00C66A36">
        <w:rPr>
          <w:rFonts w:asciiTheme="majorBidi" w:hAnsiTheme="majorBidi" w:cstheme="majorBidi"/>
          <w:sz w:val="20"/>
          <w:szCs w:val="20"/>
          <w:lang w:val="en-US"/>
        </w:rPr>
        <w:t>) and the control cohort (</w:t>
      </w:r>
      <w:r w:rsidR="00EE4EFE" w:rsidRPr="00C66A36">
        <w:rPr>
          <w:rFonts w:asciiTheme="majorBidi" w:hAnsiTheme="majorBidi" w:cstheme="majorBidi"/>
          <w:i/>
          <w:iCs/>
          <w:sz w:val="20"/>
          <w:szCs w:val="20"/>
          <w:lang w:val="en-US"/>
        </w:rPr>
        <w:t>n</w:t>
      </w:r>
      <w:r w:rsidR="00AC2943" w:rsidRPr="00C66A3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EE4EFE" w:rsidRPr="00C66A36">
        <w:rPr>
          <w:rFonts w:asciiTheme="majorBidi" w:hAnsiTheme="majorBidi" w:cstheme="majorBidi"/>
          <w:sz w:val="20"/>
          <w:szCs w:val="20"/>
          <w:lang w:val="en-US"/>
        </w:rPr>
        <w:t>=</w:t>
      </w:r>
      <w:r w:rsidR="00AC2943" w:rsidRPr="00C66A3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EE4EFE" w:rsidRPr="00C66A36">
        <w:rPr>
          <w:rFonts w:asciiTheme="majorBidi" w:hAnsiTheme="majorBidi" w:cstheme="majorBidi"/>
          <w:sz w:val="20"/>
          <w:szCs w:val="20"/>
          <w:lang w:val="en-US"/>
        </w:rPr>
        <w:t>95) (</w:t>
      </w:r>
      <w:r w:rsidR="00EE4EFE" w:rsidRPr="00C66A36">
        <w:rPr>
          <w:rFonts w:asciiTheme="majorBidi" w:hAnsiTheme="majorBidi" w:cstheme="majorBidi"/>
          <w:b/>
          <w:bCs/>
          <w:sz w:val="20"/>
          <w:szCs w:val="20"/>
          <w:lang w:val="en-US"/>
        </w:rPr>
        <w:t>B</w:t>
      </w:r>
      <w:r w:rsidR="00EE4EFE" w:rsidRPr="00C66A36">
        <w:rPr>
          <w:rFonts w:asciiTheme="majorBidi" w:hAnsiTheme="majorBidi" w:cstheme="majorBidi"/>
          <w:sz w:val="20"/>
          <w:szCs w:val="20"/>
          <w:lang w:val="en-US"/>
        </w:rPr>
        <w:t>)</w:t>
      </w:r>
      <w:r w:rsidR="00EF43ED" w:rsidRPr="00C66A36">
        <w:rPr>
          <w:rFonts w:asciiTheme="majorBidi" w:hAnsiTheme="majorBidi" w:cstheme="majorBidi"/>
          <w:sz w:val="20"/>
          <w:szCs w:val="20"/>
          <w:lang w:val="en-US"/>
        </w:rPr>
        <w:t xml:space="preserve">, </w:t>
      </w:r>
      <w:r w:rsidR="006A7EE3" w:rsidRPr="00C66A36">
        <w:rPr>
          <w:rFonts w:asciiTheme="majorBidi" w:hAnsiTheme="majorBidi" w:cstheme="majorBidi"/>
          <w:sz w:val="20"/>
          <w:szCs w:val="20"/>
          <w:lang w:val="en-US"/>
        </w:rPr>
        <w:t>the</w:t>
      </w:r>
      <w:r w:rsidR="00EF43ED" w:rsidRPr="00C66A3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5875A6" w:rsidRPr="00C66A36">
        <w:rPr>
          <w:rFonts w:asciiTheme="majorBidi" w:hAnsiTheme="majorBidi" w:cstheme="majorBidi"/>
          <w:sz w:val="20"/>
          <w:szCs w:val="20"/>
          <w:lang w:val="en-US"/>
        </w:rPr>
        <w:t>Simoa</w:t>
      </w:r>
      <w:r w:rsidR="00EF43ED" w:rsidRPr="00C66A36">
        <w:rPr>
          <w:rFonts w:asciiTheme="majorBidi" w:hAnsiTheme="majorBidi" w:cstheme="majorBidi"/>
          <w:sz w:val="20"/>
          <w:szCs w:val="20"/>
          <w:lang w:val="en-US"/>
        </w:rPr>
        <w:t xml:space="preserve"> assay</w:t>
      </w:r>
      <w:r w:rsidR="005875A6" w:rsidRPr="00C66A36">
        <w:rPr>
          <w:rFonts w:asciiTheme="majorBidi" w:hAnsiTheme="majorBidi" w:cstheme="majorBidi"/>
          <w:sz w:val="20"/>
          <w:szCs w:val="20"/>
          <w:lang w:val="en-US"/>
        </w:rPr>
        <w:t xml:space="preserve"> in the whole cohort (</w:t>
      </w:r>
      <w:r w:rsidR="005875A6" w:rsidRPr="00C66A36">
        <w:rPr>
          <w:rFonts w:asciiTheme="majorBidi" w:hAnsiTheme="majorBidi" w:cstheme="majorBidi"/>
          <w:i/>
          <w:iCs/>
          <w:sz w:val="20"/>
          <w:szCs w:val="20"/>
          <w:lang w:val="en-US"/>
        </w:rPr>
        <w:t>n</w:t>
      </w:r>
      <w:r w:rsidR="00A56871" w:rsidRPr="00C66A3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5875A6" w:rsidRPr="00C66A36">
        <w:rPr>
          <w:rFonts w:asciiTheme="majorBidi" w:hAnsiTheme="majorBidi" w:cstheme="majorBidi"/>
          <w:sz w:val="20"/>
          <w:szCs w:val="20"/>
          <w:lang w:val="en-US"/>
        </w:rPr>
        <w:t>=</w:t>
      </w:r>
      <w:r w:rsidR="00A56871" w:rsidRPr="00C66A3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5875A6" w:rsidRPr="00C66A36">
        <w:rPr>
          <w:rFonts w:asciiTheme="majorBidi" w:hAnsiTheme="majorBidi" w:cstheme="majorBidi"/>
          <w:sz w:val="20"/>
          <w:szCs w:val="20"/>
          <w:lang w:val="en-US"/>
        </w:rPr>
        <w:t>210) (</w:t>
      </w:r>
      <w:r w:rsidR="005875A6" w:rsidRPr="00C66A36">
        <w:rPr>
          <w:rFonts w:asciiTheme="majorBidi" w:hAnsiTheme="majorBidi" w:cstheme="majorBidi"/>
          <w:b/>
          <w:bCs/>
          <w:sz w:val="20"/>
          <w:szCs w:val="20"/>
          <w:lang w:val="en-US"/>
        </w:rPr>
        <w:t>C</w:t>
      </w:r>
      <w:r w:rsidR="005875A6" w:rsidRPr="00C66A36">
        <w:rPr>
          <w:rFonts w:asciiTheme="majorBidi" w:hAnsiTheme="majorBidi" w:cstheme="majorBidi"/>
          <w:sz w:val="20"/>
          <w:szCs w:val="20"/>
          <w:lang w:val="en-US"/>
        </w:rPr>
        <w:t>) and the control cohort (</w:t>
      </w:r>
      <w:r w:rsidR="005875A6" w:rsidRPr="00C66A36">
        <w:rPr>
          <w:rFonts w:asciiTheme="majorBidi" w:hAnsiTheme="majorBidi" w:cstheme="majorBidi"/>
          <w:i/>
          <w:iCs/>
          <w:sz w:val="20"/>
          <w:szCs w:val="20"/>
          <w:lang w:val="en-US"/>
        </w:rPr>
        <w:t>n</w:t>
      </w:r>
      <w:r w:rsidR="00A56871" w:rsidRPr="00C66A3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5875A6" w:rsidRPr="00C66A36">
        <w:rPr>
          <w:rFonts w:asciiTheme="majorBidi" w:hAnsiTheme="majorBidi" w:cstheme="majorBidi"/>
          <w:sz w:val="20"/>
          <w:szCs w:val="20"/>
          <w:lang w:val="en-US"/>
        </w:rPr>
        <w:t>=</w:t>
      </w:r>
      <w:r w:rsidR="00A56871" w:rsidRPr="00C66A3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5875A6" w:rsidRPr="00C66A36">
        <w:rPr>
          <w:rFonts w:asciiTheme="majorBidi" w:hAnsiTheme="majorBidi" w:cstheme="majorBidi"/>
          <w:sz w:val="20"/>
          <w:szCs w:val="20"/>
          <w:lang w:val="en-US"/>
        </w:rPr>
        <w:t>95) (</w:t>
      </w:r>
      <w:r w:rsidR="005875A6" w:rsidRPr="00C66A36">
        <w:rPr>
          <w:rFonts w:asciiTheme="majorBidi" w:hAnsiTheme="majorBidi" w:cstheme="majorBidi"/>
          <w:b/>
          <w:bCs/>
          <w:sz w:val="20"/>
          <w:szCs w:val="20"/>
          <w:lang w:val="en-US"/>
        </w:rPr>
        <w:t>D</w:t>
      </w:r>
      <w:r w:rsidR="005875A6" w:rsidRPr="00C66A36">
        <w:rPr>
          <w:rFonts w:asciiTheme="majorBidi" w:hAnsiTheme="majorBidi" w:cstheme="majorBidi"/>
          <w:sz w:val="20"/>
          <w:szCs w:val="20"/>
          <w:lang w:val="en-US"/>
        </w:rPr>
        <w:t>)</w:t>
      </w:r>
      <w:r w:rsidR="00EF43ED" w:rsidRPr="00C66A36">
        <w:rPr>
          <w:rFonts w:asciiTheme="majorBidi" w:hAnsiTheme="majorBidi" w:cstheme="majorBidi"/>
          <w:sz w:val="20"/>
          <w:szCs w:val="20"/>
          <w:lang w:val="en-US"/>
        </w:rPr>
        <w:t xml:space="preserve">, and </w:t>
      </w:r>
      <w:r w:rsidR="006A7EE3" w:rsidRPr="00C66A36">
        <w:rPr>
          <w:rFonts w:asciiTheme="majorBidi" w:hAnsiTheme="majorBidi" w:cstheme="majorBidi"/>
          <w:sz w:val="20"/>
          <w:szCs w:val="20"/>
          <w:lang w:val="en-US"/>
        </w:rPr>
        <w:t>the</w:t>
      </w:r>
      <w:r w:rsidR="00EF43ED" w:rsidRPr="00C66A36">
        <w:rPr>
          <w:rFonts w:asciiTheme="majorBidi" w:hAnsiTheme="majorBidi" w:cstheme="majorBidi"/>
          <w:sz w:val="20"/>
          <w:szCs w:val="20"/>
          <w:lang w:val="en-US"/>
        </w:rPr>
        <w:t xml:space="preserve"> homemade Ella assay in the entire cohort</w:t>
      </w:r>
      <w:r w:rsidR="003F2BD4" w:rsidRPr="00C66A36">
        <w:rPr>
          <w:rFonts w:asciiTheme="majorBidi" w:hAnsiTheme="majorBidi" w:cstheme="majorBidi"/>
          <w:sz w:val="20"/>
          <w:szCs w:val="20"/>
          <w:lang w:val="en-US"/>
        </w:rPr>
        <w:t xml:space="preserve"> (</w:t>
      </w:r>
      <w:r w:rsidR="003F2BD4" w:rsidRPr="00C66A36">
        <w:rPr>
          <w:rFonts w:asciiTheme="majorBidi" w:hAnsiTheme="majorBidi" w:cstheme="majorBidi"/>
          <w:i/>
          <w:iCs/>
          <w:sz w:val="20"/>
          <w:szCs w:val="20"/>
          <w:lang w:val="en-US"/>
        </w:rPr>
        <w:t>n</w:t>
      </w:r>
      <w:r w:rsidR="00A56871" w:rsidRPr="00C66A3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3F2BD4" w:rsidRPr="00C66A36">
        <w:rPr>
          <w:rFonts w:asciiTheme="majorBidi" w:hAnsiTheme="majorBidi" w:cstheme="majorBidi"/>
          <w:sz w:val="20"/>
          <w:szCs w:val="20"/>
          <w:lang w:val="en-US"/>
        </w:rPr>
        <w:t>=</w:t>
      </w:r>
      <w:r w:rsidR="00A56871" w:rsidRPr="00C66A3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E41C69" w:rsidRPr="00C66A36">
        <w:rPr>
          <w:rFonts w:asciiTheme="majorBidi" w:hAnsiTheme="majorBidi" w:cstheme="majorBidi"/>
          <w:sz w:val="20"/>
          <w:szCs w:val="20"/>
          <w:lang w:val="en-US"/>
        </w:rPr>
        <w:t>198</w:t>
      </w:r>
      <w:r w:rsidR="003F2BD4" w:rsidRPr="00C66A36">
        <w:rPr>
          <w:rFonts w:asciiTheme="majorBidi" w:hAnsiTheme="majorBidi" w:cstheme="majorBidi"/>
          <w:sz w:val="20"/>
          <w:szCs w:val="20"/>
          <w:lang w:val="en-US"/>
        </w:rPr>
        <w:t>) (</w:t>
      </w:r>
      <w:r w:rsidR="003F2BD4" w:rsidRPr="00C66A36">
        <w:rPr>
          <w:rFonts w:asciiTheme="majorBidi" w:hAnsiTheme="majorBidi" w:cstheme="majorBidi"/>
          <w:b/>
          <w:bCs/>
          <w:sz w:val="20"/>
          <w:szCs w:val="20"/>
          <w:lang w:val="en-US"/>
        </w:rPr>
        <w:t>E</w:t>
      </w:r>
      <w:r w:rsidR="003F2BD4" w:rsidRPr="00C66A36">
        <w:rPr>
          <w:rFonts w:asciiTheme="majorBidi" w:hAnsiTheme="majorBidi" w:cstheme="majorBidi"/>
          <w:sz w:val="20"/>
          <w:szCs w:val="20"/>
          <w:lang w:val="en-US"/>
        </w:rPr>
        <w:t>)</w:t>
      </w:r>
      <w:r w:rsidR="00EF43ED" w:rsidRPr="00C66A36">
        <w:rPr>
          <w:rFonts w:asciiTheme="majorBidi" w:hAnsiTheme="majorBidi" w:cstheme="majorBidi"/>
          <w:sz w:val="20"/>
          <w:szCs w:val="20"/>
          <w:lang w:val="en-US"/>
        </w:rPr>
        <w:t xml:space="preserve"> and the control cohort</w:t>
      </w:r>
      <w:r w:rsidR="00EA4A32" w:rsidRPr="00C66A3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3F2BD4" w:rsidRPr="00C66A36">
        <w:rPr>
          <w:rFonts w:asciiTheme="majorBidi" w:hAnsiTheme="majorBidi" w:cstheme="majorBidi"/>
          <w:sz w:val="20"/>
          <w:szCs w:val="20"/>
          <w:lang w:val="en-US"/>
        </w:rPr>
        <w:t>(</w:t>
      </w:r>
      <w:r w:rsidR="003F2BD4" w:rsidRPr="00C66A36">
        <w:rPr>
          <w:rFonts w:asciiTheme="majorBidi" w:hAnsiTheme="majorBidi" w:cstheme="majorBidi"/>
          <w:i/>
          <w:iCs/>
          <w:sz w:val="20"/>
          <w:szCs w:val="20"/>
          <w:lang w:val="en-US"/>
        </w:rPr>
        <w:t>n</w:t>
      </w:r>
      <w:r w:rsidR="00A56871" w:rsidRPr="00C66A3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3F2BD4" w:rsidRPr="00C66A36">
        <w:rPr>
          <w:rFonts w:asciiTheme="majorBidi" w:hAnsiTheme="majorBidi" w:cstheme="majorBidi"/>
          <w:sz w:val="20"/>
          <w:szCs w:val="20"/>
          <w:lang w:val="en-US"/>
        </w:rPr>
        <w:t>=</w:t>
      </w:r>
      <w:r w:rsidR="00A56871" w:rsidRPr="00C66A3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EA4A32" w:rsidRPr="00C66A36">
        <w:rPr>
          <w:rFonts w:asciiTheme="majorBidi" w:hAnsiTheme="majorBidi" w:cstheme="majorBidi"/>
          <w:sz w:val="20"/>
          <w:szCs w:val="20"/>
          <w:lang w:val="en-US"/>
        </w:rPr>
        <w:t>86</w:t>
      </w:r>
      <w:r w:rsidR="003F2BD4" w:rsidRPr="00C66A36">
        <w:rPr>
          <w:rFonts w:asciiTheme="majorBidi" w:hAnsiTheme="majorBidi" w:cstheme="majorBidi"/>
          <w:sz w:val="20"/>
          <w:szCs w:val="20"/>
          <w:lang w:val="en-US"/>
        </w:rPr>
        <w:t>) (</w:t>
      </w:r>
      <w:r w:rsidR="003F2BD4" w:rsidRPr="00C66A36">
        <w:rPr>
          <w:rFonts w:asciiTheme="majorBidi" w:hAnsiTheme="majorBidi" w:cstheme="majorBidi"/>
          <w:b/>
          <w:bCs/>
          <w:sz w:val="20"/>
          <w:szCs w:val="20"/>
          <w:lang w:val="en-US"/>
        </w:rPr>
        <w:t>F</w:t>
      </w:r>
      <w:r w:rsidR="003F2BD4" w:rsidRPr="00C66A36">
        <w:rPr>
          <w:rFonts w:asciiTheme="majorBidi" w:hAnsiTheme="majorBidi" w:cstheme="majorBidi"/>
          <w:sz w:val="20"/>
          <w:szCs w:val="20"/>
          <w:lang w:val="en-US"/>
        </w:rPr>
        <w:t>)</w:t>
      </w:r>
      <w:r w:rsidR="00EF43ED" w:rsidRPr="00C66A36">
        <w:rPr>
          <w:rFonts w:asciiTheme="majorBidi" w:hAnsiTheme="majorBidi" w:cstheme="majorBidi"/>
          <w:sz w:val="20"/>
          <w:szCs w:val="20"/>
          <w:lang w:val="en-US"/>
        </w:rPr>
        <w:t>.</w:t>
      </w:r>
      <w:r w:rsidR="006F34D4" w:rsidRPr="00C66A36">
        <w:rPr>
          <w:sz w:val="20"/>
          <w:szCs w:val="20"/>
          <w:lang w:val="en-US"/>
        </w:rPr>
        <w:t xml:space="preserve"> </w:t>
      </w:r>
      <w:r w:rsidR="006F34D4" w:rsidRPr="00C66A36">
        <w:rPr>
          <w:rFonts w:asciiTheme="majorBidi" w:hAnsiTheme="majorBidi" w:cstheme="majorBidi"/>
          <w:sz w:val="20"/>
          <w:szCs w:val="20"/>
          <w:lang w:val="en-US"/>
        </w:rPr>
        <w:t>GFAP, Glial fibrillary acidic protein; Simoa, Single-molecule array.</w:t>
      </w:r>
    </w:p>
    <w:p w14:paraId="6FA21D19" w14:textId="295F175D" w:rsidR="00FD2781" w:rsidRPr="00EA6BBA" w:rsidRDefault="002E2CC3" w:rsidP="00C66A3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A6BBA">
        <w:rPr>
          <w:rFonts w:asciiTheme="majorBidi" w:hAnsiTheme="majorBidi" w:cstheme="majorBidi"/>
          <w:b/>
          <w:bCs/>
          <w:sz w:val="24"/>
          <w:szCs w:val="24"/>
          <w:lang w:val="en-US"/>
        </w:rPr>
        <w:t>3</w:t>
      </w:r>
      <w:r w:rsidR="00B71505" w:rsidRPr="00EA6BB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</w:t>
      </w:r>
      <w:r w:rsidR="00C66A36" w:rsidRPr="00EA6BBA">
        <w:rPr>
          <w:rFonts w:asciiTheme="majorBidi" w:hAnsiTheme="majorBidi" w:cstheme="majorBidi"/>
          <w:b/>
          <w:bCs/>
          <w:sz w:val="24"/>
          <w:szCs w:val="24"/>
          <w:lang w:val="en-US"/>
        </w:rPr>
        <w:t>Sensitivity and specificity of assays</w:t>
      </w:r>
    </w:p>
    <w:p w14:paraId="4BBAB452" w14:textId="6D0E886E" w:rsidR="00FD2781" w:rsidRDefault="006B55B7" w:rsidP="00236FF3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To compare assay performance in diagnosis of AD, cut-off values were calculated using </w:t>
      </w:r>
      <w:r w:rsidRPr="006B55B7">
        <w:rPr>
          <w:rFonts w:asciiTheme="majorBidi" w:hAnsiTheme="majorBidi" w:cstheme="majorBidi"/>
          <w:lang w:val="en-US"/>
        </w:rPr>
        <w:t xml:space="preserve">Receiver operating characteristics (ROC) and subsequent maximization of the </w:t>
      </w:r>
      <w:r>
        <w:rPr>
          <w:rFonts w:asciiTheme="majorBidi" w:hAnsiTheme="majorBidi" w:cstheme="majorBidi"/>
          <w:lang w:val="en-US"/>
        </w:rPr>
        <w:t>Youden index (Fig</w:t>
      </w:r>
      <w:r w:rsidR="00262BB3">
        <w:rPr>
          <w:rFonts w:asciiTheme="majorBidi" w:hAnsiTheme="majorBidi" w:cstheme="majorBidi"/>
          <w:lang w:val="en-US"/>
        </w:rPr>
        <w:t>.</w:t>
      </w:r>
      <w:r>
        <w:rPr>
          <w:rFonts w:asciiTheme="majorBidi" w:hAnsiTheme="majorBidi" w:cstheme="majorBidi"/>
          <w:lang w:val="en-US"/>
        </w:rPr>
        <w:t xml:space="preserve"> S</w:t>
      </w:r>
      <w:r w:rsidR="00704858">
        <w:rPr>
          <w:rFonts w:asciiTheme="majorBidi" w:hAnsiTheme="majorBidi" w:cstheme="majorBidi"/>
          <w:lang w:val="en-US"/>
        </w:rPr>
        <w:t>2</w:t>
      </w:r>
      <w:r>
        <w:rPr>
          <w:rFonts w:asciiTheme="majorBidi" w:hAnsiTheme="majorBidi" w:cstheme="majorBidi"/>
          <w:lang w:val="en-US"/>
        </w:rPr>
        <w:t>).</w:t>
      </w:r>
      <w:r w:rsidR="000C6569" w:rsidRPr="000C6569">
        <w:rPr>
          <w:lang w:val="en-US"/>
        </w:rPr>
        <w:t xml:space="preserve"> </w:t>
      </w:r>
      <w:r w:rsidR="000C6569" w:rsidRPr="000C6569">
        <w:rPr>
          <w:rFonts w:asciiTheme="majorBidi" w:hAnsiTheme="majorBidi" w:cstheme="majorBidi"/>
          <w:lang w:val="en-US"/>
        </w:rPr>
        <w:t xml:space="preserve">The corresponding sensitivity and specificity were presented in </w:t>
      </w:r>
      <w:r w:rsidR="000C6569">
        <w:rPr>
          <w:rFonts w:asciiTheme="majorBidi" w:hAnsiTheme="majorBidi" w:cstheme="majorBidi"/>
          <w:lang w:val="en-US"/>
        </w:rPr>
        <w:t>T</w:t>
      </w:r>
      <w:r w:rsidR="000C6569" w:rsidRPr="000C6569">
        <w:rPr>
          <w:rFonts w:asciiTheme="majorBidi" w:hAnsiTheme="majorBidi" w:cstheme="majorBidi"/>
          <w:lang w:val="en-US"/>
        </w:rPr>
        <w:t xml:space="preserve">able </w:t>
      </w:r>
      <w:r w:rsidR="000C6569">
        <w:rPr>
          <w:rFonts w:asciiTheme="majorBidi" w:hAnsiTheme="majorBidi" w:cstheme="majorBidi"/>
          <w:lang w:val="en-US"/>
        </w:rPr>
        <w:t>S1.</w:t>
      </w:r>
    </w:p>
    <w:p w14:paraId="364C0EFB" w14:textId="6B4E188E" w:rsidR="000D2F00" w:rsidRDefault="006B55B7" w:rsidP="00236FF3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2196EE4C" wp14:editId="7C87B73A">
            <wp:simplePos x="0" y="0"/>
            <wp:positionH relativeFrom="column">
              <wp:posOffset>1169035</wp:posOffset>
            </wp:positionH>
            <wp:positionV relativeFrom="paragraph">
              <wp:posOffset>278130</wp:posOffset>
            </wp:positionV>
            <wp:extent cx="3560064" cy="2478024"/>
            <wp:effectExtent l="0" t="0" r="2540" b="0"/>
            <wp:wrapTopAndBottom/>
            <wp:docPr id="1225810825" name="Picture 1" descr="A graph of a number of individua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810825" name="Picture 1" descr="A graph of a number of individuals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064" cy="2478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79398F" w14:textId="74E485AB" w:rsidR="00961DA9" w:rsidRPr="00C66A36" w:rsidRDefault="00A91E59" w:rsidP="00236FF3">
      <w:pPr>
        <w:spacing w:line="360" w:lineRule="auto"/>
        <w:jc w:val="both"/>
        <w:rPr>
          <w:rFonts w:asciiTheme="majorBidi" w:hAnsiTheme="majorBidi" w:cstheme="majorBidi"/>
          <w:sz w:val="18"/>
          <w:szCs w:val="18"/>
          <w:lang w:val="en-US"/>
        </w:rPr>
      </w:pPr>
      <w:r w:rsidRPr="00C66A36">
        <w:rPr>
          <w:rFonts w:asciiTheme="majorBidi" w:hAnsiTheme="majorBidi" w:cstheme="majorBidi"/>
          <w:b/>
          <w:bCs/>
          <w:lang w:val="en-US"/>
        </w:rPr>
        <w:t>Figure S</w:t>
      </w:r>
      <w:r w:rsidR="00704858">
        <w:rPr>
          <w:rFonts w:asciiTheme="majorBidi" w:hAnsiTheme="majorBidi" w:cstheme="majorBidi"/>
          <w:b/>
          <w:bCs/>
          <w:lang w:val="en-US"/>
        </w:rPr>
        <w:t>2</w:t>
      </w:r>
      <w:r w:rsidRPr="00C66A36">
        <w:rPr>
          <w:rFonts w:asciiTheme="majorBidi" w:hAnsiTheme="majorBidi" w:cstheme="majorBidi"/>
          <w:b/>
          <w:bCs/>
          <w:lang w:val="en-US"/>
        </w:rPr>
        <w:t>.</w:t>
      </w:r>
      <w:r w:rsidR="00855B75" w:rsidRPr="00C66A36">
        <w:rPr>
          <w:rFonts w:asciiTheme="majorBidi" w:hAnsiTheme="majorBidi" w:cstheme="majorBidi"/>
          <w:b/>
          <w:bCs/>
          <w:lang w:val="en-US"/>
        </w:rPr>
        <w:t xml:space="preserve"> ROC analysis of AD.</w:t>
      </w:r>
      <w:r w:rsidR="00855B75" w:rsidRPr="00C66A36">
        <w:rPr>
          <w:rFonts w:asciiTheme="majorBidi" w:hAnsiTheme="majorBidi" w:cstheme="majorBidi"/>
          <w:sz w:val="18"/>
          <w:szCs w:val="18"/>
          <w:lang w:val="en-US"/>
        </w:rPr>
        <w:t xml:space="preserve"> </w:t>
      </w:r>
    </w:p>
    <w:p w14:paraId="3253C549" w14:textId="33F97DD5" w:rsidR="000D2F00" w:rsidRDefault="00855B75" w:rsidP="007434EF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C66A36">
        <w:rPr>
          <w:rFonts w:asciiTheme="majorBidi" w:hAnsiTheme="majorBidi" w:cstheme="majorBidi"/>
          <w:sz w:val="20"/>
          <w:szCs w:val="20"/>
          <w:lang w:val="en-US"/>
        </w:rPr>
        <w:t xml:space="preserve">Comparison of </w:t>
      </w:r>
      <w:r w:rsidR="00961DA9" w:rsidRPr="00C66A36">
        <w:rPr>
          <w:rFonts w:asciiTheme="majorBidi" w:hAnsiTheme="majorBidi" w:cstheme="majorBidi"/>
          <w:sz w:val="20"/>
          <w:szCs w:val="20"/>
          <w:lang w:val="en-US"/>
        </w:rPr>
        <w:t>GFAP concentrations in AD cohort versus control group measured by three assays.</w:t>
      </w:r>
      <w:r w:rsidR="000041AE" w:rsidRPr="00C66A36">
        <w:rPr>
          <w:sz w:val="20"/>
          <w:szCs w:val="20"/>
          <w:lang w:val="en-US"/>
        </w:rPr>
        <w:t xml:space="preserve"> </w:t>
      </w:r>
      <w:r w:rsidR="000041AE" w:rsidRPr="00C66A36">
        <w:rPr>
          <w:rFonts w:asciiTheme="majorBidi" w:hAnsiTheme="majorBidi" w:cstheme="majorBidi"/>
          <w:sz w:val="20"/>
          <w:szCs w:val="20"/>
          <w:lang w:val="en-US"/>
        </w:rPr>
        <w:t>AD, Alzheimer’s disease; AUC, area under the curve;</w:t>
      </w:r>
      <w:r w:rsidR="000041AE" w:rsidRPr="00C66A36">
        <w:rPr>
          <w:sz w:val="20"/>
          <w:szCs w:val="20"/>
          <w:lang w:val="en-US"/>
        </w:rPr>
        <w:t xml:space="preserve"> </w:t>
      </w:r>
      <w:r w:rsidR="000041AE" w:rsidRPr="00C66A36">
        <w:rPr>
          <w:rFonts w:asciiTheme="majorBidi" w:hAnsiTheme="majorBidi" w:cstheme="majorBidi"/>
          <w:sz w:val="20"/>
          <w:szCs w:val="20"/>
          <w:lang w:val="en-US"/>
        </w:rPr>
        <w:t>GFAP, Glial fibrillary acidic protein;</w:t>
      </w:r>
      <w:r w:rsidR="007434EF" w:rsidRPr="00C66A36">
        <w:rPr>
          <w:rFonts w:asciiTheme="majorBidi" w:hAnsiTheme="majorBidi" w:cstheme="majorBidi"/>
          <w:sz w:val="20"/>
          <w:szCs w:val="20"/>
          <w:lang w:val="en-US"/>
        </w:rPr>
        <w:t xml:space="preserve"> O.Con, Old control;</w:t>
      </w:r>
      <w:r w:rsidR="000041AE" w:rsidRPr="00C66A36">
        <w:rPr>
          <w:rFonts w:asciiTheme="majorBidi" w:hAnsiTheme="majorBidi" w:cstheme="majorBidi"/>
          <w:sz w:val="20"/>
          <w:szCs w:val="20"/>
          <w:lang w:val="en-US"/>
        </w:rPr>
        <w:t xml:space="preserve"> ROC, receiver operating characteristics;</w:t>
      </w:r>
      <w:r w:rsidR="000041AE" w:rsidRPr="00C66A36">
        <w:rPr>
          <w:sz w:val="20"/>
          <w:szCs w:val="20"/>
          <w:lang w:val="en-US"/>
        </w:rPr>
        <w:t xml:space="preserve"> </w:t>
      </w:r>
      <w:r w:rsidR="000041AE" w:rsidRPr="00C66A36">
        <w:rPr>
          <w:rFonts w:asciiTheme="majorBidi" w:hAnsiTheme="majorBidi" w:cstheme="majorBidi"/>
          <w:sz w:val="20"/>
          <w:szCs w:val="20"/>
          <w:lang w:val="en-US"/>
        </w:rPr>
        <w:t>Simoa, Single-molecule array.</w:t>
      </w:r>
    </w:p>
    <w:tbl>
      <w:tblPr>
        <w:tblStyle w:val="TableGrid"/>
        <w:tblpPr w:leftFromText="180" w:rightFromText="180" w:vertAnchor="page" w:horzAnchor="margin" w:tblpY="7921"/>
        <w:tblW w:w="9062" w:type="dxa"/>
        <w:tblLook w:val="04A0" w:firstRow="1" w:lastRow="0" w:firstColumn="1" w:lastColumn="0" w:noHBand="0" w:noVBand="1"/>
      </w:tblPr>
      <w:tblGrid>
        <w:gridCol w:w="1857"/>
        <w:gridCol w:w="1378"/>
        <w:gridCol w:w="2070"/>
        <w:gridCol w:w="2160"/>
        <w:gridCol w:w="1597"/>
      </w:tblGrid>
      <w:tr w:rsidR="002E2CC3" w:rsidRPr="00A407AD" w14:paraId="19B98442" w14:textId="77777777" w:rsidTr="002E2CC3">
        <w:trPr>
          <w:trHeight w:val="574"/>
        </w:trPr>
        <w:tc>
          <w:tcPr>
            <w:tcW w:w="1857" w:type="dxa"/>
            <w:vAlign w:val="center"/>
          </w:tcPr>
          <w:p w14:paraId="27441E36" w14:textId="77777777" w:rsidR="002E2CC3" w:rsidRPr="00A407AD" w:rsidRDefault="002E2CC3" w:rsidP="002E2CC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bookmarkStart w:id="2" w:name="_Hlk156187777"/>
            <w:bookmarkStart w:id="3" w:name="_Hlk156187732"/>
            <w:r w:rsidRPr="00A407A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Assay</w:t>
            </w:r>
          </w:p>
        </w:tc>
        <w:tc>
          <w:tcPr>
            <w:tcW w:w="1378" w:type="dxa"/>
            <w:vAlign w:val="center"/>
          </w:tcPr>
          <w:p w14:paraId="7B47C159" w14:textId="77777777" w:rsidR="002E2CC3" w:rsidRPr="00A407AD" w:rsidRDefault="002E2CC3" w:rsidP="002E2CC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A407A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Cut-off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pg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/ml]</w:t>
            </w:r>
          </w:p>
        </w:tc>
        <w:tc>
          <w:tcPr>
            <w:tcW w:w="2070" w:type="dxa"/>
            <w:vAlign w:val="center"/>
          </w:tcPr>
          <w:p w14:paraId="0AD17B55" w14:textId="77777777" w:rsidR="002E2CC3" w:rsidRPr="00A407AD" w:rsidRDefault="002E2CC3" w:rsidP="002E2CC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A407A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Sensitivity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(95% CI)[%]</w:t>
            </w:r>
          </w:p>
        </w:tc>
        <w:tc>
          <w:tcPr>
            <w:tcW w:w="2160" w:type="dxa"/>
            <w:vAlign w:val="center"/>
          </w:tcPr>
          <w:p w14:paraId="21751312" w14:textId="77777777" w:rsidR="002E2CC3" w:rsidRPr="00A407AD" w:rsidRDefault="002E2CC3" w:rsidP="002E2CC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A407A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Specificity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F731E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(95% CI)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984E8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[%]</w:t>
            </w:r>
          </w:p>
        </w:tc>
        <w:tc>
          <w:tcPr>
            <w:tcW w:w="1597" w:type="dxa"/>
            <w:vAlign w:val="center"/>
          </w:tcPr>
          <w:p w14:paraId="23694CF1" w14:textId="77777777" w:rsidR="002E2CC3" w:rsidRPr="00A407AD" w:rsidRDefault="002E2CC3" w:rsidP="002E2CC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Likelihood ratio</w:t>
            </w:r>
          </w:p>
        </w:tc>
      </w:tr>
      <w:tr w:rsidR="002E2CC3" w:rsidRPr="00A407AD" w14:paraId="0CDAC7E8" w14:textId="77777777" w:rsidTr="002E2CC3">
        <w:trPr>
          <w:trHeight w:val="286"/>
        </w:trPr>
        <w:tc>
          <w:tcPr>
            <w:tcW w:w="1857" w:type="dxa"/>
            <w:vAlign w:val="center"/>
          </w:tcPr>
          <w:p w14:paraId="7D138F1F" w14:textId="77777777" w:rsidR="002E2CC3" w:rsidRPr="00A407AD" w:rsidRDefault="002E2CC3" w:rsidP="002E2CC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2</w:t>
            </w:r>
            <w:r w:rsidRPr="00A407AD"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US"/>
              </w:rPr>
              <w:t>nd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gen Ella</w:t>
            </w:r>
          </w:p>
        </w:tc>
        <w:tc>
          <w:tcPr>
            <w:tcW w:w="1378" w:type="dxa"/>
            <w:vAlign w:val="center"/>
          </w:tcPr>
          <w:p w14:paraId="72668C79" w14:textId="77777777" w:rsidR="002E2CC3" w:rsidRPr="00A407AD" w:rsidRDefault="002E2CC3" w:rsidP="002E2CC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6F147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 10.9</w:t>
            </w:r>
          </w:p>
        </w:tc>
        <w:tc>
          <w:tcPr>
            <w:tcW w:w="2070" w:type="dxa"/>
            <w:vAlign w:val="center"/>
          </w:tcPr>
          <w:p w14:paraId="6327F3AB" w14:textId="77777777" w:rsidR="002E2CC3" w:rsidRPr="00A407AD" w:rsidRDefault="002E2CC3" w:rsidP="002E2CC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77 (63-87)</w:t>
            </w:r>
          </w:p>
        </w:tc>
        <w:tc>
          <w:tcPr>
            <w:tcW w:w="2160" w:type="dxa"/>
            <w:vAlign w:val="center"/>
          </w:tcPr>
          <w:p w14:paraId="0EBBCEC0" w14:textId="77777777" w:rsidR="002E2CC3" w:rsidRPr="00A407AD" w:rsidRDefault="002E2CC3" w:rsidP="002E2CC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85 (73-93)</w:t>
            </w:r>
          </w:p>
        </w:tc>
        <w:tc>
          <w:tcPr>
            <w:tcW w:w="1597" w:type="dxa"/>
            <w:vAlign w:val="center"/>
          </w:tcPr>
          <w:p w14:paraId="55F7573E" w14:textId="77777777" w:rsidR="002E2CC3" w:rsidRDefault="002E2CC3" w:rsidP="002E2CC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5</w:t>
            </w:r>
          </w:p>
        </w:tc>
      </w:tr>
      <w:tr w:rsidR="002E2CC3" w:rsidRPr="00A407AD" w14:paraId="7F39D9EF" w14:textId="77777777" w:rsidTr="002E2CC3">
        <w:trPr>
          <w:trHeight w:val="286"/>
        </w:trPr>
        <w:tc>
          <w:tcPr>
            <w:tcW w:w="1857" w:type="dxa"/>
            <w:vAlign w:val="center"/>
          </w:tcPr>
          <w:p w14:paraId="4033D5B7" w14:textId="77777777" w:rsidR="002E2CC3" w:rsidRPr="00A407AD" w:rsidRDefault="002E2CC3" w:rsidP="002E2CC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Simoa</w:t>
            </w:r>
          </w:p>
        </w:tc>
        <w:tc>
          <w:tcPr>
            <w:tcW w:w="1378" w:type="dxa"/>
            <w:vAlign w:val="center"/>
          </w:tcPr>
          <w:p w14:paraId="1F9A9D6E" w14:textId="77777777" w:rsidR="002E2CC3" w:rsidRPr="00A407AD" w:rsidRDefault="002E2CC3" w:rsidP="002E2CC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477F68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 229</w:t>
            </w:r>
          </w:p>
        </w:tc>
        <w:tc>
          <w:tcPr>
            <w:tcW w:w="2070" w:type="dxa"/>
            <w:vAlign w:val="center"/>
          </w:tcPr>
          <w:p w14:paraId="09965789" w14:textId="77777777" w:rsidR="002E2CC3" w:rsidRPr="00A407AD" w:rsidRDefault="002E2CC3" w:rsidP="002E2CC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477F68">
              <w:rPr>
                <w:rFonts w:asciiTheme="majorBidi" w:hAnsiTheme="majorBidi" w:cstheme="majorBidi"/>
                <w:sz w:val="18"/>
                <w:szCs w:val="18"/>
                <w:lang w:val="en-US"/>
              </w:rPr>
              <w:t>84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(71-92)</w:t>
            </w:r>
          </w:p>
        </w:tc>
        <w:tc>
          <w:tcPr>
            <w:tcW w:w="2160" w:type="dxa"/>
            <w:vAlign w:val="center"/>
          </w:tcPr>
          <w:p w14:paraId="67A8DCB0" w14:textId="77777777" w:rsidR="002E2CC3" w:rsidRPr="00A407AD" w:rsidRDefault="002E2CC3" w:rsidP="002E2CC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477F68">
              <w:rPr>
                <w:rFonts w:asciiTheme="majorBidi" w:hAnsiTheme="majorBidi" w:cstheme="majorBidi"/>
                <w:sz w:val="18"/>
                <w:szCs w:val="18"/>
                <w:lang w:val="en-US"/>
              </w:rPr>
              <w:t>79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(66-88)</w:t>
            </w:r>
          </w:p>
        </w:tc>
        <w:tc>
          <w:tcPr>
            <w:tcW w:w="1597" w:type="dxa"/>
            <w:vAlign w:val="center"/>
          </w:tcPr>
          <w:p w14:paraId="54273570" w14:textId="77777777" w:rsidR="002E2CC3" w:rsidRPr="00477F68" w:rsidRDefault="002E2CC3" w:rsidP="002E2CC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4</w:t>
            </w:r>
          </w:p>
        </w:tc>
      </w:tr>
      <w:tr w:rsidR="002E2CC3" w:rsidRPr="00A407AD" w14:paraId="6D5C8B65" w14:textId="77777777" w:rsidTr="002E2CC3">
        <w:trPr>
          <w:trHeight w:val="286"/>
        </w:trPr>
        <w:tc>
          <w:tcPr>
            <w:tcW w:w="1857" w:type="dxa"/>
            <w:vAlign w:val="center"/>
          </w:tcPr>
          <w:p w14:paraId="696A9444" w14:textId="77777777" w:rsidR="002E2CC3" w:rsidRPr="00A407AD" w:rsidRDefault="002E2CC3" w:rsidP="002E2CC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Homemade Ella</w:t>
            </w:r>
          </w:p>
        </w:tc>
        <w:tc>
          <w:tcPr>
            <w:tcW w:w="1378" w:type="dxa"/>
            <w:vAlign w:val="center"/>
          </w:tcPr>
          <w:p w14:paraId="38C6EB04" w14:textId="77777777" w:rsidR="002E2CC3" w:rsidRPr="00A407AD" w:rsidRDefault="002E2CC3" w:rsidP="002E2CC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477F68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 9.31</w:t>
            </w:r>
          </w:p>
        </w:tc>
        <w:tc>
          <w:tcPr>
            <w:tcW w:w="2070" w:type="dxa"/>
            <w:vAlign w:val="center"/>
          </w:tcPr>
          <w:p w14:paraId="4232CB06" w14:textId="77777777" w:rsidR="002E2CC3" w:rsidRPr="00A407AD" w:rsidRDefault="002E2CC3" w:rsidP="002E2CC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70 (55-81)</w:t>
            </w:r>
          </w:p>
        </w:tc>
        <w:tc>
          <w:tcPr>
            <w:tcW w:w="2160" w:type="dxa"/>
            <w:vAlign w:val="center"/>
          </w:tcPr>
          <w:p w14:paraId="31A38577" w14:textId="77777777" w:rsidR="002E2CC3" w:rsidRPr="00A407AD" w:rsidRDefault="002E2CC3" w:rsidP="002E2CC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477F68">
              <w:rPr>
                <w:rFonts w:asciiTheme="majorBidi" w:hAnsiTheme="majorBidi" w:cstheme="majorBidi"/>
                <w:sz w:val="18"/>
                <w:szCs w:val="18"/>
                <w:lang w:val="en-US"/>
              </w:rPr>
              <w:t>8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9 (76-95)</w:t>
            </w:r>
          </w:p>
        </w:tc>
        <w:tc>
          <w:tcPr>
            <w:tcW w:w="1597" w:type="dxa"/>
            <w:vAlign w:val="center"/>
          </w:tcPr>
          <w:p w14:paraId="6943E95D" w14:textId="77777777" w:rsidR="002E2CC3" w:rsidRPr="00477F68" w:rsidRDefault="002E2CC3" w:rsidP="002E2CC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6</w:t>
            </w:r>
          </w:p>
        </w:tc>
      </w:tr>
    </w:tbl>
    <w:bookmarkEnd w:id="3"/>
    <w:p w14:paraId="46206B01" w14:textId="54AA67D4" w:rsidR="00A91E59" w:rsidRDefault="00A91E59" w:rsidP="00855B75">
      <w:pPr>
        <w:spacing w:before="240" w:line="360" w:lineRule="auto"/>
        <w:jc w:val="both"/>
        <w:rPr>
          <w:rFonts w:asciiTheme="majorBidi" w:hAnsiTheme="majorBidi" w:cstheme="majorBidi"/>
          <w:b/>
          <w:bCs/>
          <w:sz w:val="16"/>
          <w:szCs w:val="16"/>
          <w:lang w:val="en-US"/>
        </w:rPr>
      </w:pPr>
      <w:r w:rsidRPr="00724CBE">
        <w:rPr>
          <w:rFonts w:asciiTheme="majorBidi" w:hAnsiTheme="majorBidi" w:cstheme="majorBidi"/>
          <w:b/>
          <w:bCs/>
          <w:sz w:val="16"/>
          <w:szCs w:val="16"/>
          <w:lang w:val="en-US"/>
        </w:rPr>
        <w:t>Table S2.</w:t>
      </w:r>
      <w:r w:rsidR="00855B75" w:rsidRPr="00724CBE">
        <w:rPr>
          <w:b/>
          <w:bCs/>
          <w:sz w:val="16"/>
          <w:szCs w:val="16"/>
          <w:lang w:val="en-US"/>
        </w:rPr>
        <w:t xml:space="preserve"> </w:t>
      </w:r>
      <w:r w:rsidR="00855B75" w:rsidRPr="00724CBE">
        <w:rPr>
          <w:rFonts w:asciiTheme="majorBidi" w:hAnsiTheme="majorBidi" w:cstheme="majorBidi"/>
          <w:b/>
          <w:bCs/>
          <w:sz w:val="16"/>
          <w:szCs w:val="16"/>
          <w:lang w:val="en-US"/>
        </w:rPr>
        <w:t>Sensitivity and specificity of serum GFAP measured by three assays for discrimination between AD and control cohort.</w:t>
      </w:r>
    </w:p>
    <w:p w14:paraId="363CB176" w14:textId="7ACC69C6" w:rsidR="006536C3" w:rsidRDefault="006536C3" w:rsidP="006536C3">
      <w:pPr>
        <w:spacing w:line="360" w:lineRule="auto"/>
        <w:jc w:val="both"/>
        <w:rPr>
          <w:rFonts w:asciiTheme="majorBidi" w:hAnsiTheme="majorBidi" w:cstheme="majorBidi"/>
          <w:sz w:val="16"/>
          <w:szCs w:val="16"/>
          <w:lang w:val="en-US"/>
        </w:rPr>
      </w:pPr>
      <w:bookmarkStart w:id="4" w:name="_Hlk156187826"/>
      <w:bookmarkEnd w:id="2"/>
      <w:r w:rsidRPr="006536C3">
        <w:rPr>
          <w:rFonts w:asciiTheme="majorBidi" w:hAnsiTheme="majorBidi" w:cstheme="majorBidi"/>
          <w:sz w:val="16"/>
          <w:szCs w:val="16"/>
          <w:lang w:val="en-US"/>
        </w:rPr>
        <w:t>AD, Alzheimer’s disease;</w:t>
      </w:r>
      <w:r w:rsidR="00421FC6" w:rsidRPr="00CD4BE5">
        <w:rPr>
          <w:lang w:val="en-US"/>
        </w:rPr>
        <w:t xml:space="preserve"> </w:t>
      </w:r>
      <w:r w:rsidR="00421FC6" w:rsidRPr="00421FC6">
        <w:rPr>
          <w:rFonts w:asciiTheme="majorBidi" w:hAnsiTheme="majorBidi" w:cstheme="majorBidi"/>
          <w:sz w:val="16"/>
          <w:szCs w:val="16"/>
          <w:lang w:val="en-US"/>
        </w:rPr>
        <w:t>CI, confidence interval;</w:t>
      </w:r>
      <w:r w:rsidRPr="006536C3">
        <w:rPr>
          <w:lang w:val="en-US"/>
        </w:rPr>
        <w:t xml:space="preserve"> </w:t>
      </w:r>
      <w:r w:rsidRPr="006536C3">
        <w:rPr>
          <w:rFonts w:asciiTheme="majorBidi" w:hAnsiTheme="majorBidi" w:cstheme="majorBidi"/>
          <w:sz w:val="16"/>
          <w:szCs w:val="16"/>
          <w:lang w:val="en-US"/>
        </w:rPr>
        <w:t>GFAP, Glial fibrillary acidic protein;</w:t>
      </w:r>
      <w:r w:rsidRPr="006536C3">
        <w:rPr>
          <w:lang w:val="en-US"/>
        </w:rPr>
        <w:t xml:space="preserve"> </w:t>
      </w:r>
      <w:r w:rsidRPr="006536C3">
        <w:rPr>
          <w:rFonts w:asciiTheme="majorBidi" w:hAnsiTheme="majorBidi" w:cstheme="majorBidi"/>
          <w:sz w:val="16"/>
          <w:szCs w:val="16"/>
          <w:lang w:val="en-US"/>
        </w:rPr>
        <w:t>Simoa, Single-molecule array.</w:t>
      </w:r>
      <w:bookmarkEnd w:id="4"/>
    </w:p>
    <w:p w14:paraId="293AC710" w14:textId="0F8B697B" w:rsidR="00250F8B" w:rsidRDefault="00250F8B" w:rsidP="00250F8B">
      <w:pPr>
        <w:tabs>
          <w:tab w:val="left" w:pos="2445"/>
        </w:tabs>
        <w:spacing w:line="360" w:lineRule="auto"/>
        <w:jc w:val="both"/>
        <w:rPr>
          <w:rFonts w:asciiTheme="majorBidi" w:hAnsiTheme="majorBidi" w:cstheme="majorBidi"/>
          <w:sz w:val="16"/>
          <w:szCs w:val="16"/>
          <w:lang w:val="en-US"/>
        </w:rPr>
      </w:pPr>
      <w:r>
        <w:rPr>
          <w:rFonts w:asciiTheme="majorBidi" w:hAnsiTheme="majorBidi" w:cstheme="majorBidi"/>
          <w:sz w:val="16"/>
          <w:szCs w:val="16"/>
          <w:lang w:val="en-US"/>
        </w:rPr>
        <w:tab/>
      </w:r>
    </w:p>
    <w:p w14:paraId="6B63B0A8" w14:textId="648752E4" w:rsidR="00250F8B" w:rsidRPr="00EA6BBA" w:rsidRDefault="00250F8B" w:rsidP="006536C3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A6BBA">
        <w:rPr>
          <w:rFonts w:asciiTheme="majorBidi" w:hAnsiTheme="majorBidi" w:cstheme="majorBidi"/>
          <w:b/>
          <w:bCs/>
          <w:sz w:val="24"/>
          <w:szCs w:val="24"/>
          <w:lang w:val="en-US"/>
        </w:rPr>
        <w:t>4. Calibrator measurements</w:t>
      </w:r>
    </w:p>
    <w:p w14:paraId="3DA7CA04" w14:textId="44D481FA" w:rsidR="00D16075" w:rsidRPr="00D16075" w:rsidRDefault="00D16075" w:rsidP="00D16075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D16075">
        <w:rPr>
          <w:rFonts w:asciiTheme="majorBidi" w:hAnsiTheme="majorBidi" w:cstheme="majorBidi"/>
          <w:lang w:val="en-US"/>
        </w:rPr>
        <w:t xml:space="preserve">Due to observed </w:t>
      </w:r>
      <w:r w:rsidR="00AE3B44" w:rsidRPr="00AE3B44">
        <w:rPr>
          <w:rFonts w:asciiTheme="majorBidi" w:hAnsiTheme="majorBidi" w:cstheme="majorBidi"/>
          <w:lang w:val="en-US"/>
        </w:rPr>
        <w:t>discrepancies</w:t>
      </w:r>
      <w:r w:rsidRPr="00D16075">
        <w:rPr>
          <w:rFonts w:asciiTheme="majorBidi" w:hAnsiTheme="majorBidi" w:cstheme="majorBidi"/>
          <w:lang w:val="en-US"/>
        </w:rPr>
        <w:t xml:space="preserve"> in absolute GFAP values measured by the 2</w:t>
      </w:r>
      <w:r w:rsidRPr="00D16075">
        <w:rPr>
          <w:rFonts w:asciiTheme="majorBidi" w:hAnsiTheme="majorBidi" w:cstheme="majorBidi"/>
          <w:vertAlign w:val="superscript"/>
          <w:lang w:val="en-US"/>
        </w:rPr>
        <w:t>nd</w:t>
      </w:r>
      <w:r w:rsidRPr="00D16075">
        <w:rPr>
          <w:rFonts w:asciiTheme="majorBidi" w:hAnsiTheme="majorBidi" w:cstheme="majorBidi"/>
          <w:lang w:val="en-US"/>
        </w:rPr>
        <w:t xml:space="preserve"> generation Ella and Simoa, we examined the concentration of two Simoa calibrators using the 2</w:t>
      </w:r>
      <w:r w:rsidRPr="00D16075">
        <w:rPr>
          <w:rFonts w:asciiTheme="majorBidi" w:hAnsiTheme="majorBidi" w:cstheme="majorBidi"/>
          <w:vertAlign w:val="superscript"/>
          <w:lang w:val="en-US"/>
        </w:rPr>
        <w:t>nd</w:t>
      </w:r>
      <w:r w:rsidRPr="00D16075">
        <w:rPr>
          <w:rFonts w:asciiTheme="majorBidi" w:hAnsiTheme="majorBidi" w:cstheme="majorBidi"/>
          <w:lang w:val="en-US"/>
        </w:rPr>
        <w:t xml:space="preserve"> generation Ella. These calibrators had producer-defined concentrations of 333 </w:t>
      </w:r>
      <w:proofErr w:type="spellStart"/>
      <w:r w:rsidRPr="00D16075">
        <w:rPr>
          <w:rFonts w:asciiTheme="majorBidi" w:hAnsiTheme="majorBidi" w:cstheme="majorBidi"/>
          <w:lang w:val="en-US"/>
        </w:rPr>
        <w:t>pg</w:t>
      </w:r>
      <w:proofErr w:type="spellEnd"/>
      <w:r w:rsidRPr="00D16075">
        <w:rPr>
          <w:rFonts w:asciiTheme="majorBidi" w:hAnsiTheme="majorBidi" w:cstheme="majorBidi"/>
          <w:lang w:val="en-US"/>
        </w:rPr>
        <w:t xml:space="preserve">/ml and 111 </w:t>
      </w:r>
      <w:proofErr w:type="spellStart"/>
      <w:r w:rsidRPr="00D16075">
        <w:rPr>
          <w:rFonts w:asciiTheme="majorBidi" w:hAnsiTheme="majorBidi" w:cstheme="majorBidi"/>
          <w:lang w:val="en-US"/>
        </w:rPr>
        <w:t>pg</w:t>
      </w:r>
      <w:proofErr w:type="spellEnd"/>
      <w:r w:rsidRPr="00D16075">
        <w:rPr>
          <w:rFonts w:asciiTheme="majorBidi" w:hAnsiTheme="majorBidi" w:cstheme="majorBidi"/>
          <w:lang w:val="en-US"/>
        </w:rPr>
        <w:t>/ml. The 2</w:t>
      </w:r>
      <w:r w:rsidRPr="00AD557C">
        <w:rPr>
          <w:rFonts w:asciiTheme="majorBidi" w:hAnsiTheme="majorBidi" w:cstheme="majorBidi"/>
          <w:vertAlign w:val="superscript"/>
          <w:lang w:val="en-US"/>
        </w:rPr>
        <w:t>nd</w:t>
      </w:r>
      <w:r w:rsidRPr="00D16075">
        <w:rPr>
          <w:rFonts w:asciiTheme="majorBidi" w:hAnsiTheme="majorBidi" w:cstheme="majorBidi"/>
          <w:lang w:val="en-US"/>
        </w:rPr>
        <w:t xml:space="preserve"> generation Ella yielded measured concentrations of 23.9 </w:t>
      </w:r>
      <w:proofErr w:type="spellStart"/>
      <w:r w:rsidRPr="00D16075">
        <w:rPr>
          <w:rFonts w:asciiTheme="majorBidi" w:hAnsiTheme="majorBidi" w:cstheme="majorBidi"/>
          <w:lang w:val="en-US"/>
        </w:rPr>
        <w:t>pg</w:t>
      </w:r>
      <w:proofErr w:type="spellEnd"/>
      <w:r w:rsidRPr="00D16075">
        <w:rPr>
          <w:rFonts w:asciiTheme="majorBidi" w:hAnsiTheme="majorBidi" w:cstheme="majorBidi"/>
          <w:lang w:val="en-US"/>
        </w:rPr>
        <w:t xml:space="preserve">/ml and 10.4 </w:t>
      </w:r>
      <w:proofErr w:type="spellStart"/>
      <w:r w:rsidRPr="00D16075">
        <w:rPr>
          <w:rFonts w:asciiTheme="majorBidi" w:hAnsiTheme="majorBidi" w:cstheme="majorBidi"/>
          <w:lang w:val="en-US"/>
        </w:rPr>
        <w:t>pg</w:t>
      </w:r>
      <w:proofErr w:type="spellEnd"/>
      <w:r w:rsidRPr="00D16075">
        <w:rPr>
          <w:rFonts w:asciiTheme="majorBidi" w:hAnsiTheme="majorBidi" w:cstheme="majorBidi"/>
          <w:lang w:val="en-US"/>
        </w:rPr>
        <w:t>/ml for the respective calibrators. Notably, a mean ratio of 12 was identified between the Simoa-defined concentrations and the measured concentrations in the 2</w:t>
      </w:r>
      <w:r w:rsidRPr="00D16075">
        <w:rPr>
          <w:rFonts w:asciiTheme="majorBidi" w:hAnsiTheme="majorBidi" w:cstheme="majorBidi"/>
          <w:vertAlign w:val="superscript"/>
          <w:lang w:val="en-US"/>
        </w:rPr>
        <w:t>nd</w:t>
      </w:r>
      <w:r w:rsidRPr="00D16075">
        <w:rPr>
          <w:rFonts w:asciiTheme="majorBidi" w:hAnsiTheme="majorBidi" w:cstheme="majorBidi"/>
          <w:lang w:val="en-US"/>
        </w:rPr>
        <w:t xml:space="preserve"> generation Ella, falling within the agreement range of values established in the Bland-Altman graph (see Figure 5A).</w:t>
      </w:r>
    </w:p>
    <w:p w14:paraId="0EB8E6EE" w14:textId="35D535CD" w:rsidR="00250F8B" w:rsidRPr="00250F8B" w:rsidRDefault="00D16075" w:rsidP="00D16075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D16075">
        <w:rPr>
          <w:rFonts w:asciiTheme="majorBidi" w:hAnsiTheme="majorBidi" w:cstheme="majorBidi"/>
          <w:lang w:val="en-US"/>
        </w:rPr>
        <w:t>It is crucial to note that these calibrators underwent a single freeze and thaw cycle before measurement by the 2</w:t>
      </w:r>
      <w:r w:rsidRPr="00D16075">
        <w:rPr>
          <w:rFonts w:asciiTheme="majorBidi" w:hAnsiTheme="majorBidi" w:cstheme="majorBidi"/>
          <w:vertAlign w:val="superscript"/>
          <w:lang w:val="en-US"/>
        </w:rPr>
        <w:t>nd</w:t>
      </w:r>
      <w:r w:rsidRPr="00D16075">
        <w:rPr>
          <w:rFonts w:asciiTheme="majorBidi" w:hAnsiTheme="majorBidi" w:cstheme="majorBidi"/>
          <w:lang w:val="en-US"/>
        </w:rPr>
        <w:t xml:space="preserve"> generation Ella, potentially influencing the actual protein concentration as per the producer's instructions. This finding may explain the observed differences in absolute values, </w:t>
      </w:r>
      <w:r w:rsidR="00606012">
        <w:rPr>
          <w:rFonts w:asciiTheme="majorBidi" w:hAnsiTheme="majorBidi" w:cstheme="majorBidi"/>
          <w:lang w:val="en-US"/>
        </w:rPr>
        <w:t xml:space="preserve">as the </w:t>
      </w:r>
      <w:r w:rsidRPr="00D16075">
        <w:rPr>
          <w:rFonts w:asciiTheme="majorBidi" w:hAnsiTheme="majorBidi" w:cstheme="majorBidi"/>
          <w:lang w:val="en-US"/>
        </w:rPr>
        <w:t xml:space="preserve">standard curves in different assays </w:t>
      </w:r>
      <w:r w:rsidR="00606012">
        <w:rPr>
          <w:rFonts w:asciiTheme="majorBidi" w:hAnsiTheme="majorBidi" w:cstheme="majorBidi"/>
          <w:lang w:val="en-US"/>
        </w:rPr>
        <w:t>could be</w:t>
      </w:r>
      <w:r w:rsidRPr="00D16075">
        <w:rPr>
          <w:rFonts w:asciiTheme="majorBidi" w:hAnsiTheme="majorBidi" w:cstheme="majorBidi"/>
          <w:lang w:val="en-US"/>
        </w:rPr>
        <w:t xml:space="preserve"> calibrated differently.</w:t>
      </w:r>
    </w:p>
    <w:sectPr w:rsidR="00250F8B" w:rsidRPr="00250F8B">
      <w:footerReference w:type="default" r:id="rId9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47289" w14:textId="77777777" w:rsidR="00CD470A" w:rsidRDefault="00CD470A" w:rsidP="00B95788">
      <w:pPr>
        <w:spacing w:after="0" w:line="240" w:lineRule="auto"/>
      </w:pPr>
      <w:r>
        <w:separator/>
      </w:r>
    </w:p>
  </w:endnote>
  <w:endnote w:type="continuationSeparator" w:id="0">
    <w:p w14:paraId="32D237D0" w14:textId="77777777" w:rsidR="00CD470A" w:rsidRDefault="00CD470A" w:rsidP="00B9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9587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F80FF" w14:textId="1309916C" w:rsidR="00B95788" w:rsidRDefault="00B957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44097F" w14:textId="77777777" w:rsidR="00B95788" w:rsidRDefault="00B95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97F46" w14:textId="77777777" w:rsidR="00CD470A" w:rsidRDefault="00CD470A" w:rsidP="00B95788">
      <w:pPr>
        <w:spacing w:after="0" w:line="240" w:lineRule="auto"/>
      </w:pPr>
      <w:r>
        <w:separator/>
      </w:r>
    </w:p>
  </w:footnote>
  <w:footnote w:type="continuationSeparator" w:id="0">
    <w:p w14:paraId="0506D0EA" w14:textId="77777777" w:rsidR="00CD470A" w:rsidRDefault="00CD470A" w:rsidP="00B95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1E"/>
    <w:rsid w:val="000041AE"/>
    <w:rsid w:val="00013540"/>
    <w:rsid w:val="000239E6"/>
    <w:rsid w:val="00023E36"/>
    <w:rsid w:val="000366C2"/>
    <w:rsid w:val="00046C2F"/>
    <w:rsid w:val="00050D82"/>
    <w:rsid w:val="00054F2F"/>
    <w:rsid w:val="000840EE"/>
    <w:rsid w:val="000A52F1"/>
    <w:rsid w:val="000C6569"/>
    <w:rsid w:val="000D2F00"/>
    <w:rsid w:val="000E4689"/>
    <w:rsid w:val="000F1D78"/>
    <w:rsid w:val="00175EA6"/>
    <w:rsid w:val="001A3FEB"/>
    <w:rsid w:val="001C7CB4"/>
    <w:rsid w:val="001E64DA"/>
    <w:rsid w:val="001F3100"/>
    <w:rsid w:val="0020487C"/>
    <w:rsid w:val="00210671"/>
    <w:rsid w:val="00235AF9"/>
    <w:rsid w:val="00236FF3"/>
    <w:rsid w:val="002447B6"/>
    <w:rsid w:val="00250F8B"/>
    <w:rsid w:val="00256066"/>
    <w:rsid w:val="002605C2"/>
    <w:rsid w:val="00262BB3"/>
    <w:rsid w:val="0026782E"/>
    <w:rsid w:val="00272AEC"/>
    <w:rsid w:val="00280A36"/>
    <w:rsid w:val="00282C03"/>
    <w:rsid w:val="00290B7C"/>
    <w:rsid w:val="00290E1B"/>
    <w:rsid w:val="002D32DA"/>
    <w:rsid w:val="002E1285"/>
    <w:rsid w:val="002E2CC3"/>
    <w:rsid w:val="002F1EAC"/>
    <w:rsid w:val="00300429"/>
    <w:rsid w:val="003310C5"/>
    <w:rsid w:val="00350BE4"/>
    <w:rsid w:val="003571BD"/>
    <w:rsid w:val="003801E1"/>
    <w:rsid w:val="00392C93"/>
    <w:rsid w:val="00394D19"/>
    <w:rsid w:val="003A17C4"/>
    <w:rsid w:val="003B164E"/>
    <w:rsid w:val="003D014D"/>
    <w:rsid w:val="003D53FF"/>
    <w:rsid w:val="003D572F"/>
    <w:rsid w:val="003F2BD4"/>
    <w:rsid w:val="003F52C5"/>
    <w:rsid w:val="0041232B"/>
    <w:rsid w:val="00421FC6"/>
    <w:rsid w:val="0042500E"/>
    <w:rsid w:val="00440C5C"/>
    <w:rsid w:val="00441078"/>
    <w:rsid w:val="004448E1"/>
    <w:rsid w:val="00475F83"/>
    <w:rsid w:val="00477F68"/>
    <w:rsid w:val="0048549C"/>
    <w:rsid w:val="00490EEE"/>
    <w:rsid w:val="004A1352"/>
    <w:rsid w:val="004E2899"/>
    <w:rsid w:val="0050712A"/>
    <w:rsid w:val="005228F3"/>
    <w:rsid w:val="00524A4F"/>
    <w:rsid w:val="005400D7"/>
    <w:rsid w:val="00567417"/>
    <w:rsid w:val="005875A6"/>
    <w:rsid w:val="005B7630"/>
    <w:rsid w:val="005D0966"/>
    <w:rsid w:val="005E1C56"/>
    <w:rsid w:val="00602B44"/>
    <w:rsid w:val="00606012"/>
    <w:rsid w:val="006331D0"/>
    <w:rsid w:val="00636F54"/>
    <w:rsid w:val="0064663B"/>
    <w:rsid w:val="006536C3"/>
    <w:rsid w:val="0068510E"/>
    <w:rsid w:val="00694E57"/>
    <w:rsid w:val="006A7EE3"/>
    <w:rsid w:val="006B55B7"/>
    <w:rsid w:val="006F1479"/>
    <w:rsid w:val="006F34D4"/>
    <w:rsid w:val="00704858"/>
    <w:rsid w:val="00720863"/>
    <w:rsid w:val="00724CBE"/>
    <w:rsid w:val="00732399"/>
    <w:rsid w:val="007434EF"/>
    <w:rsid w:val="00761D1E"/>
    <w:rsid w:val="00764FCC"/>
    <w:rsid w:val="007874D7"/>
    <w:rsid w:val="00791CCE"/>
    <w:rsid w:val="007A18DE"/>
    <w:rsid w:val="007B51E0"/>
    <w:rsid w:val="007C7F06"/>
    <w:rsid w:val="007E630C"/>
    <w:rsid w:val="007E63A7"/>
    <w:rsid w:val="008045E4"/>
    <w:rsid w:val="00816496"/>
    <w:rsid w:val="00826111"/>
    <w:rsid w:val="00826F14"/>
    <w:rsid w:val="00855B75"/>
    <w:rsid w:val="0088010D"/>
    <w:rsid w:val="008A5751"/>
    <w:rsid w:val="008B282D"/>
    <w:rsid w:val="008D22B1"/>
    <w:rsid w:val="008D325D"/>
    <w:rsid w:val="008E4622"/>
    <w:rsid w:val="00914288"/>
    <w:rsid w:val="00961DA9"/>
    <w:rsid w:val="00967074"/>
    <w:rsid w:val="00972851"/>
    <w:rsid w:val="00984E80"/>
    <w:rsid w:val="00996374"/>
    <w:rsid w:val="00996E37"/>
    <w:rsid w:val="009B2C1E"/>
    <w:rsid w:val="009E6BC4"/>
    <w:rsid w:val="00A00328"/>
    <w:rsid w:val="00A05B58"/>
    <w:rsid w:val="00A1326E"/>
    <w:rsid w:val="00A25C9E"/>
    <w:rsid w:val="00A407AD"/>
    <w:rsid w:val="00A53892"/>
    <w:rsid w:val="00A56871"/>
    <w:rsid w:val="00A61AD0"/>
    <w:rsid w:val="00A9135A"/>
    <w:rsid w:val="00A91E59"/>
    <w:rsid w:val="00AA0211"/>
    <w:rsid w:val="00AA4CA8"/>
    <w:rsid w:val="00AA6138"/>
    <w:rsid w:val="00AB657D"/>
    <w:rsid w:val="00AB78B6"/>
    <w:rsid w:val="00AC2943"/>
    <w:rsid w:val="00AD557C"/>
    <w:rsid w:val="00AE3B44"/>
    <w:rsid w:val="00B01AF8"/>
    <w:rsid w:val="00B148BB"/>
    <w:rsid w:val="00B54CFC"/>
    <w:rsid w:val="00B71505"/>
    <w:rsid w:val="00B8644C"/>
    <w:rsid w:val="00B95788"/>
    <w:rsid w:val="00BC7E92"/>
    <w:rsid w:val="00BE477F"/>
    <w:rsid w:val="00BF2724"/>
    <w:rsid w:val="00BF6FF8"/>
    <w:rsid w:val="00BF7C35"/>
    <w:rsid w:val="00C01097"/>
    <w:rsid w:val="00C03FB3"/>
    <w:rsid w:val="00C1598E"/>
    <w:rsid w:val="00C20237"/>
    <w:rsid w:val="00C21E7E"/>
    <w:rsid w:val="00C66A36"/>
    <w:rsid w:val="00C71CD0"/>
    <w:rsid w:val="00C860E9"/>
    <w:rsid w:val="00C956E8"/>
    <w:rsid w:val="00CA33EC"/>
    <w:rsid w:val="00CA7C7B"/>
    <w:rsid w:val="00CD0280"/>
    <w:rsid w:val="00CD470A"/>
    <w:rsid w:val="00CD4BE5"/>
    <w:rsid w:val="00CF240B"/>
    <w:rsid w:val="00CF34FA"/>
    <w:rsid w:val="00D15480"/>
    <w:rsid w:val="00D16075"/>
    <w:rsid w:val="00D2065E"/>
    <w:rsid w:val="00D277D7"/>
    <w:rsid w:val="00D45CA1"/>
    <w:rsid w:val="00D47476"/>
    <w:rsid w:val="00D70D4C"/>
    <w:rsid w:val="00D77609"/>
    <w:rsid w:val="00D81FF3"/>
    <w:rsid w:val="00D8256C"/>
    <w:rsid w:val="00D86F59"/>
    <w:rsid w:val="00DC1DE1"/>
    <w:rsid w:val="00DE527F"/>
    <w:rsid w:val="00DE7DA8"/>
    <w:rsid w:val="00E41C69"/>
    <w:rsid w:val="00E71990"/>
    <w:rsid w:val="00E73787"/>
    <w:rsid w:val="00E84251"/>
    <w:rsid w:val="00EA4A32"/>
    <w:rsid w:val="00EA6BBA"/>
    <w:rsid w:val="00EB560E"/>
    <w:rsid w:val="00EC395B"/>
    <w:rsid w:val="00EE4EFE"/>
    <w:rsid w:val="00EF43ED"/>
    <w:rsid w:val="00EF49F2"/>
    <w:rsid w:val="00EF6084"/>
    <w:rsid w:val="00F46B9C"/>
    <w:rsid w:val="00F731EF"/>
    <w:rsid w:val="00FB6315"/>
    <w:rsid w:val="00FC37E8"/>
    <w:rsid w:val="00FD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F28E1"/>
  <w15:chartTrackingRefBased/>
  <w15:docId w15:val="{F0BE388C-AC69-4D3A-B69A-5E39EC45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7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2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7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7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7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2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50BE4"/>
    <w:pPr>
      <w:spacing w:after="0" w:line="240" w:lineRule="auto"/>
    </w:pPr>
  </w:style>
  <w:style w:type="table" w:styleId="TableGrid">
    <w:name w:val="Table Grid"/>
    <w:basedOn w:val="TableNormal"/>
    <w:uiPriority w:val="39"/>
    <w:rsid w:val="00EC3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57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788"/>
  </w:style>
  <w:style w:type="paragraph" w:styleId="Footer">
    <w:name w:val="footer"/>
    <w:basedOn w:val="Normal"/>
    <w:link w:val="FooterChar"/>
    <w:uiPriority w:val="99"/>
    <w:unhideWhenUsed/>
    <w:rsid w:val="00B957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1B449ED-E9BC-4764-81F9-4914ECEEC998}">
  <we:reference id="wa104382081" version="1.55.1.0" store="en-GB" storeType="OMEX"/>
  <we:alternateReferences>
    <we:reference id="WA104382081" version="1.55.1.0" store="en-GB" storeType="OMEX"/>
  </we:alternateReferences>
  <we:properties>
    <we:property name="MENDELEY_CITATIONS" value="[]"/>
    <we:property name="MENDELEY_CITATIONS_LOCALE_CODE" value="&quot;en-GB&quot;"/>
    <we:property name="MENDELEY_CITATIONS_STYLE" value="{&quot;id&quot;:&quot;https://www.zotero.org/styles/sage-vancouver-brackets&quot;,&quot;title&quot;:&quot;SAGE - Vancouver (brackets)&quot;,&quot;format&quot;:&quot;numeric&quot;,&quot;defaultLocale&quot;:&quot;en-GB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DD271-026F-4E3B-B835-CC686BC8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Badrieh Fazeli</dc:creator>
  <cp:keywords/>
  <dc:description/>
  <cp:lastModifiedBy>Badrieh Fazeli</cp:lastModifiedBy>
  <cp:revision>110</cp:revision>
  <dcterms:created xsi:type="dcterms:W3CDTF">2023-09-19T09:48:00Z</dcterms:created>
  <dcterms:modified xsi:type="dcterms:W3CDTF">2024-01-15T11:24:00Z</dcterms:modified>
</cp:coreProperties>
</file>