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86526" w14:textId="77777777" w:rsidR="00A364D0" w:rsidRPr="00C44DDB" w:rsidRDefault="00A364D0" w:rsidP="00A364D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C44D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Supplementary material</w:t>
      </w:r>
    </w:p>
    <w:p w14:paraId="7E686527" w14:textId="77777777" w:rsidR="00A364D0" w:rsidRPr="00C44DDB" w:rsidRDefault="00A364D0" w:rsidP="00A364D0">
      <w:pPr>
        <w:tabs>
          <w:tab w:val="left" w:pos="709"/>
          <w:tab w:val="left" w:pos="2127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44D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object w:dxaOrig="8328" w:dyaOrig="7461" w14:anchorId="7E686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82pt" o:ole="">
            <v:imagedata r:id="rId4" o:title=""/>
          </v:shape>
          <o:OLEObject Type="Embed" ProgID="Prism9.Document" ShapeID="_x0000_i1025" DrawAspect="Content" ObjectID="_1749382981" r:id="rId5"/>
        </w:object>
      </w:r>
    </w:p>
    <w:p w14:paraId="7E686528" w14:textId="77777777" w:rsidR="00A364D0" w:rsidRPr="00D768E4" w:rsidRDefault="00A364D0" w:rsidP="00A364D0">
      <w:pPr>
        <w:tabs>
          <w:tab w:val="left" w:pos="709"/>
          <w:tab w:val="left" w:pos="212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768E4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S1 Correlations among CSF and plasma Aβ42/Aβ40 assessed by N3PA and N4PE assays. </w:t>
      </w:r>
      <w:r w:rsidRPr="00D768E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Heatmap presenting results of Spearman correlation analysis for CSF and plasma Aβ42/Aβ40 assessed across the whole cohort by N3PA and N4PE assays. The color gradient indicates the strength of correlation according to Spearman ρ. </w:t>
      </w:r>
    </w:p>
    <w:p w14:paraId="7E686529" w14:textId="77777777" w:rsidR="00A364D0" w:rsidRPr="00C44DDB" w:rsidRDefault="00A364D0" w:rsidP="00A364D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E68652A" w14:textId="77777777" w:rsidR="00A364D0" w:rsidRPr="00C44DDB" w:rsidRDefault="00A364D0" w:rsidP="00A364D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E68652B" w14:textId="77777777" w:rsidR="00A364D0" w:rsidRPr="00C44DDB" w:rsidRDefault="00A364D0" w:rsidP="00A364D0">
      <w:pPr>
        <w:spacing w:line="360" w:lineRule="auto"/>
        <w:rPr>
          <w:noProof/>
          <w:lang w:val="en-US"/>
        </w:rPr>
      </w:pPr>
    </w:p>
    <w:p w14:paraId="7E68652C" w14:textId="36029CA0" w:rsidR="00A364D0" w:rsidRPr="00A14D2A" w:rsidRDefault="00A364D0" w:rsidP="00A364D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C44DDB">
        <w:rPr>
          <w:noProof/>
          <w:lang w:val="en-US"/>
        </w:rPr>
        <w:lastRenderedPageBreak/>
        <w:drawing>
          <wp:inline distT="0" distB="0" distL="0" distR="0" wp14:anchorId="7E68658C" wp14:editId="7E68658D">
            <wp:extent cx="5760720" cy="4551045"/>
            <wp:effectExtent l="0" t="0" r="0" b="1905"/>
            <wp:docPr id="1800423226" name="Obraz 1" descr="Obraz zawierający tekst, diagram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23226" name="Obraz 1" descr="Obraz zawierający tekst, diagram, zrzut ekranu, lini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8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S2</w:t>
      </w:r>
      <w:r w:rsidRPr="00D768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Plasma </w:t>
      </w:r>
      <w:r w:rsidRPr="00D768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Aβ42/40</w:t>
      </w:r>
      <w:r w:rsidRPr="00D76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pl-PL"/>
        </w:rPr>
        <w:t xml:space="preserve"> </w:t>
      </w:r>
      <w:r w:rsidRPr="00D768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among patients with and without chronic kidney disease (CKD) as assessed by e-GFR. e-GFR calculated by the Chronic Kidney Disease-Epidemiology Collaboration (CKD-EPI) formula with cut-off = 60 (mL/min/1.73m</w:t>
      </w:r>
      <w:r w:rsidRPr="00D768E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D768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</w:t>
      </w:r>
    </w:p>
    <w:p w14:paraId="7E68652D" w14:textId="77777777" w:rsidR="00A364D0" w:rsidRPr="00C44DDB" w:rsidRDefault="00A364D0" w:rsidP="00A364D0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C44DD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br w:type="page"/>
      </w:r>
    </w:p>
    <w:p w14:paraId="7E68652E" w14:textId="77777777" w:rsidR="00A364D0" w:rsidRPr="00C44DDB" w:rsidRDefault="00A364D0" w:rsidP="00A364D0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5"/>
        <w:gridCol w:w="1986"/>
        <w:gridCol w:w="1969"/>
        <w:gridCol w:w="2722"/>
        <w:gridCol w:w="240"/>
      </w:tblGrid>
      <w:tr w:rsidR="00A364D0" w:rsidRPr="007B7595" w14:paraId="7E686533" w14:textId="77777777" w:rsidTr="007B7595">
        <w:trPr>
          <w:gridAfter w:val="1"/>
          <w:wAfter w:w="133" w:type="pct"/>
          <w:trHeight w:val="54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2F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Comparison</w:t>
            </w:r>
          </w:p>
        </w:tc>
        <w:tc>
          <w:tcPr>
            <w:tcW w:w="1095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686530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Aβ42/40 assay</w:t>
            </w:r>
          </w:p>
        </w:tc>
        <w:tc>
          <w:tcPr>
            <w:tcW w:w="1085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31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AUC non-adjusted</w:t>
            </w:r>
          </w:p>
        </w:tc>
        <w:tc>
          <w:tcPr>
            <w:tcW w:w="1500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32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95% CI (Wilson/Brown)</w:t>
            </w:r>
          </w:p>
        </w:tc>
      </w:tr>
      <w:tr w:rsidR="00A364D0" w:rsidRPr="007B7595" w14:paraId="7E686539" w14:textId="77777777" w:rsidTr="007B7595">
        <w:trPr>
          <w:trHeight w:val="37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34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35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36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500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37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538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</w:tr>
      <w:tr w:rsidR="00A364D0" w:rsidRPr="007B7595" w14:paraId="7E68653F" w14:textId="77777777" w:rsidTr="007B7595">
        <w:trPr>
          <w:trHeight w:val="30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3A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da-DK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da-DK" w:eastAsia="pl-PL"/>
              </w:rPr>
              <w:t>CSF CTRL vs. AD-dem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3B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 xml:space="preserve">N4PE 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3C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0.992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3D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0.977-1.000</w:t>
            </w:r>
          </w:p>
        </w:tc>
        <w:tc>
          <w:tcPr>
            <w:tcW w:w="133" w:type="pct"/>
            <w:vAlign w:val="center"/>
            <w:hideMark/>
          </w:tcPr>
          <w:p w14:paraId="7E68653E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45" w14:textId="77777777" w:rsidTr="007B7595">
        <w:trPr>
          <w:trHeight w:val="30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40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1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2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0.999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3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0.994-1.000</w:t>
            </w:r>
          </w:p>
        </w:tc>
        <w:tc>
          <w:tcPr>
            <w:tcW w:w="133" w:type="pct"/>
            <w:vAlign w:val="center"/>
            <w:hideMark/>
          </w:tcPr>
          <w:p w14:paraId="7E686544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4B" w14:textId="77777777" w:rsidTr="007B7595">
        <w:trPr>
          <w:trHeight w:val="43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46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CSF CTRL vs. MCI-AD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47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N4PE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48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49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0.994-1.000</w:t>
            </w:r>
          </w:p>
        </w:tc>
        <w:tc>
          <w:tcPr>
            <w:tcW w:w="133" w:type="pct"/>
            <w:vAlign w:val="center"/>
            <w:hideMark/>
          </w:tcPr>
          <w:p w14:paraId="7E68654A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51" w14:textId="77777777" w:rsidTr="007B7595">
        <w:trPr>
          <w:trHeight w:val="30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4C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D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E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1.000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4F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0.998-1.000</w:t>
            </w:r>
          </w:p>
        </w:tc>
        <w:tc>
          <w:tcPr>
            <w:tcW w:w="133" w:type="pct"/>
            <w:vAlign w:val="center"/>
            <w:hideMark/>
          </w:tcPr>
          <w:p w14:paraId="7E686550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57" w14:textId="77777777" w:rsidTr="007B7595">
        <w:trPr>
          <w:trHeight w:val="30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52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CSF CTRL vs. pre-AD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53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N4PE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54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0.997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55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0.990-1.000</w:t>
            </w:r>
          </w:p>
        </w:tc>
        <w:tc>
          <w:tcPr>
            <w:tcW w:w="133" w:type="pct"/>
            <w:vAlign w:val="center"/>
            <w:hideMark/>
          </w:tcPr>
          <w:p w14:paraId="7E686556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5D" w14:textId="77777777" w:rsidTr="007B7595">
        <w:trPr>
          <w:trHeight w:val="34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58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59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5A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0.999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5B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0.996-1.000</w:t>
            </w:r>
          </w:p>
        </w:tc>
        <w:tc>
          <w:tcPr>
            <w:tcW w:w="133" w:type="pct"/>
            <w:vAlign w:val="center"/>
            <w:hideMark/>
          </w:tcPr>
          <w:p w14:paraId="7E68655C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63" w14:textId="77777777" w:rsidTr="007B7595">
        <w:trPr>
          <w:trHeight w:val="30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5E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da-DK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da-DK" w:eastAsia="pl-PL"/>
              </w:rPr>
              <w:t>Plasma CTRL vs. AD-dem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5F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N4PE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60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0.773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61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0.664-0.882</w:t>
            </w:r>
          </w:p>
        </w:tc>
        <w:tc>
          <w:tcPr>
            <w:tcW w:w="133" w:type="pct"/>
            <w:vAlign w:val="center"/>
            <w:hideMark/>
          </w:tcPr>
          <w:p w14:paraId="7E686562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69" w14:textId="77777777" w:rsidTr="007B7595">
        <w:trPr>
          <w:trHeight w:val="30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64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65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66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0.684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67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0.557-0.811</w:t>
            </w:r>
          </w:p>
        </w:tc>
        <w:tc>
          <w:tcPr>
            <w:tcW w:w="133" w:type="pct"/>
            <w:vAlign w:val="center"/>
            <w:hideMark/>
          </w:tcPr>
          <w:p w14:paraId="7E686568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6F" w14:textId="77777777" w:rsidTr="007B7595">
        <w:trPr>
          <w:trHeight w:val="31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6A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  <w:t xml:space="preserve"> Plasma CTRL vs. MCI-AD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6B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N4PE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6C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0.793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6D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0.694-0.892</w:t>
            </w:r>
          </w:p>
        </w:tc>
        <w:tc>
          <w:tcPr>
            <w:tcW w:w="133" w:type="pct"/>
            <w:vAlign w:val="center"/>
            <w:hideMark/>
          </w:tcPr>
          <w:p w14:paraId="7E68656E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75" w14:textId="77777777" w:rsidTr="007B7595">
        <w:trPr>
          <w:trHeight w:val="30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70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1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2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0.716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3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0.596-0.837</w:t>
            </w:r>
          </w:p>
        </w:tc>
        <w:tc>
          <w:tcPr>
            <w:tcW w:w="133" w:type="pct"/>
            <w:vAlign w:val="center"/>
            <w:hideMark/>
          </w:tcPr>
          <w:p w14:paraId="7E686574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7B" w14:textId="77777777" w:rsidTr="007B7595">
        <w:trPr>
          <w:trHeight w:val="300"/>
          <w:jc w:val="center"/>
        </w:trPr>
        <w:tc>
          <w:tcPr>
            <w:tcW w:w="1188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686576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</w:pPr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  <w:t xml:space="preserve">Plasma CTRL vs. </w:t>
            </w:r>
            <w:proofErr w:type="spellStart"/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  <w:t>pre</w:t>
            </w:r>
            <w:proofErr w:type="spellEnd"/>
            <w:r w:rsidRPr="007B7595">
              <w:rPr>
                <w:rFonts w:ascii="Times New Roman" w:eastAsia="Times New Roman" w:hAnsi="Times New Roman" w:cs="Times New Roman"/>
                <w:b/>
                <w:bCs/>
                <w:color w:val="000000"/>
                <w:lang w:val="it-IT" w:eastAsia="pl-PL"/>
              </w:rPr>
              <w:t>-AD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77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N4PE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78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0.914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6579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0.834-0.994</w:t>
            </w:r>
          </w:p>
        </w:tc>
        <w:tc>
          <w:tcPr>
            <w:tcW w:w="133" w:type="pct"/>
            <w:vAlign w:val="center"/>
            <w:hideMark/>
          </w:tcPr>
          <w:p w14:paraId="7E68657A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81" w14:textId="77777777" w:rsidTr="007B7595">
        <w:trPr>
          <w:trHeight w:val="300"/>
          <w:jc w:val="center"/>
        </w:trPr>
        <w:tc>
          <w:tcPr>
            <w:tcW w:w="1188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68657C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D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N3PA</w:t>
            </w:r>
          </w:p>
        </w:tc>
        <w:tc>
          <w:tcPr>
            <w:tcW w:w="108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E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0.726</w:t>
            </w:r>
          </w:p>
        </w:tc>
        <w:tc>
          <w:tcPr>
            <w:tcW w:w="150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657F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  <w:r w:rsidRPr="007B7595"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  <w:t>0.595-0.857</w:t>
            </w:r>
          </w:p>
        </w:tc>
        <w:tc>
          <w:tcPr>
            <w:tcW w:w="133" w:type="pct"/>
            <w:vAlign w:val="center"/>
            <w:hideMark/>
          </w:tcPr>
          <w:p w14:paraId="7E686580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A364D0" w:rsidRPr="007B7595" w14:paraId="7E686587" w14:textId="77777777" w:rsidTr="007B7595">
        <w:trPr>
          <w:trHeight w:val="300"/>
          <w:jc w:val="center"/>
        </w:trPr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582" w14:textId="77777777" w:rsidR="00A364D0" w:rsidRPr="007B7595" w:rsidRDefault="00A364D0" w:rsidP="00C9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l-PL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583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584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585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133" w:type="pct"/>
            <w:vAlign w:val="center"/>
            <w:hideMark/>
          </w:tcPr>
          <w:p w14:paraId="7E686586" w14:textId="77777777" w:rsidR="00A364D0" w:rsidRPr="007B7595" w:rsidRDefault="00A364D0" w:rsidP="00C913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</w:tbl>
    <w:p w14:paraId="7E686588" w14:textId="77777777" w:rsidR="00A364D0" w:rsidRPr="00D768E4" w:rsidRDefault="00A364D0" w:rsidP="00A364D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D768E4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US"/>
        </w:rPr>
        <w:t>Table S1</w:t>
      </w:r>
      <w:r w:rsidRPr="00D768E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Area Under Curve (AUC) values for comparison of </w:t>
      </w:r>
      <w:r w:rsidRPr="00D768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accuracy of each assay to discriminate between control group and different AD continuum stages (pre-AD, MCI-AD, AD-dem). AUC values with 95% CI calculated by using Wilson/Brown method and AUC values for age- and gender-adjusted AUC with 95% CI calculated by using </w:t>
      </w:r>
      <w:r w:rsidRPr="00D768E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2000 bootstrap replicates. AD: Alzheimer’s disease, pre-AD: preclinical AD, MCI-AD: mild cognitive impairment due to AD, AD-dem: AD at dementia stage, CTRL: control group.</w:t>
      </w:r>
    </w:p>
    <w:p w14:paraId="7E686589" w14:textId="77777777" w:rsidR="00A364D0" w:rsidRPr="00D768E4" w:rsidRDefault="00A364D0" w:rsidP="00A364D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E68658A" w14:textId="77777777" w:rsidR="00F53D01" w:rsidRPr="00A14D2A" w:rsidRDefault="00F53D01">
      <w:pPr>
        <w:rPr>
          <w:lang w:val="en-US"/>
        </w:rPr>
      </w:pPr>
    </w:p>
    <w:sectPr w:rsidR="00F53D01" w:rsidRPr="00A14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C66"/>
    <w:rsid w:val="000028FD"/>
    <w:rsid w:val="000416F9"/>
    <w:rsid w:val="00126B46"/>
    <w:rsid w:val="00155F3A"/>
    <w:rsid w:val="00183BF7"/>
    <w:rsid w:val="001C0927"/>
    <w:rsid w:val="00210230"/>
    <w:rsid w:val="002826F4"/>
    <w:rsid w:val="002A7629"/>
    <w:rsid w:val="002B63FB"/>
    <w:rsid w:val="002D5A6F"/>
    <w:rsid w:val="003217AA"/>
    <w:rsid w:val="00337FC2"/>
    <w:rsid w:val="00377466"/>
    <w:rsid w:val="003A3E5C"/>
    <w:rsid w:val="003D70B6"/>
    <w:rsid w:val="00417738"/>
    <w:rsid w:val="00450E01"/>
    <w:rsid w:val="00465343"/>
    <w:rsid w:val="0047620D"/>
    <w:rsid w:val="00477650"/>
    <w:rsid w:val="004971B8"/>
    <w:rsid w:val="004B1598"/>
    <w:rsid w:val="004F39A9"/>
    <w:rsid w:val="0052493B"/>
    <w:rsid w:val="005359C3"/>
    <w:rsid w:val="00561791"/>
    <w:rsid w:val="00595557"/>
    <w:rsid w:val="005B2E0B"/>
    <w:rsid w:val="005F4E5E"/>
    <w:rsid w:val="00621257"/>
    <w:rsid w:val="006307F5"/>
    <w:rsid w:val="006707F4"/>
    <w:rsid w:val="0068061D"/>
    <w:rsid w:val="00680DEC"/>
    <w:rsid w:val="00682216"/>
    <w:rsid w:val="00706BB0"/>
    <w:rsid w:val="007B6426"/>
    <w:rsid w:val="007B7595"/>
    <w:rsid w:val="007D0403"/>
    <w:rsid w:val="007F43A5"/>
    <w:rsid w:val="00812B38"/>
    <w:rsid w:val="00831F1E"/>
    <w:rsid w:val="008A3C1D"/>
    <w:rsid w:val="00933DF9"/>
    <w:rsid w:val="009934FC"/>
    <w:rsid w:val="00994FB9"/>
    <w:rsid w:val="009F0F9A"/>
    <w:rsid w:val="00A00BE4"/>
    <w:rsid w:val="00A14D2A"/>
    <w:rsid w:val="00A364D0"/>
    <w:rsid w:val="00A36C66"/>
    <w:rsid w:val="00A509E5"/>
    <w:rsid w:val="00A8625E"/>
    <w:rsid w:val="00AA7AD5"/>
    <w:rsid w:val="00AB3C89"/>
    <w:rsid w:val="00AC11E9"/>
    <w:rsid w:val="00AC5957"/>
    <w:rsid w:val="00AE6936"/>
    <w:rsid w:val="00B031B0"/>
    <w:rsid w:val="00B42DFD"/>
    <w:rsid w:val="00B50169"/>
    <w:rsid w:val="00B5534C"/>
    <w:rsid w:val="00B71091"/>
    <w:rsid w:val="00B756BC"/>
    <w:rsid w:val="00B91D1C"/>
    <w:rsid w:val="00B96308"/>
    <w:rsid w:val="00BA46CF"/>
    <w:rsid w:val="00BB796A"/>
    <w:rsid w:val="00BD7BD5"/>
    <w:rsid w:val="00C260F1"/>
    <w:rsid w:val="00C347A0"/>
    <w:rsid w:val="00C80FA0"/>
    <w:rsid w:val="00CA173A"/>
    <w:rsid w:val="00CB4D77"/>
    <w:rsid w:val="00CE69F4"/>
    <w:rsid w:val="00D34E87"/>
    <w:rsid w:val="00D768E4"/>
    <w:rsid w:val="00DA3116"/>
    <w:rsid w:val="00DC541E"/>
    <w:rsid w:val="00DE6CBF"/>
    <w:rsid w:val="00E047A2"/>
    <w:rsid w:val="00E30EFA"/>
    <w:rsid w:val="00E60EDF"/>
    <w:rsid w:val="00E80A3A"/>
    <w:rsid w:val="00F21DAE"/>
    <w:rsid w:val="00F53D01"/>
    <w:rsid w:val="00F64D98"/>
    <w:rsid w:val="00F758F7"/>
    <w:rsid w:val="00F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6526"/>
  <w15:chartTrackingRefBased/>
  <w15:docId w15:val="{352764FD-7E2B-4CEE-A177-D5A9F4459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4D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Lidia Wojdala</dc:creator>
  <cp:keywords/>
  <dc:description/>
  <cp:lastModifiedBy>Davide Chiasserini</cp:lastModifiedBy>
  <cp:revision>5</cp:revision>
  <dcterms:created xsi:type="dcterms:W3CDTF">2023-06-26T13:16:00Z</dcterms:created>
  <dcterms:modified xsi:type="dcterms:W3CDTF">2023-06-27T12:57:00Z</dcterms:modified>
</cp:coreProperties>
</file>