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21" w:type="dxa"/>
        <w:tblInd w:w="-152" w:type="dxa"/>
        <w:tblCellMar>
          <w:left w:w="0" w:type="dxa"/>
          <w:right w:w="0" w:type="dxa"/>
        </w:tblCellMar>
        <w:tblLook w:val="0420" w:firstRow="1" w:lastRow="0" w:firstColumn="0" w:lastColumn="0" w:noHBand="0" w:noVBand="1"/>
      </w:tblPr>
      <w:tblGrid>
        <w:gridCol w:w="6445"/>
        <w:gridCol w:w="1273"/>
        <w:gridCol w:w="1503"/>
      </w:tblGrid>
      <w:tr>
        <w:trPr>
          <w:trHeight w:val="38"/>
        </w:trPr>
        <w:tc>
          <w:tcPr>
            <w:tcW w:w="6445" w:type="dxa"/>
            <w:tcBorders>
              <w:top w:val="single" w:sz="8" w:space="0" w:color="000000"/>
              <w:left w:val="single" w:sz="8" w:space="0" w:color="000000"/>
              <w:bottom w:val="single" w:sz="8" w:space="0" w:color="000000"/>
              <w:right w:val="single" w:sz="8" w:space="0" w:color="000000"/>
            </w:tcBorders>
            <w:shd w:val="clear" w:color="auto" w:fill="D9D9D9"/>
            <w:tcMar>
              <w:top w:w="41" w:type="dxa"/>
              <w:left w:w="81" w:type="dxa"/>
              <w:bottom w:w="41" w:type="dxa"/>
              <w:right w:w="81" w:type="dxa"/>
            </w:tcMar>
            <w:vAlign w:val="center"/>
            <w:hideMark/>
          </w:tcPr>
          <w:p>
            <w:pPr>
              <w:spacing w:after="0" w:line="240" w:lineRule="auto"/>
              <w:contextualSpacing/>
              <w:jc w:val="both"/>
              <w:rPr>
                <w:rFonts w:ascii="Helvetica" w:hAnsi="Helvetica"/>
                <w:b/>
                <w:sz w:val="20"/>
                <w:szCs w:val="20"/>
                <w:lang w:val="en-GB"/>
              </w:rPr>
            </w:pPr>
            <w:r>
              <w:rPr>
                <w:rFonts w:ascii="Helvetica" w:hAnsi="Helvetica"/>
                <w:b/>
                <w:sz w:val="20"/>
                <w:szCs w:val="20"/>
                <w:lang w:val="en-GB"/>
              </w:rPr>
              <w:t>A. LIST OF CHAPTERS</w:t>
            </w:r>
          </w:p>
        </w:tc>
        <w:tc>
          <w:tcPr>
            <w:tcW w:w="1273" w:type="dxa"/>
            <w:tcBorders>
              <w:top w:val="single" w:sz="8" w:space="0" w:color="000000"/>
              <w:left w:val="single" w:sz="8" w:space="0" w:color="000000"/>
              <w:bottom w:val="single" w:sz="8" w:space="0" w:color="000000"/>
              <w:right w:val="single" w:sz="8" w:space="0" w:color="000000"/>
            </w:tcBorders>
            <w:shd w:val="clear" w:color="auto" w:fill="D9D9D9"/>
            <w:tcMar>
              <w:top w:w="41" w:type="dxa"/>
              <w:left w:w="81" w:type="dxa"/>
              <w:bottom w:w="41" w:type="dxa"/>
              <w:right w:w="81" w:type="dxa"/>
            </w:tcMar>
            <w:vAlign w:val="center"/>
            <w:hideMark/>
          </w:tcPr>
          <w:p>
            <w:pPr>
              <w:spacing w:after="0" w:line="240" w:lineRule="auto"/>
              <w:contextualSpacing/>
              <w:jc w:val="both"/>
              <w:rPr>
                <w:rFonts w:ascii="Helvetica" w:hAnsi="Helvetica"/>
                <w:b/>
                <w:sz w:val="20"/>
                <w:szCs w:val="20"/>
                <w:lang w:val="en-GB"/>
              </w:rPr>
            </w:pPr>
            <w:r>
              <w:rPr>
                <w:rFonts w:ascii="Helvetica" w:hAnsi="Helvetica"/>
                <w:b/>
                <w:sz w:val="20"/>
                <w:szCs w:val="20"/>
                <w:lang w:val="en-GB"/>
              </w:rPr>
              <w:t>Chap.</w:t>
            </w:r>
          </w:p>
        </w:tc>
        <w:tc>
          <w:tcPr>
            <w:tcW w:w="1503" w:type="dxa"/>
            <w:tcBorders>
              <w:top w:val="single" w:sz="8" w:space="0" w:color="000000"/>
              <w:left w:val="single" w:sz="8" w:space="0" w:color="000000"/>
              <w:bottom w:val="single" w:sz="8" w:space="0" w:color="000000"/>
              <w:right w:val="single" w:sz="8" w:space="0" w:color="000000"/>
            </w:tcBorders>
            <w:shd w:val="clear" w:color="auto" w:fill="D9D9D9"/>
            <w:tcMar>
              <w:top w:w="41" w:type="dxa"/>
              <w:left w:w="81" w:type="dxa"/>
              <w:bottom w:w="41" w:type="dxa"/>
              <w:right w:w="81" w:type="dxa"/>
            </w:tcMar>
            <w:vAlign w:val="center"/>
            <w:hideMark/>
          </w:tcPr>
          <w:p>
            <w:pPr>
              <w:spacing w:after="0" w:line="240" w:lineRule="auto"/>
              <w:contextualSpacing/>
              <w:jc w:val="both"/>
              <w:rPr>
                <w:rFonts w:ascii="Helvetica" w:hAnsi="Helvetica"/>
                <w:b/>
                <w:sz w:val="20"/>
                <w:szCs w:val="20"/>
                <w:lang w:val="en-GB"/>
              </w:rPr>
            </w:pPr>
            <w:r>
              <w:rPr>
                <w:rFonts w:ascii="Helvetica" w:hAnsi="Helvetica"/>
                <w:b/>
                <w:sz w:val="20"/>
                <w:szCs w:val="20"/>
                <w:lang w:val="en-GB"/>
              </w:rPr>
              <w:t>Articles</w:t>
            </w:r>
          </w:p>
        </w:tc>
      </w:tr>
      <w:tr>
        <w:trPr>
          <w:trHeight w:val="38"/>
        </w:trPr>
        <w:tc>
          <w:tcPr>
            <w:tcW w:w="6445"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 xml:space="preserve">Introductory provisions </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1 – 4</w:t>
            </w:r>
          </w:p>
        </w:tc>
      </w:tr>
      <w:tr>
        <w:trPr>
          <w:trHeight w:val="91"/>
        </w:trPr>
        <w:tc>
          <w:tcPr>
            <w:tcW w:w="6445"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Making available on the market and putting into service of devices, obligations of economic operators, CE marking, free movement</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II</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5 – 21</w:t>
            </w:r>
          </w:p>
        </w:tc>
      </w:tr>
      <w:tr>
        <w:trPr>
          <w:trHeight w:val="70"/>
        </w:trPr>
        <w:tc>
          <w:tcPr>
            <w:tcW w:w="6445"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Requirements regarding information supplied with the device</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III</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22 – 30</w:t>
            </w:r>
          </w:p>
        </w:tc>
      </w:tr>
      <w:tr>
        <w:trPr>
          <w:trHeight w:val="38"/>
        </w:trPr>
        <w:tc>
          <w:tcPr>
            <w:tcW w:w="6445"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Notified bodies</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IV</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31 – 46</w:t>
            </w:r>
          </w:p>
        </w:tc>
      </w:tr>
      <w:tr>
        <w:trPr>
          <w:trHeight w:val="38"/>
        </w:trPr>
        <w:tc>
          <w:tcPr>
            <w:tcW w:w="6445" w:type="dxa"/>
            <w:tcBorders>
              <w:top w:val="single" w:sz="8" w:space="0" w:color="000000"/>
              <w:left w:val="single" w:sz="8" w:space="0" w:color="000000"/>
              <w:bottom w:val="single" w:sz="4" w:space="0" w:color="auto"/>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Classification and conformity assessment</w:t>
            </w:r>
          </w:p>
        </w:tc>
        <w:tc>
          <w:tcPr>
            <w:tcW w:w="1273" w:type="dxa"/>
            <w:tcBorders>
              <w:top w:val="single" w:sz="8" w:space="0" w:color="000000"/>
              <w:left w:val="single" w:sz="8" w:space="0" w:color="000000"/>
              <w:bottom w:val="single" w:sz="4" w:space="0" w:color="auto"/>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V</w:t>
            </w:r>
          </w:p>
        </w:tc>
        <w:tc>
          <w:tcPr>
            <w:tcW w:w="1503" w:type="dxa"/>
            <w:tcBorders>
              <w:top w:val="single" w:sz="8" w:space="0" w:color="000000"/>
              <w:left w:val="single" w:sz="8" w:space="0" w:color="000000"/>
              <w:bottom w:val="single" w:sz="4" w:space="0" w:color="auto"/>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47 – 55</w:t>
            </w:r>
          </w:p>
        </w:tc>
      </w:tr>
      <w:tr>
        <w:trPr>
          <w:trHeight w:val="65"/>
        </w:trPr>
        <w:tc>
          <w:tcPr>
            <w:tcW w:w="6445" w:type="dxa"/>
            <w:tcBorders>
              <w:top w:val="single" w:sz="4" w:space="0" w:color="auto"/>
              <w:left w:val="single" w:sz="4" w:space="0" w:color="auto"/>
              <w:bottom w:val="single" w:sz="4" w:space="0" w:color="auto"/>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Clinical evidence, performance evaluation and performance studies</w:t>
            </w:r>
          </w:p>
        </w:tc>
        <w:tc>
          <w:tcPr>
            <w:tcW w:w="1273" w:type="dxa"/>
            <w:tcBorders>
              <w:top w:val="single" w:sz="4" w:space="0" w:color="auto"/>
              <w:left w:val="single" w:sz="8" w:space="0" w:color="000000"/>
              <w:bottom w:val="single" w:sz="4" w:space="0" w:color="auto"/>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VI</w:t>
            </w:r>
          </w:p>
        </w:tc>
        <w:tc>
          <w:tcPr>
            <w:tcW w:w="1503" w:type="dxa"/>
            <w:tcBorders>
              <w:top w:val="single" w:sz="4" w:space="0" w:color="auto"/>
              <w:left w:val="single" w:sz="8" w:space="0" w:color="000000"/>
              <w:bottom w:val="single" w:sz="4" w:space="0" w:color="auto"/>
              <w:right w:val="single" w:sz="4" w:space="0" w:color="auto"/>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56 – 77</w:t>
            </w:r>
          </w:p>
        </w:tc>
      </w:tr>
      <w:tr>
        <w:trPr>
          <w:trHeight w:val="65"/>
        </w:trPr>
        <w:tc>
          <w:tcPr>
            <w:tcW w:w="6445" w:type="dxa"/>
            <w:tcBorders>
              <w:top w:val="single" w:sz="4" w:space="0" w:color="auto"/>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rPr>
            </w:pPr>
            <w:r>
              <w:rPr>
                <w:rFonts w:ascii="Helvetica" w:hAnsi="Helvetica"/>
                <w:sz w:val="20"/>
                <w:szCs w:val="20"/>
              </w:rPr>
              <w:t>Post-</w:t>
            </w:r>
            <w:proofErr w:type="spellStart"/>
            <w:r>
              <w:rPr>
                <w:rFonts w:ascii="Helvetica" w:hAnsi="Helvetica"/>
                <w:sz w:val="20"/>
                <w:szCs w:val="20"/>
              </w:rPr>
              <w:t>market</w:t>
            </w:r>
            <w:proofErr w:type="spellEnd"/>
            <w:r>
              <w:rPr>
                <w:rFonts w:ascii="Helvetica" w:hAnsi="Helvetica"/>
                <w:sz w:val="20"/>
                <w:szCs w:val="20"/>
              </w:rPr>
              <w:t xml:space="preserve"> surveillance, vigilance and </w:t>
            </w:r>
            <w:proofErr w:type="spellStart"/>
            <w:r>
              <w:rPr>
                <w:rFonts w:ascii="Helvetica" w:hAnsi="Helvetica"/>
                <w:sz w:val="20"/>
                <w:szCs w:val="20"/>
              </w:rPr>
              <w:t>market</w:t>
            </w:r>
            <w:proofErr w:type="spellEnd"/>
            <w:r>
              <w:rPr>
                <w:rFonts w:ascii="Helvetica" w:hAnsi="Helvetica"/>
                <w:sz w:val="20"/>
                <w:szCs w:val="20"/>
              </w:rPr>
              <w:t xml:space="preserve"> surveillance</w:t>
            </w:r>
          </w:p>
        </w:tc>
        <w:tc>
          <w:tcPr>
            <w:tcW w:w="1273" w:type="dxa"/>
            <w:tcBorders>
              <w:top w:val="single" w:sz="4" w:space="0" w:color="auto"/>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VII</w:t>
            </w:r>
          </w:p>
        </w:tc>
        <w:tc>
          <w:tcPr>
            <w:tcW w:w="1503" w:type="dxa"/>
            <w:tcBorders>
              <w:top w:val="single" w:sz="4" w:space="0" w:color="auto"/>
              <w:left w:val="single" w:sz="8" w:space="0" w:color="000000"/>
              <w:bottom w:val="single" w:sz="8" w:space="0" w:color="000000"/>
              <w:right w:val="single" w:sz="4" w:space="0" w:color="auto"/>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78 – 95</w:t>
            </w:r>
          </w:p>
        </w:tc>
      </w:tr>
      <w:tr>
        <w:trPr>
          <w:trHeight w:val="91"/>
        </w:trPr>
        <w:tc>
          <w:tcPr>
            <w:tcW w:w="6445"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Cooperation between member states, medical device coordination group, EU reference laboratories and device registers</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VIII</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96 – 101</w:t>
            </w:r>
          </w:p>
        </w:tc>
      </w:tr>
      <w:tr>
        <w:trPr>
          <w:trHeight w:val="38"/>
        </w:trPr>
        <w:tc>
          <w:tcPr>
            <w:tcW w:w="6445"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Confidentiality, data protection, funding and penalties</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IX</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102 – 106</w:t>
            </w:r>
          </w:p>
        </w:tc>
      </w:tr>
      <w:tr>
        <w:trPr>
          <w:trHeight w:val="38"/>
        </w:trPr>
        <w:tc>
          <w:tcPr>
            <w:tcW w:w="6445"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Final provisions</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X</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107 – 113</w:t>
            </w:r>
          </w:p>
        </w:tc>
      </w:tr>
      <w:tr>
        <w:trPr>
          <w:trHeight w:val="129"/>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D9D9D9"/>
            <w:tcMar>
              <w:top w:w="41" w:type="dxa"/>
              <w:left w:w="81" w:type="dxa"/>
              <w:bottom w:w="41" w:type="dxa"/>
              <w:right w:w="81" w:type="dxa"/>
            </w:tcMar>
            <w:vAlign w:val="center"/>
            <w:hideMark/>
          </w:tcPr>
          <w:p>
            <w:pPr>
              <w:spacing w:after="0" w:line="240" w:lineRule="auto"/>
              <w:contextualSpacing/>
              <w:jc w:val="both"/>
              <w:rPr>
                <w:rFonts w:ascii="Helvetica" w:hAnsi="Helvetica"/>
                <w:b/>
                <w:sz w:val="18"/>
                <w:szCs w:val="20"/>
                <w:lang w:val="en-GB"/>
              </w:rPr>
            </w:pPr>
            <w:r>
              <w:rPr>
                <w:rFonts w:ascii="Helvetica" w:hAnsi="Helvetica"/>
                <w:b/>
                <w:sz w:val="18"/>
                <w:szCs w:val="20"/>
                <w:lang w:val="en-GB"/>
              </w:rPr>
              <w:t>B. LIST OF ANNEX</w:t>
            </w:r>
          </w:p>
        </w:tc>
        <w:tc>
          <w:tcPr>
            <w:tcW w:w="1503" w:type="dxa"/>
            <w:tcBorders>
              <w:top w:val="single" w:sz="8" w:space="0" w:color="000000"/>
              <w:left w:val="single" w:sz="8" w:space="0" w:color="000000"/>
              <w:bottom w:val="single" w:sz="8" w:space="0" w:color="000000"/>
              <w:right w:val="single" w:sz="8" w:space="0" w:color="000000"/>
            </w:tcBorders>
            <w:shd w:val="clear" w:color="auto" w:fill="D9D9D9"/>
            <w:tcMar>
              <w:top w:w="41" w:type="dxa"/>
              <w:left w:w="81" w:type="dxa"/>
              <w:bottom w:w="41" w:type="dxa"/>
              <w:right w:w="81" w:type="dxa"/>
            </w:tcMar>
            <w:vAlign w:val="center"/>
            <w:hideMark/>
          </w:tcPr>
          <w:p>
            <w:pPr>
              <w:spacing w:after="0" w:line="240" w:lineRule="auto"/>
              <w:contextualSpacing/>
              <w:jc w:val="both"/>
              <w:rPr>
                <w:rFonts w:ascii="Helvetica" w:hAnsi="Helvetica"/>
                <w:b/>
                <w:sz w:val="18"/>
                <w:szCs w:val="20"/>
                <w:lang w:val="en-GB"/>
              </w:rPr>
            </w:pPr>
            <w:r>
              <w:rPr>
                <w:rFonts w:ascii="Helvetica" w:hAnsi="Helvetica"/>
                <w:b/>
                <w:sz w:val="18"/>
                <w:szCs w:val="20"/>
                <w:lang w:val="en-GB"/>
              </w:rPr>
              <w:t>Annex</w:t>
            </w:r>
          </w:p>
        </w:tc>
      </w:tr>
      <w:tr>
        <w:trPr>
          <w:trHeight w:val="115"/>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General safety and performance requirements</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w:t>
            </w:r>
          </w:p>
        </w:tc>
      </w:tr>
      <w:tr>
        <w:trPr>
          <w:trHeight w:val="115"/>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Technical documentation</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II</w:t>
            </w:r>
          </w:p>
        </w:tc>
      </w:tr>
      <w:tr>
        <w:trPr>
          <w:trHeight w:val="130"/>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rPr>
            </w:pPr>
            <w:proofErr w:type="spellStart"/>
            <w:r>
              <w:rPr>
                <w:rFonts w:ascii="Helvetica" w:hAnsi="Helvetica"/>
                <w:sz w:val="20"/>
                <w:szCs w:val="20"/>
              </w:rPr>
              <w:t>Technical</w:t>
            </w:r>
            <w:proofErr w:type="spellEnd"/>
            <w:r>
              <w:rPr>
                <w:rFonts w:ascii="Helvetica" w:hAnsi="Helvetica"/>
                <w:sz w:val="20"/>
                <w:szCs w:val="20"/>
              </w:rPr>
              <w:t xml:space="preserve"> documentation on post-</w:t>
            </w:r>
            <w:proofErr w:type="spellStart"/>
            <w:r>
              <w:rPr>
                <w:rFonts w:ascii="Helvetica" w:hAnsi="Helvetica"/>
                <w:sz w:val="20"/>
                <w:szCs w:val="20"/>
              </w:rPr>
              <w:t>market</w:t>
            </w:r>
            <w:proofErr w:type="spellEnd"/>
            <w:r>
              <w:rPr>
                <w:rFonts w:ascii="Helvetica" w:hAnsi="Helvetica"/>
                <w:sz w:val="20"/>
                <w:szCs w:val="20"/>
              </w:rPr>
              <w:t xml:space="preserve"> surveillance</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III</w:t>
            </w:r>
          </w:p>
        </w:tc>
      </w:tr>
      <w:tr>
        <w:trPr>
          <w:trHeight w:val="115"/>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EU declaration of conformity</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IV</w:t>
            </w:r>
          </w:p>
        </w:tc>
      </w:tr>
      <w:tr>
        <w:trPr>
          <w:trHeight w:val="115"/>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CE marking of conformity</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V</w:t>
            </w:r>
          </w:p>
        </w:tc>
      </w:tr>
      <w:tr>
        <w:trPr>
          <w:trHeight w:val="345"/>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Information to be submitted upon the registration of devices and economic operators in accordance with articles 26(3) and 28, core data elements to be provided to the UDI database together with the UDI-DI in accordance with articles 25 and 26 and the UDI system</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VI</w:t>
            </w:r>
          </w:p>
        </w:tc>
      </w:tr>
      <w:tr>
        <w:trPr>
          <w:trHeight w:val="115"/>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Requirements to be met by notified bodies</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VII</w:t>
            </w:r>
          </w:p>
        </w:tc>
      </w:tr>
      <w:tr>
        <w:trPr>
          <w:trHeight w:val="115"/>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Classification rules</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VIII</w:t>
            </w:r>
          </w:p>
        </w:tc>
      </w:tr>
      <w:tr>
        <w:trPr>
          <w:trHeight w:val="191"/>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Conformity assessment based on a quality management system and on assessment of technical documentation</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IX</w:t>
            </w:r>
          </w:p>
        </w:tc>
      </w:tr>
      <w:tr>
        <w:trPr>
          <w:trHeight w:val="115"/>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Conformity assessment based on type-examination</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X</w:t>
            </w:r>
          </w:p>
        </w:tc>
      </w:tr>
      <w:tr>
        <w:trPr>
          <w:trHeight w:val="115"/>
        </w:trPr>
        <w:tc>
          <w:tcPr>
            <w:tcW w:w="7718"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Conformity assessment based on production quality assurance</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XI</w:t>
            </w:r>
          </w:p>
        </w:tc>
      </w:tr>
      <w:tr>
        <w:trPr>
          <w:trHeight w:val="115"/>
        </w:trPr>
        <w:tc>
          <w:tcPr>
            <w:tcW w:w="7718" w:type="dxa"/>
            <w:gridSpan w:val="2"/>
            <w:tcBorders>
              <w:top w:val="single" w:sz="8" w:space="0" w:color="000000"/>
              <w:left w:val="single" w:sz="8" w:space="0" w:color="000000"/>
              <w:bottom w:val="single" w:sz="4" w:space="0" w:color="auto"/>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Certificates issued by a notified body</w:t>
            </w:r>
          </w:p>
        </w:tc>
        <w:tc>
          <w:tcPr>
            <w:tcW w:w="1503" w:type="dxa"/>
            <w:tcBorders>
              <w:top w:val="single" w:sz="8" w:space="0" w:color="000000"/>
              <w:left w:val="single" w:sz="8" w:space="0" w:color="000000"/>
              <w:bottom w:val="single" w:sz="4" w:space="0" w:color="auto"/>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XII</w:t>
            </w:r>
          </w:p>
        </w:tc>
      </w:tr>
      <w:tr>
        <w:trPr>
          <w:trHeight w:val="191"/>
        </w:trPr>
        <w:tc>
          <w:tcPr>
            <w:tcW w:w="7718" w:type="dxa"/>
            <w:gridSpan w:val="2"/>
            <w:tcBorders>
              <w:top w:val="single" w:sz="4" w:space="0" w:color="auto"/>
              <w:left w:val="single" w:sz="4" w:space="0" w:color="auto"/>
              <w:bottom w:val="single" w:sz="4" w:space="0" w:color="auto"/>
              <w:right w:val="single" w:sz="8" w:space="0" w:color="auto"/>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Performance evaluation, performance studies and post-market performance follow-up</w:t>
            </w:r>
          </w:p>
        </w:tc>
        <w:tc>
          <w:tcPr>
            <w:tcW w:w="1503" w:type="dxa"/>
            <w:tcBorders>
              <w:top w:val="single" w:sz="4" w:space="0" w:color="auto"/>
              <w:left w:val="single" w:sz="8" w:space="0" w:color="auto"/>
              <w:bottom w:val="single" w:sz="8" w:space="0" w:color="auto"/>
              <w:right w:val="single" w:sz="4" w:space="0" w:color="auto"/>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XIII</w:t>
            </w:r>
          </w:p>
        </w:tc>
      </w:tr>
      <w:tr>
        <w:trPr>
          <w:trHeight w:val="212"/>
        </w:trPr>
        <w:tc>
          <w:tcPr>
            <w:tcW w:w="7718" w:type="dxa"/>
            <w:gridSpan w:val="2"/>
            <w:tcBorders>
              <w:top w:val="single" w:sz="4" w:space="0" w:color="auto"/>
              <w:left w:val="single" w:sz="4" w:space="0" w:color="auto"/>
              <w:bottom w:val="single" w:sz="4" w:space="0" w:color="auto"/>
              <w:right w:val="single" w:sz="8" w:space="0" w:color="auto"/>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Interventional clinical performance studies and certain other performance studies</w:t>
            </w:r>
          </w:p>
        </w:tc>
        <w:tc>
          <w:tcPr>
            <w:tcW w:w="1503" w:type="dxa"/>
            <w:tcBorders>
              <w:top w:val="single" w:sz="8" w:space="0" w:color="auto"/>
              <w:left w:val="single" w:sz="8" w:space="0" w:color="auto"/>
              <w:bottom w:val="single" w:sz="4" w:space="0" w:color="auto"/>
              <w:right w:val="single" w:sz="4" w:space="0" w:color="auto"/>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XIV</w:t>
            </w:r>
          </w:p>
        </w:tc>
      </w:tr>
      <w:tr>
        <w:trPr>
          <w:trHeight w:val="15"/>
        </w:trPr>
        <w:tc>
          <w:tcPr>
            <w:tcW w:w="7718" w:type="dxa"/>
            <w:gridSpan w:val="2"/>
            <w:tcBorders>
              <w:top w:val="single" w:sz="4" w:space="0" w:color="auto"/>
              <w:left w:val="single" w:sz="8" w:space="0" w:color="000000"/>
              <w:bottom w:val="single" w:sz="8" w:space="0" w:color="000000"/>
              <w:right w:val="single" w:sz="8" w:space="0" w:color="000000"/>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Correlation table (directive 98/79/CE)</w:t>
            </w:r>
          </w:p>
        </w:tc>
        <w:tc>
          <w:tcPr>
            <w:tcW w:w="1503" w:type="dxa"/>
            <w:tcBorders>
              <w:top w:val="single" w:sz="4" w:space="0" w:color="auto"/>
              <w:left w:val="single" w:sz="8" w:space="0" w:color="000000"/>
              <w:bottom w:val="single" w:sz="8" w:space="0" w:color="000000"/>
              <w:right w:val="single" w:sz="4" w:space="0" w:color="auto"/>
            </w:tcBorders>
            <w:shd w:val="clear" w:color="auto" w:fill="auto"/>
            <w:tcMar>
              <w:top w:w="41" w:type="dxa"/>
              <w:left w:w="81" w:type="dxa"/>
              <w:bottom w:w="41" w:type="dxa"/>
              <w:right w:w="81" w:type="dxa"/>
            </w:tcMar>
            <w:vAlign w:val="center"/>
            <w:hideMark/>
          </w:tcPr>
          <w:p>
            <w:pPr>
              <w:spacing w:after="0" w:line="240" w:lineRule="auto"/>
              <w:jc w:val="both"/>
              <w:rPr>
                <w:rFonts w:ascii="Helvetica" w:hAnsi="Helvetica"/>
                <w:sz w:val="20"/>
                <w:szCs w:val="20"/>
                <w:lang w:val="en-GB"/>
              </w:rPr>
            </w:pPr>
            <w:r>
              <w:rPr>
                <w:rFonts w:ascii="Helvetica" w:hAnsi="Helvetica"/>
                <w:sz w:val="20"/>
                <w:szCs w:val="20"/>
                <w:lang w:val="en-GB"/>
              </w:rPr>
              <w:t>XV</w:t>
            </w:r>
          </w:p>
        </w:tc>
      </w:tr>
    </w:tbl>
    <w:p>
      <w:pPr>
        <w:pStyle w:val="Corpsdetexte"/>
        <w:spacing w:before="120" w:after="0" w:line="312" w:lineRule="auto"/>
      </w:pPr>
      <w:r>
        <w:t xml:space="preserve">Supplemental table 1: Rapid overview of IVDR content with the list of the ten chapters (A) and the list of the fifteen annexes (B). Chapter VI, annexes XIII and XIV </w:t>
      </w:r>
      <w:bookmarkStart w:id="0" w:name="_GoBack"/>
      <w:bookmarkEnd w:id="0"/>
      <w:r>
        <w:t xml:space="preserve">particularly focus on performance evaluation. </w:t>
      </w:r>
    </w:p>
    <w:p>
      <w:pPr>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2D268-7474-4E11-9E14-99BCB776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link w:val="CorpsdetexteCar"/>
    <w:uiPriority w:val="99"/>
    <w:semiHidden/>
    <w:unhideWhenUsed/>
    <w:qFormat/>
    <w:pPr>
      <w:shd w:val="clear" w:color="auto" w:fill="FFFFFF"/>
      <w:spacing w:after="120" w:line="480" w:lineRule="auto"/>
      <w:jc w:val="both"/>
    </w:pPr>
    <w:rPr>
      <w:rFonts w:ascii="Helvetica" w:hAnsi="Helvetica" w:cs="Calibri"/>
      <w:color w:val="000000"/>
      <w:sz w:val="24"/>
      <w:lang w:val="en-US"/>
    </w:rPr>
  </w:style>
  <w:style w:type="character" w:customStyle="1" w:styleId="CorpsdetexteCar">
    <w:name w:val="Corps de texte Car"/>
    <w:basedOn w:val="Policepardfaut"/>
    <w:link w:val="Corpsdetexte"/>
    <w:uiPriority w:val="99"/>
    <w:semiHidden/>
    <w:rPr>
      <w:rFonts w:ascii="Helvetica" w:hAnsi="Helvetica" w:cs="Calibri"/>
      <w:color w:val="000000"/>
      <w:sz w:val="24"/>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68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307</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CHRU de Besançon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kcharriere (B14159)</dc:creator>
  <cp:keywords/>
  <dc:description/>
  <cp:lastModifiedBy>kcharriere (B14159)</cp:lastModifiedBy>
  <cp:revision>6</cp:revision>
  <dcterms:created xsi:type="dcterms:W3CDTF">2022-11-25T12:19:00Z</dcterms:created>
  <dcterms:modified xsi:type="dcterms:W3CDTF">2023-01-04T11:41:00Z</dcterms:modified>
</cp:coreProperties>
</file>