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8DB3" w14:textId="77777777" w:rsidR="00B100DF" w:rsidRPr="00354B82" w:rsidRDefault="00B100DF" w:rsidP="00B100DF">
      <w:pPr>
        <w:spacing w:line="480" w:lineRule="auto"/>
        <w:jc w:val="both"/>
        <w:rPr>
          <w:rFonts w:ascii="Bookman Old Style" w:hAnsi="Bookman Old Style" w:cs="Arial"/>
          <w:b/>
          <w:bCs/>
          <w:color w:val="000000" w:themeColor="text1"/>
          <w:sz w:val="16"/>
          <w:szCs w:val="16"/>
        </w:rPr>
      </w:pPr>
      <w:r w:rsidRPr="00354B82">
        <w:rPr>
          <w:rFonts w:ascii="Bookman Old Style" w:hAnsi="Bookman Old Style" w:cs="Arial"/>
          <w:b/>
          <w:bCs/>
          <w:color w:val="000000" w:themeColor="text1"/>
          <w:sz w:val="16"/>
          <w:szCs w:val="16"/>
        </w:rPr>
        <w:t>Supplementary material S3.</w:t>
      </w:r>
    </w:p>
    <w:p w14:paraId="17071E0D" w14:textId="6F4FB73C" w:rsidR="005C3883" w:rsidRDefault="00B100DF" w:rsidP="00354B82">
      <w:pPr>
        <w:spacing w:line="480" w:lineRule="auto"/>
        <w:jc w:val="both"/>
        <w:rPr>
          <w:rFonts w:ascii="Bookman Old Style" w:hAnsi="Bookman Old Style"/>
          <w:sz w:val="16"/>
          <w:szCs w:val="16"/>
        </w:rPr>
      </w:pPr>
      <w:r w:rsidRPr="00354B82">
        <w:rPr>
          <w:rFonts w:ascii="Bookman Old Style" w:hAnsi="Bookman Old Style" w:cs="Arial"/>
          <w:color w:val="000000" w:themeColor="text1"/>
          <w:sz w:val="16"/>
          <w:szCs w:val="16"/>
        </w:rPr>
        <w:t xml:space="preserve">The method demonstrated good selectivity with no interference from Influenza A, B and Rhinovirus. The selectivity was evaluated by spiking a pool of SARS CoV-2 negative samples with four different levels of </w:t>
      </w:r>
      <w:r w:rsidR="000C4385" w:rsidRPr="00354B82">
        <w:rPr>
          <w:rFonts w:ascii="Bookman Old Style" w:hAnsi="Bookman Old Style" w:cs="Arial"/>
          <w:color w:val="000000" w:themeColor="text1"/>
          <w:sz w:val="16"/>
          <w:szCs w:val="16"/>
        </w:rPr>
        <w:t>nucleocaps</w:t>
      </w:r>
      <w:r w:rsidR="001F74B1">
        <w:rPr>
          <w:rFonts w:ascii="Bookman Old Style" w:hAnsi="Bookman Old Style" w:cs="Arial"/>
          <w:color w:val="000000" w:themeColor="text1"/>
          <w:sz w:val="16"/>
          <w:szCs w:val="16"/>
        </w:rPr>
        <w:t>i</w:t>
      </w:r>
      <w:r w:rsidR="000C4385" w:rsidRPr="00354B82">
        <w:rPr>
          <w:rFonts w:ascii="Bookman Old Style" w:hAnsi="Bookman Old Style" w:cs="Arial"/>
          <w:color w:val="000000" w:themeColor="text1"/>
          <w:sz w:val="16"/>
          <w:szCs w:val="16"/>
        </w:rPr>
        <w:t>d (</w:t>
      </w:r>
      <w:r w:rsidRPr="00354B82">
        <w:rPr>
          <w:rFonts w:ascii="Bookman Old Style" w:hAnsi="Bookman Old Style" w:cs="Arial"/>
          <w:color w:val="000000" w:themeColor="text1"/>
          <w:sz w:val="16"/>
          <w:szCs w:val="16"/>
        </w:rPr>
        <w:t>NCAP</w:t>
      </w:r>
      <w:r w:rsidR="000C4385" w:rsidRPr="00354B82">
        <w:rPr>
          <w:rFonts w:ascii="Bookman Old Style" w:hAnsi="Bookman Old Style" w:cs="Arial"/>
          <w:color w:val="000000" w:themeColor="text1"/>
          <w:sz w:val="16"/>
          <w:szCs w:val="16"/>
        </w:rPr>
        <w:t>)</w:t>
      </w:r>
      <w:r w:rsidRPr="00354B82">
        <w:rPr>
          <w:rFonts w:ascii="Bookman Old Style" w:hAnsi="Bookman Old Style" w:cs="Arial"/>
          <w:color w:val="000000" w:themeColor="text1"/>
          <w:sz w:val="16"/>
          <w:szCs w:val="16"/>
        </w:rPr>
        <w:t xml:space="preserve"> protein (0, 10, 50 and 100 fmol on column), and spiking each NCAP level with four levels of Influenza A, B and Rhinovirus proteins (0, 10, 50 and 100 fmol on</w:t>
      </w:r>
      <w:r w:rsidR="002C0328">
        <w:rPr>
          <w:rFonts w:ascii="Bookman Old Style" w:hAnsi="Bookman Old Style" w:cs="Arial"/>
          <w:color w:val="000000" w:themeColor="text1"/>
          <w:sz w:val="16"/>
          <w:szCs w:val="16"/>
        </w:rPr>
        <w:t>-</w:t>
      </w:r>
      <w:r w:rsidRPr="00354B82">
        <w:rPr>
          <w:rFonts w:ascii="Bookman Old Style" w:hAnsi="Bookman Old Style" w:cs="Arial"/>
          <w:color w:val="000000" w:themeColor="text1"/>
          <w:sz w:val="16"/>
          <w:szCs w:val="16"/>
        </w:rPr>
        <w:t xml:space="preserve">column). The NCAP </w:t>
      </w:r>
      <w:r w:rsidR="00102403" w:rsidRPr="00354B82">
        <w:rPr>
          <w:rFonts w:ascii="Bookman Old Style" w:hAnsi="Bookman Old Style" w:cs="Arial"/>
          <w:color w:val="000000" w:themeColor="text1"/>
          <w:sz w:val="16"/>
          <w:szCs w:val="16"/>
        </w:rPr>
        <w:t xml:space="preserve">protein </w:t>
      </w:r>
      <w:r w:rsidRPr="00354B82">
        <w:rPr>
          <w:rFonts w:ascii="Bookman Old Style" w:hAnsi="Bookman Old Style" w:cs="Arial"/>
          <w:color w:val="000000" w:themeColor="text1"/>
          <w:sz w:val="16"/>
          <w:szCs w:val="16"/>
        </w:rPr>
        <w:t>peptides AYN and ADE demonstrated coefficient</w:t>
      </w:r>
      <w:r w:rsidR="00445984">
        <w:rPr>
          <w:rFonts w:ascii="Bookman Old Style" w:hAnsi="Bookman Old Style" w:cs="Arial"/>
          <w:color w:val="000000" w:themeColor="text1"/>
          <w:sz w:val="16"/>
          <w:szCs w:val="16"/>
        </w:rPr>
        <w:t>s</w:t>
      </w:r>
      <w:r w:rsidRPr="00354B82">
        <w:rPr>
          <w:rFonts w:ascii="Bookman Old Style" w:hAnsi="Bookman Old Style" w:cs="Arial"/>
          <w:color w:val="000000" w:themeColor="text1"/>
          <w:sz w:val="16"/>
          <w:szCs w:val="16"/>
        </w:rPr>
        <w:t xml:space="preserve"> of variation </w:t>
      </w:r>
      <w:r w:rsidR="00445984">
        <w:rPr>
          <w:rFonts w:ascii="Bookman Old Style" w:hAnsi="Bookman Old Style" w:cs="Arial"/>
          <w:color w:val="000000" w:themeColor="text1"/>
          <w:sz w:val="16"/>
          <w:szCs w:val="16"/>
        </w:rPr>
        <w:t>of</w:t>
      </w:r>
      <w:r w:rsidRPr="00354B82">
        <w:rPr>
          <w:rFonts w:ascii="Bookman Old Style" w:hAnsi="Bookman Old Style" w:cs="Arial"/>
          <w:color w:val="000000" w:themeColor="text1"/>
          <w:sz w:val="16"/>
          <w:szCs w:val="16"/>
        </w:rPr>
        <w:t xml:space="preserve"> 3</w:t>
      </w:r>
      <w:r w:rsidR="00445984">
        <w:rPr>
          <w:rFonts w:ascii="Bookman Old Style" w:hAnsi="Bookman Old Style" w:cs="Arial"/>
          <w:color w:val="000000" w:themeColor="text1"/>
          <w:sz w:val="16"/>
          <w:szCs w:val="16"/>
        </w:rPr>
        <w:t xml:space="preserve"> - </w:t>
      </w:r>
      <w:r w:rsidRPr="00354B82">
        <w:rPr>
          <w:rFonts w:ascii="Bookman Old Style" w:hAnsi="Bookman Old Style" w:cs="Arial"/>
          <w:color w:val="000000" w:themeColor="text1"/>
          <w:sz w:val="16"/>
          <w:szCs w:val="16"/>
        </w:rPr>
        <w:t>9% and 1</w:t>
      </w:r>
      <w:r w:rsidR="00445984">
        <w:rPr>
          <w:rFonts w:ascii="Bookman Old Style" w:hAnsi="Bookman Old Style" w:cs="Arial"/>
          <w:color w:val="000000" w:themeColor="text1"/>
          <w:sz w:val="16"/>
          <w:szCs w:val="16"/>
        </w:rPr>
        <w:t xml:space="preserve"> - </w:t>
      </w:r>
      <w:r w:rsidRPr="00354B82">
        <w:rPr>
          <w:rFonts w:ascii="Bookman Old Style" w:hAnsi="Bookman Old Style" w:cs="Arial"/>
          <w:color w:val="000000" w:themeColor="text1"/>
          <w:sz w:val="16"/>
          <w:szCs w:val="16"/>
        </w:rPr>
        <w:t>13% respectively.</w:t>
      </w:r>
    </w:p>
    <w:p w14:paraId="0F5EC0C0" w14:textId="6EDB2190" w:rsidR="008F13E0" w:rsidRDefault="008F13E0" w:rsidP="00354B82">
      <w:pPr>
        <w:spacing w:line="480" w:lineRule="auto"/>
        <w:jc w:val="both"/>
        <w:rPr>
          <w:rFonts w:ascii="Bookman Old Style" w:hAnsi="Bookman Old Style" w:cs="Arial"/>
          <w:color w:val="000000" w:themeColor="text1"/>
          <w:sz w:val="16"/>
          <w:szCs w:val="16"/>
        </w:rPr>
      </w:pPr>
      <w:r>
        <w:rPr>
          <w:noProof/>
        </w:rPr>
        <w:drawing>
          <wp:inline distT="0" distB="0" distL="0" distR="0" wp14:anchorId="67A3763D" wp14:editId="16228454">
            <wp:extent cx="7545788" cy="4325510"/>
            <wp:effectExtent l="0" t="0" r="0" b="0"/>
            <wp:docPr id="1" name="Chart 1">
              <a:extLst xmlns:a="http://schemas.openxmlformats.org/drawingml/2006/main">
                <a:ext uri="{FF2B5EF4-FFF2-40B4-BE49-F238E27FC236}">
                  <a16:creationId xmlns:a16="http://schemas.microsoft.com/office/drawing/2014/main" id="{5E2E6935-826C-3EEC-D8B3-2AB28D6306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2F8246BE" w14:textId="53CA34F7" w:rsidR="00354B82" w:rsidRPr="005C3883" w:rsidRDefault="00354B82" w:rsidP="00354B82">
      <w:pPr>
        <w:spacing w:line="480" w:lineRule="auto"/>
        <w:jc w:val="both"/>
        <w:rPr>
          <w:rFonts w:ascii="Bookman Old Style" w:hAnsi="Bookman Old Style"/>
          <w:sz w:val="16"/>
          <w:szCs w:val="16"/>
        </w:rPr>
      </w:pPr>
      <w:r w:rsidRPr="00354B82">
        <w:rPr>
          <w:rFonts w:ascii="Bookman Old Style" w:hAnsi="Bookman Old Style" w:cs="Arial"/>
          <w:color w:val="000000" w:themeColor="text1"/>
          <w:sz w:val="16"/>
          <w:szCs w:val="16"/>
        </w:rPr>
        <w:lastRenderedPageBreak/>
        <w:t>Figure S3</w:t>
      </w:r>
      <w:r>
        <w:rPr>
          <w:rFonts w:ascii="Bookman Old Style" w:hAnsi="Bookman Old Style" w:cs="Arial"/>
          <w:color w:val="000000" w:themeColor="text1"/>
          <w:sz w:val="16"/>
          <w:szCs w:val="16"/>
        </w:rPr>
        <w:t>:</w:t>
      </w:r>
      <w:r w:rsidRPr="008464AF">
        <w:rPr>
          <w:rFonts w:ascii="Bookman Old Style" w:hAnsi="Bookman Old Style" w:cs="Arial"/>
          <w:b/>
          <w:bCs/>
          <w:color w:val="000000" w:themeColor="text1"/>
          <w:sz w:val="16"/>
          <w:szCs w:val="16"/>
        </w:rPr>
        <w:t xml:space="preserve"> </w:t>
      </w:r>
      <w:r w:rsidRPr="008464AF">
        <w:rPr>
          <w:rFonts w:ascii="Bookman Old Style" w:hAnsi="Bookman Old Style" w:cs="Arial"/>
          <w:color w:val="000000" w:themeColor="text1"/>
          <w:sz w:val="16"/>
          <w:szCs w:val="16"/>
        </w:rPr>
        <w:t xml:space="preserve">Evaluation of the method’s selectivity for nucleocapsid (NCAP) protein in samples also containing Influenza A and B, and Rhinovirus. SARS CoV-2 negative samples were spiked with four levels of NCAP (0, 10, 50 and 100 fmol), and each NCAP level was spiked with increasing amounts of Influenza A and B, and Rhinovirus proteins (0, 10, 50 and 100 fmol).  No effect on the signal from the NCAP peptides, ADE and AYN, could be detected with increasing amounts of the Influenza and Rhinoviruses. </w:t>
      </w:r>
    </w:p>
    <w:p w14:paraId="5C0A1C75" w14:textId="77777777" w:rsidR="00354B82" w:rsidRPr="00354B82" w:rsidRDefault="00354B82">
      <w:pPr>
        <w:rPr>
          <w:rFonts w:ascii="Bookman Old Style" w:hAnsi="Bookman Old Style"/>
          <w:sz w:val="16"/>
          <w:szCs w:val="16"/>
        </w:rPr>
      </w:pPr>
    </w:p>
    <w:sectPr w:rsidR="00354B82" w:rsidRPr="00354B82" w:rsidSect="00354B8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DF"/>
    <w:rsid w:val="000C4385"/>
    <w:rsid w:val="00102403"/>
    <w:rsid w:val="001F74B1"/>
    <w:rsid w:val="002C0328"/>
    <w:rsid w:val="00354B82"/>
    <w:rsid w:val="00445984"/>
    <w:rsid w:val="005C3883"/>
    <w:rsid w:val="008F13E0"/>
    <w:rsid w:val="00A735E1"/>
    <w:rsid w:val="00B100DF"/>
    <w:rsid w:val="00CE1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0815"/>
  <w15:chartTrackingRefBased/>
  <w15:docId w15:val="{102AB4D4-05DE-4AC8-9B5B-95DE0FA9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Carling\Desktop\Moonshot\Paper\keep\SupFig_03_NCAP_WinterVirus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724692998231031E-2"/>
          <c:y val="4.0433010710654506E-2"/>
          <c:w val="0.89825313607903878"/>
          <c:h val="0.75001233684381918"/>
        </c:manualLayout>
      </c:layout>
      <c:barChart>
        <c:barDir val="col"/>
        <c:grouping val="clustered"/>
        <c:varyColors val="0"/>
        <c:ser>
          <c:idx val="0"/>
          <c:order val="0"/>
          <c:tx>
            <c:strRef>
              <c:f>ForPlot!$D$1</c:f>
              <c:strCache>
                <c:ptCount val="1"/>
                <c:pt idx="0">
                  <c:v>ADE_y3</c:v>
                </c:pt>
              </c:strCache>
            </c:strRef>
          </c:tx>
          <c:spPr>
            <a:pattFill prst="ltDnDiag">
              <a:fgClr>
                <a:schemeClr val="tx1">
                  <a:lumMod val="65000"/>
                  <a:lumOff val="35000"/>
                </a:schemeClr>
              </a:fgClr>
              <a:bgClr>
                <a:schemeClr val="bg1"/>
              </a:bgClr>
            </a:pattFill>
            <a:ln>
              <a:solidFill>
                <a:schemeClr val="tx1"/>
              </a:solidFill>
            </a:ln>
            <a:effectLst/>
          </c:spPr>
          <c:invertIfNegative val="0"/>
          <c:cat>
            <c:strRef>
              <c:f>ForPlot!$C$2:$C$17</c:f>
              <c:strCache>
                <c:ptCount val="16"/>
                <c:pt idx="0">
                  <c:v>NCAP (A)
FluA/B &amp; HRV (A)</c:v>
                </c:pt>
                <c:pt idx="1">
                  <c:v>NCAP (A)
FluA/B &amp; HRV (B)</c:v>
                </c:pt>
                <c:pt idx="2">
                  <c:v>NCAP (A)
FluA/B &amp; HRV (C)</c:v>
                </c:pt>
                <c:pt idx="3">
                  <c:v>NCAP (A)
FluA/B &amp; HRV (D)</c:v>
                </c:pt>
                <c:pt idx="4">
                  <c:v>NCAP (B)
FluA/B &amp; HRV (A)</c:v>
                </c:pt>
                <c:pt idx="5">
                  <c:v>NCAP (B)
FluA/B &amp; HRV (B)</c:v>
                </c:pt>
                <c:pt idx="6">
                  <c:v>NCAP (B)
FluA/B &amp; HRV (C)</c:v>
                </c:pt>
                <c:pt idx="7">
                  <c:v>NCAP (B)
FluA/B &amp; HRV (D)</c:v>
                </c:pt>
                <c:pt idx="8">
                  <c:v>NCAP (C)
FluA/B &amp; HRV (A)</c:v>
                </c:pt>
                <c:pt idx="9">
                  <c:v>NCAP (C)
FluA/B &amp; HRV (B)</c:v>
                </c:pt>
                <c:pt idx="10">
                  <c:v>NCAP (C)
FluA/B &amp; HRV (C)</c:v>
                </c:pt>
                <c:pt idx="11">
                  <c:v>NCAP (C)
FluA/B &amp; HRV (D)</c:v>
                </c:pt>
                <c:pt idx="12">
                  <c:v>NCAP (D)
FluA/B &amp; HRV (A)</c:v>
                </c:pt>
                <c:pt idx="13">
                  <c:v>NCAP (D)
FluA/B &amp; HRV (B)</c:v>
                </c:pt>
                <c:pt idx="14">
                  <c:v>NCAP (D)
FluA/B &amp; HRV (C)</c:v>
                </c:pt>
                <c:pt idx="15">
                  <c:v>NCAP (D)
FluA/B &amp; HRV (D)</c:v>
                </c:pt>
              </c:strCache>
            </c:strRef>
          </c:cat>
          <c:val>
            <c:numRef>
              <c:f>ForPlot!$D$2:$D$17</c:f>
              <c:numCache>
                <c:formatCode>0</c:formatCode>
                <c:ptCount val="16"/>
                <c:pt idx="0">
                  <c:v>81.236999999999995</c:v>
                </c:pt>
                <c:pt idx="1">
                  <c:v>425.28699999999998</c:v>
                </c:pt>
                <c:pt idx="2">
                  <c:v>79.537000000000006</c:v>
                </c:pt>
                <c:pt idx="3">
                  <c:v>133.042</c:v>
                </c:pt>
                <c:pt idx="4">
                  <c:v>1028.8040000000001</c:v>
                </c:pt>
                <c:pt idx="5">
                  <c:v>769.95600000000002</c:v>
                </c:pt>
                <c:pt idx="6">
                  <c:v>818.38</c:v>
                </c:pt>
                <c:pt idx="7">
                  <c:v>840.952</c:v>
                </c:pt>
                <c:pt idx="8">
                  <c:v>4001.0540000000001</c:v>
                </c:pt>
                <c:pt idx="9">
                  <c:v>3756.9580000000001</c:v>
                </c:pt>
                <c:pt idx="10">
                  <c:v>4187.6499999999996</c:v>
                </c:pt>
                <c:pt idx="11">
                  <c:v>4138.97</c:v>
                </c:pt>
                <c:pt idx="12">
                  <c:v>9788.5830000000005</c:v>
                </c:pt>
                <c:pt idx="13">
                  <c:v>9559.1630000000005</c:v>
                </c:pt>
                <c:pt idx="14">
                  <c:v>9498.0110000000004</c:v>
                </c:pt>
                <c:pt idx="15">
                  <c:v>9573.1090000000004</c:v>
                </c:pt>
              </c:numCache>
            </c:numRef>
          </c:val>
          <c:extLst>
            <c:ext xmlns:c16="http://schemas.microsoft.com/office/drawing/2014/chart" uri="{C3380CC4-5D6E-409C-BE32-E72D297353CC}">
              <c16:uniqueId val="{00000000-BA50-4F8E-8266-0151FCAF6DBA}"/>
            </c:ext>
          </c:extLst>
        </c:ser>
        <c:ser>
          <c:idx val="1"/>
          <c:order val="1"/>
          <c:tx>
            <c:strRef>
              <c:f>ForPlot!$E$1</c:f>
              <c:strCache>
                <c:ptCount val="1"/>
                <c:pt idx="0">
                  <c:v>AYN_y6</c:v>
                </c:pt>
              </c:strCache>
            </c:strRef>
          </c:tx>
          <c:spPr>
            <a:solidFill>
              <a:schemeClr val="tx1"/>
            </a:solidFill>
            <a:ln>
              <a:noFill/>
            </a:ln>
            <a:effectLst/>
          </c:spPr>
          <c:invertIfNegative val="0"/>
          <c:cat>
            <c:strRef>
              <c:f>ForPlot!$C$2:$C$17</c:f>
              <c:strCache>
                <c:ptCount val="16"/>
                <c:pt idx="0">
                  <c:v>NCAP (A)
FluA/B &amp; HRV (A)</c:v>
                </c:pt>
                <c:pt idx="1">
                  <c:v>NCAP (A)
FluA/B &amp; HRV (B)</c:v>
                </c:pt>
                <c:pt idx="2">
                  <c:v>NCAP (A)
FluA/B &amp; HRV (C)</c:v>
                </c:pt>
                <c:pt idx="3">
                  <c:v>NCAP (A)
FluA/B &amp; HRV (D)</c:v>
                </c:pt>
                <c:pt idx="4">
                  <c:v>NCAP (B)
FluA/B &amp; HRV (A)</c:v>
                </c:pt>
                <c:pt idx="5">
                  <c:v>NCAP (B)
FluA/B &amp; HRV (B)</c:v>
                </c:pt>
                <c:pt idx="6">
                  <c:v>NCAP (B)
FluA/B &amp; HRV (C)</c:v>
                </c:pt>
                <c:pt idx="7">
                  <c:v>NCAP (B)
FluA/B &amp; HRV (D)</c:v>
                </c:pt>
                <c:pt idx="8">
                  <c:v>NCAP (C)
FluA/B &amp; HRV (A)</c:v>
                </c:pt>
                <c:pt idx="9">
                  <c:v>NCAP (C)
FluA/B &amp; HRV (B)</c:v>
                </c:pt>
                <c:pt idx="10">
                  <c:v>NCAP (C)
FluA/B &amp; HRV (C)</c:v>
                </c:pt>
                <c:pt idx="11">
                  <c:v>NCAP (C)
FluA/B &amp; HRV (D)</c:v>
                </c:pt>
                <c:pt idx="12">
                  <c:v>NCAP (D)
FluA/B &amp; HRV (A)</c:v>
                </c:pt>
                <c:pt idx="13">
                  <c:v>NCAP (D)
FluA/B &amp; HRV (B)</c:v>
                </c:pt>
                <c:pt idx="14">
                  <c:v>NCAP (D)
FluA/B &amp; HRV (C)</c:v>
                </c:pt>
                <c:pt idx="15">
                  <c:v>NCAP (D)
FluA/B &amp; HRV (D)</c:v>
                </c:pt>
              </c:strCache>
            </c:strRef>
          </c:cat>
          <c:val>
            <c:numRef>
              <c:f>ForPlot!$E$2:$E$17</c:f>
              <c:numCache>
                <c:formatCode>0</c:formatCode>
                <c:ptCount val="16"/>
                <c:pt idx="0">
                  <c:v>124.31100000000001</c:v>
                </c:pt>
                <c:pt idx="1">
                  <c:v>641.41099999999994</c:v>
                </c:pt>
                <c:pt idx="2">
                  <c:v>127.726</c:v>
                </c:pt>
                <c:pt idx="3">
                  <c:v>237.988</c:v>
                </c:pt>
                <c:pt idx="4">
                  <c:v>1569.3440000000001</c:v>
                </c:pt>
                <c:pt idx="5">
                  <c:v>1519.8979999999999</c:v>
                </c:pt>
                <c:pt idx="6">
                  <c:v>1670.5709999999999</c:v>
                </c:pt>
                <c:pt idx="7">
                  <c:v>1611.67</c:v>
                </c:pt>
                <c:pt idx="8">
                  <c:v>7062.7460000000001</c:v>
                </c:pt>
                <c:pt idx="9">
                  <c:v>6729.8310000000001</c:v>
                </c:pt>
                <c:pt idx="10">
                  <c:v>8280.0159999999996</c:v>
                </c:pt>
                <c:pt idx="11">
                  <c:v>7685.19</c:v>
                </c:pt>
                <c:pt idx="12">
                  <c:v>19336.120999999999</c:v>
                </c:pt>
                <c:pt idx="13">
                  <c:v>17902.504000000001</c:v>
                </c:pt>
                <c:pt idx="14">
                  <c:v>19086.460999999999</c:v>
                </c:pt>
                <c:pt idx="15">
                  <c:v>19008.5</c:v>
                </c:pt>
              </c:numCache>
            </c:numRef>
          </c:val>
          <c:extLst>
            <c:ext xmlns:c16="http://schemas.microsoft.com/office/drawing/2014/chart" uri="{C3380CC4-5D6E-409C-BE32-E72D297353CC}">
              <c16:uniqueId val="{00000001-BA50-4F8E-8266-0151FCAF6DBA}"/>
            </c:ext>
          </c:extLst>
        </c:ser>
        <c:dLbls>
          <c:showLegendKey val="0"/>
          <c:showVal val="0"/>
          <c:showCatName val="0"/>
          <c:showSerName val="0"/>
          <c:showPercent val="0"/>
          <c:showBubbleSize val="0"/>
        </c:dLbls>
        <c:gapWidth val="219"/>
        <c:overlap val="-27"/>
        <c:axId val="838173631"/>
        <c:axId val="838174463"/>
      </c:barChart>
      <c:catAx>
        <c:axId val="83817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solidFill>
                <a:latin typeface="+mn-lt"/>
                <a:ea typeface="+mn-ea"/>
                <a:cs typeface="+mn-cs"/>
              </a:defRPr>
            </a:pPr>
            <a:endParaRPr lang="en-US"/>
          </a:p>
        </c:txPr>
        <c:crossAx val="838174463"/>
        <c:crosses val="autoZero"/>
        <c:auto val="1"/>
        <c:lblAlgn val="ctr"/>
        <c:lblOffset val="100"/>
        <c:noMultiLvlLbl val="0"/>
      </c:catAx>
      <c:valAx>
        <c:axId val="8381744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baseline="0">
                    <a:solidFill>
                      <a:schemeClr val="tx1"/>
                    </a:solidFill>
                  </a:rPr>
                  <a:t>Area units</a:t>
                </a:r>
              </a:p>
            </c:rich>
          </c:tx>
          <c:layout>
            <c:manualLayout>
              <c:xMode val="edge"/>
              <c:yMode val="edge"/>
              <c:x val="1.6035626963396014E-3"/>
              <c:y val="0.3589581954230787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38173631"/>
        <c:crosses val="autoZero"/>
        <c:crossBetween val="between"/>
      </c:valAx>
      <c:spPr>
        <a:noFill/>
        <a:ln>
          <a:solidFill>
            <a:schemeClr val="tx1"/>
          </a:solidFill>
        </a:ln>
        <a:effectLst/>
      </c:spPr>
    </c:plotArea>
    <c:legend>
      <c:legendPos val="l"/>
      <c:layout>
        <c:manualLayout>
          <c:xMode val="edge"/>
          <c:yMode val="edge"/>
          <c:x val="0.183262065989725"/>
          <c:y val="0.23075504492549409"/>
          <c:w val="0.12560498891637367"/>
          <c:h val="0.1485019433087347"/>
        </c:manualLayout>
      </c:layout>
      <c:overlay val="1"/>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Carling</dc:creator>
  <cp:keywords/>
  <dc:description/>
  <cp:lastModifiedBy>Carling, Rachel</cp:lastModifiedBy>
  <cp:revision>8</cp:revision>
  <dcterms:created xsi:type="dcterms:W3CDTF">2022-08-12T16:45:00Z</dcterms:created>
  <dcterms:modified xsi:type="dcterms:W3CDTF">2022-11-10T14:56:00Z</dcterms:modified>
</cp:coreProperties>
</file>