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F959" w14:textId="2B93B828" w:rsidR="00D04EA7" w:rsidRPr="00120B50" w:rsidRDefault="00D04EA7" w:rsidP="00D04EA7">
      <w:pPr>
        <w:spacing w:line="480" w:lineRule="auto"/>
        <w:jc w:val="both"/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</w:pPr>
      <w:r w:rsidRPr="00120B50"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  <w:t xml:space="preserve">Supplementary material </w:t>
      </w:r>
      <w:r w:rsidR="00BA0867" w:rsidRPr="00120B50"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  <w:t>S</w:t>
      </w:r>
      <w:r w:rsidR="0005754B" w:rsidRPr="00120B50"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  <w:t>2</w:t>
      </w:r>
      <w:r w:rsidR="00BA0867" w:rsidRPr="00120B50"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  <w:t>.</w:t>
      </w:r>
    </w:p>
    <w:p w14:paraId="462DE9EA" w14:textId="77777777" w:rsidR="00BA0867" w:rsidRPr="00120B50" w:rsidRDefault="00BA0867" w:rsidP="00D04EA7">
      <w:pPr>
        <w:spacing w:line="480" w:lineRule="auto"/>
        <w:jc w:val="both"/>
        <w:rPr>
          <w:rFonts w:ascii="Bookman Old Style" w:hAnsi="Bookman Old Style" w:cs="Arial"/>
          <w:b/>
          <w:bCs/>
          <w:color w:val="000000" w:themeColor="text1"/>
          <w:sz w:val="16"/>
          <w:szCs w:val="16"/>
        </w:rPr>
      </w:pPr>
    </w:p>
    <w:p w14:paraId="72EBD68E" w14:textId="219E1878" w:rsidR="00D04EA7" w:rsidRPr="00120B50" w:rsidRDefault="00D04EA7" w:rsidP="00D04EA7">
      <w:pPr>
        <w:spacing w:line="480" w:lineRule="auto"/>
        <w:jc w:val="both"/>
        <w:rPr>
          <w:rFonts w:ascii="Bookman Old Style" w:hAnsi="Bookman Old Style" w:cs="Arial"/>
          <w:b/>
          <w:bCs/>
          <w:sz w:val="16"/>
          <w:szCs w:val="16"/>
        </w:rPr>
      </w:pPr>
      <w:r w:rsidRPr="00120B50">
        <w:rPr>
          <w:rFonts w:ascii="Bookman Old Style" w:hAnsi="Bookman Old Style" w:cs="Arial"/>
          <w:b/>
          <w:bCs/>
          <w:sz w:val="16"/>
          <w:szCs w:val="16"/>
        </w:rPr>
        <w:t>Method Validation criterion</w:t>
      </w:r>
    </w:p>
    <w:p w14:paraId="51132E54" w14:textId="13C8CBD4" w:rsidR="00D04EA7" w:rsidRPr="00120B50" w:rsidRDefault="00D04EA7" w:rsidP="00D04EA7">
      <w:pPr>
        <w:spacing w:line="480" w:lineRule="auto"/>
        <w:jc w:val="both"/>
        <w:rPr>
          <w:rFonts w:ascii="Bookman Old Style" w:hAnsi="Bookman Old Style" w:cs="Arial"/>
          <w:noProof/>
          <w:sz w:val="16"/>
          <w:szCs w:val="16"/>
        </w:rPr>
      </w:pPr>
      <w:r w:rsidRPr="00120B50">
        <w:rPr>
          <w:rFonts w:ascii="Bookman Old Style" w:hAnsi="Bookman Old Style" w:cs="Arial"/>
          <w:sz w:val="16"/>
          <w:szCs w:val="16"/>
        </w:rPr>
        <w:t>Synthetic peptide calibration curves, incorporating a zero and seven non-zero calibrators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, were obtained by plotting analyte to</w:t>
      </w:r>
      <w:r w:rsidR="00E86135"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 stable isotope label (</w:t>
      </w:r>
      <w:r w:rsidR="00DA6DAB" w:rsidRPr="00120B50">
        <w:rPr>
          <w:rFonts w:ascii="Bookman Old Style" w:hAnsi="Bookman Old Style" w:cs="Arial"/>
          <w:color w:val="000000" w:themeColor="text1"/>
          <w:sz w:val="16"/>
          <w:szCs w:val="16"/>
        </w:rPr>
        <w:t>SIL</w:t>
      </w:r>
      <w:r w:rsidR="00E86135" w:rsidRPr="00120B50">
        <w:rPr>
          <w:rFonts w:ascii="Bookman Old Style" w:hAnsi="Bookman Old Style" w:cs="Arial"/>
          <w:color w:val="000000" w:themeColor="text1"/>
          <w:sz w:val="16"/>
          <w:szCs w:val="16"/>
        </w:rPr>
        <w:t>)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 response ratios versus concentration using least squares regression with a weighting of 1/</w:t>
      </w:r>
      <w:r w:rsidRPr="00120B50">
        <w:rPr>
          <w:rFonts w:ascii="Bookman Old Style" w:hAnsi="Bookman Old Style" w:cs="Arial"/>
          <w:i/>
          <w:color w:val="000000" w:themeColor="text1"/>
          <w:sz w:val="16"/>
          <w:szCs w:val="16"/>
        </w:rPr>
        <w:t xml:space="preserve">x. 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 Linearity was confirmed by replicate analysis of the curves in independent run</w:t>
      </w:r>
      <w:r w:rsidR="00DA6DAB"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 over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 ten days with an R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  <w:vertAlign w:val="superscript"/>
        </w:rPr>
        <w:t>2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 &gt; 0.99 being considered acceptable.  </w:t>
      </w:r>
    </w:p>
    <w:p w14:paraId="67E52441" w14:textId="77777777" w:rsidR="00D04EA7" w:rsidRPr="00120B50" w:rsidRDefault="00D04EA7" w:rsidP="00D04EA7">
      <w:pPr>
        <w:spacing w:line="480" w:lineRule="auto"/>
        <w:jc w:val="both"/>
        <w:rPr>
          <w:rFonts w:ascii="Bookman Old Style" w:hAnsi="Bookman Old Style" w:cs="Arial"/>
          <w:color w:val="000000" w:themeColor="text1"/>
          <w:sz w:val="16"/>
          <w:szCs w:val="16"/>
        </w:rPr>
      </w:pP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The lower limit of quantification (LLOQ) was defined as the concentration at which the relative standard deviation (RSD) was ≤ 20%, the accuracy was ± 20% of the target value and </w:t>
      </w:r>
      <w:proofErr w:type="spellStart"/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signal:noise</w:t>
      </w:r>
      <w:proofErr w:type="spellEnd"/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 (S:N) &gt; 10.  </w:t>
      </w:r>
      <w:r w:rsidRPr="00120B50">
        <w:rPr>
          <w:rFonts w:ascii="Bookman Old Style" w:hAnsi="Bookman Old Style" w:cs="Arial"/>
          <w:sz w:val="16"/>
          <w:szCs w:val="16"/>
        </w:rPr>
        <w:t xml:space="preserve">The limit of detection (LOD) was determined by replicate analysis (n=3) of serial dilutions of the lowest calibration standard.  The LOD was 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defined as the concentration at which S:N &gt;10.</w:t>
      </w:r>
    </w:p>
    <w:p w14:paraId="5CACC65A" w14:textId="3C4AD63B" w:rsidR="00D04EA7" w:rsidRPr="00120B50" w:rsidRDefault="00D04EA7" w:rsidP="00D04EA7">
      <w:pPr>
        <w:spacing w:line="480" w:lineRule="auto"/>
        <w:jc w:val="both"/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</w:pP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Injection reproducibility was determined by replicate analysis of a pooled, extracted patient sample (n=10) with acceptable reproducibility defined as RSD ≤ 5%.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 xml:space="preserve"> 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Intra-assay imprecision was determined by replicate analysis (n=5) of positive and negative IQC materials in a single analytical run. Inter-assay imprecision was determined by replicate analysis (n</w:t>
      </w:r>
      <w:r w:rsidRPr="00120B50">
        <w:rPr>
          <w:rFonts w:ascii="Bookman Old Style" w:hAnsi="Bookman Old Style" w:cs="Arial"/>
          <w:sz w:val="16"/>
          <w:szCs w:val="16"/>
        </w:rPr>
        <w:t xml:space="preserve">=5) of the same materials in five independent runs performed over nine days. The acceptance </w:t>
      </w:r>
      <w:r w:rsidR="006F33DA" w:rsidRPr="00120B50">
        <w:rPr>
          <w:rFonts w:ascii="Bookman Old Style" w:hAnsi="Bookman Old Style" w:cs="Arial"/>
          <w:sz w:val="16"/>
          <w:szCs w:val="16"/>
        </w:rPr>
        <w:t>criteri</w:t>
      </w:r>
      <w:r w:rsidR="00216C29" w:rsidRPr="00120B50">
        <w:rPr>
          <w:rFonts w:ascii="Bookman Old Style" w:hAnsi="Bookman Old Style" w:cs="Arial"/>
          <w:sz w:val="16"/>
          <w:szCs w:val="16"/>
        </w:rPr>
        <w:t>on</w:t>
      </w:r>
      <w:r w:rsidR="006F33DA" w:rsidRPr="00120B50">
        <w:rPr>
          <w:rFonts w:ascii="Bookman Old Style" w:hAnsi="Bookman Old Style" w:cs="Arial"/>
          <w:sz w:val="16"/>
          <w:szCs w:val="16"/>
        </w:rPr>
        <w:t xml:space="preserve"> </w:t>
      </w:r>
      <w:r w:rsidRPr="00120B50">
        <w:rPr>
          <w:rFonts w:ascii="Bookman Old Style" w:hAnsi="Bookman Old Style" w:cs="Arial"/>
          <w:sz w:val="16"/>
          <w:szCs w:val="16"/>
        </w:rPr>
        <w:t>for the negative control material was 100% correct classification (detected/not detected). The acceptance criteri</w:t>
      </w:r>
      <w:r w:rsidR="00216C29" w:rsidRPr="00120B50">
        <w:rPr>
          <w:rFonts w:ascii="Bookman Old Style" w:hAnsi="Bookman Old Style" w:cs="Arial"/>
          <w:sz w:val="16"/>
          <w:szCs w:val="16"/>
        </w:rPr>
        <w:t>on</w:t>
      </w:r>
      <w:r w:rsidRPr="00120B50">
        <w:rPr>
          <w:rFonts w:ascii="Bookman Old Style" w:hAnsi="Bookman Old Style" w:cs="Arial"/>
          <w:sz w:val="16"/>
          <w:szCs w:val="16"/>
        </w:rPr>
        <w:t xml:space="preserve"> for the positive control material was an RSD of ≤ 15%. </w:t>
      </w:r>
    </w:p>
    <w:p w14:paraId="6B424462" w14:textId="0B1E3848" w:rsidR="00D04EA7" w:rsidRPr="00120B50" w:rsidRDefault="00D04EA7" w:rsidP="00D04EA7">
      <w:pPr>
        <w:spacing w:line="480" w:lineRule="auto"/>
        <w:jc w:val="both"/>
        <w:rPr>
          <w:rFonts w:ascii="Bookman Old Style" w:hAnsi="Bookman Old Style" w:cs="Arial"/>
          <w:sz w:val="16"/>
          <w:szCs w:val="16"/>
        </w:rPr>
      </w:pPr>
      <w:r w:rsidRPr="00120B50">
        <w:rPr>
          <w:rFonts w:ascii="Bookman Old Style" w:hAnsi="Bookman Old Style" w:cs="Arial"/>
          <w:sz w:val="16"/>
          <w:szCs w:val="16"/>
        </w:rPr>
        <w:t>Carryover was assessed by injection of a solvent blank directly after injection of pooled SARS-C</w:t>
      </w:r>
      <w:r w:rsidR="005E0BD7" w:rsidRPr="00120B50">
        <w:rPr>
          <w:rFonts w:ascii="Bookman Old Style" w:hAnsi="Bookman Old Style" w:cs="Arial"/>
          <w:sz w:val="16"/>
          <w:szCs w:val="16"/>
        </w:rPr>
        <w:t>o</w:t>
      </w:r>
      <w:r w:rsidRPr="00120B50">
        <w:rPr>
          <w:rFonts w:ascii="Bookman Old Style" w:hAnsi="Bookman Old Style" w:cs="Arial"/>
          <w:sz w:val="16"/>
          <w:szCs w:val="16"/>
        </w:rPr>
        <w:t xml:space="preserve">V-2 positive extracted patient swabs. The peak area of the blank sample was required to be ≤ 20% of the peak area at the LLOQ. </w:t>
      </w:r>
    </w:p>
    <w:p w14:paraId="68464DB3" w14:textId="238EA574" w:rsidR="00D04EA7" w:rsidRPr="00120B50" w:rsidRDefault="00D04EA7" w:rsidP="00D04EA7">
      <w:pPr>
        <w:spacing w:line="480" w:lineRule="auto"/>
        <w:jc w:val="both"/>
        <w:rPr>
          <w:rFonts w:ascii="Bookman Old Style" w:hAnsi="Bookman Old Style" w:cs="Arial"/>
          <w:color w:val="000000" w:themeColor="text1"/>
          <w:sz w:val="16"/>
          <w:szCs w:val="16"/>
        </w:rPr>
      </w:pP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Selectivity was evaluated by analysis of four </w:t>
      </w:r>
      <w:r w:rsidR="00E86135" w:rsidRPr="00120B50">
        <w:rPr>
          <w:rFonts w:ascii="Bookman Old Style" w:hAnsi="Bookman Old Style" w:cs="Arial"/>
          <w:color w:val="000000" w:themeColor="text1"/>
          <w:sz w:val="16"/>
          <w:szCs w:val="16"/>
        </w:rPr>
        <w:t>nucleocapsid (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NCAP</w:t>
      </w:r>
      <w:r w:rsidR="00E86135" w:rsidRPr="00120B50">
        <w:rPr>
          <w:rFonts w:ascii="Bookman Old Style" w:hAnsi="Bookman Old Style" w:cs="Arial"/>
          <w:color w:val="000000" w:themeColor="text1"/>
          <w:sz w:val="16"/>
          <w:szCs w:val="16"/>
        </w:rPr>
        <w:t>)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 </w:t>
      </w:r>
      <w:r w:rsidR="005E0BD7"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protein 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standard solutions (0, 125, 625 and 1250 </w:t>
      </w:r>
      <w:r w:rsidR="00AE78CB" w:rsidRPr="00120B50">
        <w:rPr>
          <w:rFonts w:ascii="Bookman Old Style" w:hAnsi="Bookman Old Style" w:cs="Arial"/>
          <w:color w:val="000000" w:themeColor="text1"/>
          <w:sz w:val="16"/>
          <w:szCs w:val="16"/>
        </w:rPr>
        <w:t>a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mol/</w:t>
      </w:r>
      <w:proofErr w:type="spellStart"/>
      <w:r w:rsidRPr="00120B50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>μL</w:t>
      </w:r>
      <w:proofErr w:type="spellEnd"/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) spiked with varying concentrations of human Influenza A, B and Rhinovirus</w:t>
      </w:r>
      <w:r w:rsidR="00DA6DAB"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 (whole virus)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 xml:space="preserve"> (0, 125, 625 and 1250 </w:t>
      </w:r>
      <w:r w:rsidR="00AE78CB" w:rsidRPr="00120B50">
        <w:rPr>
          <w:rFonts w:ascii="Bookman Old Style" w:hAnsi="Bookman Old Style" w:cs="Arial"/>
          <w:color w:val="000000" w:themeColor="text1"/>
          <w:sz w:val="16"/>
          <w:szCs w:val="16"/>
        </w:rPr>
        <w:t>a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mol/</w:t>
      </w:r>
      <w:proofErr w:type="spellStart"/>
      <w:r w:rsidRPr="00120B50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>μL</w:t>
      </w:r>
      <w:proofErr w:type="spellEnd"/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).  An acceptable r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  <w:lang w:eastAsia="en-GB"/>
        </w:rPr>
        <w:t>esponse was defined as &lt;20% of the analyte area at the LLOQ and/or &lt; 5% of the area of the SIL.  The r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eproducibility of ion ratios in true positive patient samples was determined (n=158).</w:t>
      </w:r>
    </w:p>
    <w:p w14:paraId="6C1FADA8" w14:textId="51687CFA" w:rsidR="00D04EA7" w:rsidRPr="00120B50" w:rsidRDefault="00D04EA7" w:rsidP="00D04EA7">
      <w:pPr>
        <w:spacing w:line="480" w:lineRule="auto"/>
        <w:jc w:val="both"/>
        <w:rPr>
          <w:rFonts w:ascii="Bookman Old Style" w:hAnsi="Bookman Old Style" w:cs="Arial"/>
          <w:sz w:val="16"/>
          <w:szCs w:val="16"/>
        </w:rPr>
      </w:pPr>
      <w:r w:rsidRPr="00120B50">
        <w:rPr>
          <w:rFonts w:ascii="Bookman Old Style" w:hAnsi="Bookman Old Style" w:cs="Arial"/>
          <w:sz w:val="16"/>
          <w:szCs w:val="16"/>
        </w:rPr>
        <w:t>The stability of extracted patient samples was determined by preparing eight patient pools (two SARS-C</w:t>
      </w:r>
      <w:r w:rsidR="005E0BD7" w:rsidRPr="00120B50">
        <w:rPr>
          <w:rFonts w:ascii="Bookman Old Style" w:hAnsi="Bookman Old Style" w:cs="Arial"/>
          <w:sz w:val="16"/>
          <w:szCs w:val="16"/>
        </w:rPr>
        <w:t>o</w:t>
      </w:r>
      <w:r w:rsidRPr="00120B50">
        <w:rPr>
          <w:rFonts w:ascii="Bookman Old Style" w:hAnsi="Bookman Old Style" w:cs="Arial"/>
          <w:sz w:val="16"/>
          <w:szCs w:val="16"/>
        </w:rPr>
        <w:t>V-2 negative, six SARS-C</w:t>
      </w:r>
      <w:r w:rsidR="005E0BD7" w:rsidRPr="00120B50">
        <w:rPr>
          <w:rFonts w:ascii="Bookman Old Style" w:hAnsi="Bookman Old Style" w:cs="Arial"/>
          <w:sz w:val="16"/>
          <w:szCs w:val="16"/>
        </w:rPr>
        <w:t>o</w:t>
      </w:r>
      <w:r w:rsidRPr="00120B50">
        <w:rPr>
          <w:rFonts w:ascii="Bookman Old Style" w:hAnsi="Bookman Old Style" w:cs="Arial"/>
          <w:sz w:val="16"/>
          <w:szCs w:val="16"/>
        </w:rPr>
        <w:t>V-2 positive) and stor</w:t>
      </w:r>
      <w:r w:rsidR="00DA6DAB" w:rsidRPr="00120B50">
        <w:rPr>
          <w:rFonts w:ascii="Bookman Old Style" w:hAnsi="Bookman Old Style" w:cs="Arial"/>
          <w:sz w:val="16"/>
          <w:szCs w:val="16"/>
        </w:rPr>
        <w:t>ing</w:t>
      </w:r>
      <w:r w:rsidRPr="00120B50">
        <w:rPr>
          <w:rFonts w:ascii="Bookman Old Style" w:hAnsi="Bookman Old Style" w:cs="Arial"/>
          <w:sz w:val="16"/>
          <w:szCs w:val="16"/>
        </w:rPr>
        <w:t xml:space="preserve"> at 1</w:t>
      </w:r>
      <w:r w:rsidRPr="00120B50">
        <w:rPr>
          <w:rFonts w:ascii="Bookman Old Style" w:eastAsia="Calibri" w:hAnsi="Bookman Old Style" w:cs="Arial"/>
          <w:sz w:val="16"/>
          <w:szCs w:val="16"/>
        </w:rPr>
        <w:t xml:space="preserve">0°C and </w:t>
      </w:r>
      <w:r w:rsidRPr="00120B50">
        <w:rPr>
          <w:rFonts w:ascii="Bookman Old Style" w:hAnsi="Bookman Old Style" w:cs="Arial"/>
          <w:sz w:val="16"/>
          <w:szCs w:val="16"/>
        </w:rPr>
        <w:t>-80</w:t>
      </w:r>
      <w:r w:rsidRPr="00120B50">
        <w:rPr>
          <w:rFonts w:ascii="Bookman Old Style" w:eastAsia="Calibri" w:hAnsi="Bookman Old Style" w:cs="Arial"/>
          <w:sz w:val="16"/>
          <w:szCs w:val="16"/>
        </w:rPr>
        <w:t xml:space="preserve">°C for 24, 48 and 72 hours prior to analysis. In addition, for each storage temperature, one set of pooled samples were simply thawed and </w:t>
      </w:r>
      <w:proofErr w:type="gramStart"/>
      <w:r w:rsidRPr="00120B50">
        <w:rPr>
          <w:rFonts w:ascii="Bookman Old Style" w:eastAsia="Calibri" w:hAnsi="Bookman Old Style" w:cs="Arial"/>
          <w:sz w:val="16"/>
          <w:szCs w:val="16"/>
        </w:rPr>
        <w:t>analysed</w:t>
      </w:r>
      <w:proofErr w:type="gramEnd"/>
      <w:r w:rsidR="00DA6DAB" w:rsidRPr="00120B50">
        <w:rPr>
          <w:rFonts w:ascii="Bookman Old Style" w:eastAsia="Calibri" w:hAnsi="Bookman Old Style" w:cs="Arial"/>
          <w:sz w:val="16"/>
          <w:szCs w:val="16"/>
        </w:rPr>
        <w:t xml:space="preserve"> and</w:t>
      </w:r>
      <w:r w:rsidRPr="00120B50">
        <w:rPr>
          <w:rFonts w:ascii="Bookman Old Style" w:eastAsia="Calibri" w:hAnsi="Bookman Old Style" w:cs="Arial"/>
          <w:sz w:val="16"/>
          <w:szCs w:val="16"/>
        </w:rPr>
        <w:t xml:space="preserve"> one set of pooled samples w</w:t>
      </w:r>
      <w:r w:rsidR="00DA6DAB" w:rsidRPr="00120B50">
        <w:rPr>
          <w:rFonts w:ascii="Bookman Old Style" w:eastAsia="Calibri" w:hAnsi="Bookman Old Style" w:cs="Arial"/>
          <w:sz w:val="16"/>
          <w:szCs w:val="16"/>
        </w:rPr>
        <w:t>as</w:t>
      </w:r>
      <w:r w:rsidRPr="00120B50">
        <w:rPr>
          <w:rFonts w:ascii="Bookman Old Style" w:eastAsia="Calibri" w:hAnsi="Bookman Old Style" w:cs="Arial"/>
          <w:sz w:val="16"/>
          <w:szCs w:val="16"/>
        </w:rPr>
        <w:t xml:space="preserve"> thawed and reconstituted with 0.1 % formic acid (20 µL) prior to analysis. </w:t>
      </w:r>
      <w:r w:rsidRPr="00120B50">
        <w:rPr>
          <w:rFonts w:ascii="Bookman Old Style" w:hAnsi="Bookman Old Style" w:cs="Arial"/>
          <w:sz w:val="16"/>
          <w:szCs w:val="16"/>
        </w:rPr>
        <w:t>Stability of the analytes in the extracts was confirmed when accuracies were within ±15% of the</w:t>
      </w:r>
      <w:r w:rsidR="00DA6DAB" w:rsidRPr="00120B50">
        <w:rPr>
          <w:rFonts w:ascii="Bookman Old Style" w:hAnsi="Bookman Old Style" w:cs="Arial"/>
          <w:sz w:val="16"/>
          <w:szCs w:val="16"/>
        </w:rPr>
        <w:t xml:space="preserve"> values from the</w:t>
      </w:r>
      <w:r w:rsidRPr="00120B50">
        <w:rPr>
          <w:rFonts w:ascii="Bookman Old Style" w:hAnsi="Bookman Old Style" w:cs="Arial"/>
          <w:sz w:val="16"/>
          <w:szCs w:val="16"/>
        </w:rPr>
        <w:t xml:space="preserve"> initial injection. </w:t>
      </w:r>
    </w:p>
    <w:p w14:paraId="1655F9E0" w14:textId="2E6CF112" w:rsidR="00D04EA7" w:rsidRPr="00120B50" w:rsidRDefault="00D04EA7" w:rsidP="00D04EA7">
      <w:pPr>
        <w:spacing w:line="480" w:lineRule="auto"/>
        <w:jc w:val="both"/>
        <w:rPr>
          <w:rFonts w:ascii="Bookman Old Style" w:hAnsi="Bookman Old Style" w:cs="Arial"/>
          <w:sz w:val="16"/>
          <w:szCs w:val="16"/>
        </w:rPr>
      </w:pP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Method comparison was performed against RT-PCR (</w:t>
      </w:r>
      <w:proofErr w:type="spellStart"/>
      <w:r w:rsidRPr="00120B50">
        <w:rPr>
          <w:rFonts w:ascii="Bookman Old Style" w:hAnsi="Bookman Old Style" w:cs="Arial"/>
          <w:sz w:val="16"/>
          <w:szCs w:val="16"/>
        </w:rPr>
        <w:t>Thermofisher</w:t>
      </w:r>
      <w:proofErr w:type="spellEnd"/>
      <w:r w:rsidRPr="00120B50">
        <w:rPr>
          <w:rFonts w:ascii="Bookman Old Style" w:hAnsi="Bookman Old Style" w:cs="Arial"/>
          <w:sz w:val="16"/>
          <w:szCs w:val="16"/>
        </w:rPr>
        <w:t xml:space="preserve"> </w:t>
      </w:r>
      <w:proofErr w:type="spellStart"/>
      <w:r w:rsidRPr="00120B50">
        <w:rPr>
          <w:rFonts w:ascii="Bookman Old Style" w:hAnsi="Bookman Old Style" w:cs="Arial"/>
          <w:sz w:val="16"/>
          <w:szCs w:val="16"/>
        </w:rPr>
        <w:t>TaqPath</w:t>
      </w:r>
      <w:proofErr w:type="spellEnd"/>
      <w:r w:rsidRPr="00120B50">
        <w:rPr>
          <w:rFonts w:ascii="Bookman Old Style" w:hAnsi="Bookman Old Style" w:cs="Arial"/>
          <w:sz w:val="16"/>
          <w:szCs w:val="16"/>
        </w:rPr>
        <w:t>™ COVID-19 CE-IVD RT-PCR kit, Cat A48067), which is accepted to be the gold standard method of analysis</w:t>
      </w:r>
      <w:r w:rsidR="00DA6DAB" w:rsidRPr="00120B50">
        <w:rPr>
          <w:rFonts w:ascii="Bookman Old Style" w:hAnsi="Bookman Old Style" w:cs="Arial"/>
          <w:sz w:val="16"/>
          <w:szCs w:val="16"/>
        </w:rPr>
        <w:t>, or at least of detection</w:t>
      </w:r>
      <w:r w:rsidRPr="00120B50">
        <w:rPr>
          <w:rFonts w:ascii="Bookman Old Style" w:hAnsi="Bookman Old Style" w:cs="Arial"/>
          <w:sz w:val="16"/>
          <w:szCs w:val="16"/>
        </w:rPr>
        <w:t>. Three nas</w:t>
      </w:r>
      <w:r w:rsidR="00E86135" w:rsidRPr="00120B50">
        <w:rPr>
          <w:rFonts w:ascii="Bookman Old Style" w:hAnsi="Bookman Old Style" w:cs="Arial"/>
          <w:sz w:val="16"/>
          <w:szCs w:val="16"/>
        </w:rPr>
        <w:t xml:space="preserve">opharyngeal </w:t>
      </w:r>
      <w:r w:rsidRPr="00120B50">
        <w:rPr>
          <w:rFonts w:ascii="Bookman Old Style" w:hAnsi="Bookman Old Style" w:cs="Arial"/>
          <w:sz w:val="16"/>
          <w:szCs w:val="16"/>
        </w:rPr>
        <w:t xml:space="preserve">swabs from each subject (n=396) were collected under the umbrella of the FALCON study, the first two swabs </w:t>
      </w:r>
      <w:r w:rsidR="00DA6DAB" w:rsidRPr="00120B50">
        <w:rPr>
          <w:rFonts w:ascii="Bookman Old Style" w:hAnsi="Bookman Old Style" w:cs="Arial"/>
          <w:sz w:val="16"/>
          <w:szCs w:val="16"/>
        </w:rPr>
        <w:t xml:space="preserve">were collected </w:t>
      </w:r>
      <w:r w:rsidRPr="00120B50">
        <w:rPr>
          <w:rFonts w:ascii="Bookman Old Style" w:hAnsi="Bookman Old Style" w:cs="Arial"/>
          <w:sz w:val="16"/>
          <w:szCs w:val="16"/>
        </w:rPr>
        <w:t xml:space="preserve">into viral transport medium (VTM) and the third swab into ethanol </w:t>
      </w:r>
      <w:r w:rsidR="00DA6DAB" w:rsidRPr="00120B50">
        <w:rPr>
          <w:rFonts w:ascii="Bookman Old Style" w:hAnsi="Bookman Old Style" w:cs="Arial"/>
          <w:sz w:val="16"/>
          <w:szCs w:val="16"/>
        </w:rPr>
        <w:t>deactivation</w:t>
      </w:r>
      <w:r w:rsidRPr="00120B50">
        <w:rPr>
          <w:rFonts w:ascii="Bookman Old Style" w:hAnsi="Bookman Old Style" w:cs="Arial"/>
          <w:sz w:val="16"/>
          <w:szCs w:val="16"/>
        </w:rPr>
        <w:t xml:space="preserve"> solution. Diagnostic sensitivity and specificity were used to assess agreement between the methods. The target performance criterion set </w:t>
      </w:r>
      <w:r w:rsidRPr="00120B50">
        <w:rPr>
          <w:rFonts w:ascii="Bookman Old Style" w:hAnsi="Bookman Old Style" w:cs="Arial"/>
          <w:sz w:val="16"/>
          <w:szCs w:val="16"/>
        </w:rPr>
        <w:lastRenderedPageBreak/>
        <w:t>by the DHSC was &gt; 95% for sensitivity and specificity at RT-</w:t>
      </w:r>
      <w:r w:rsidR="005E0BD7" w:rsidRPr="00120B50">
        <w:rPr>
          <w:rFonts w:ascii="Bookman Old Style" w:hAnsi="Bookman Old Style" w:cs="Arial"/>
          <w:sz w:val="16"/>
          <w:szCs w:val="16"/>
        </w:rPr>
        <w:t>q</w:t>
      </w:r>
      <w:r w:rsidRPr="00120B50">
        <w:rPr>
          <w:rFonts w:ascii="Bookman Old Style" w:hAnsi="Bookman Old Style" w:cs="Arial"/>
          <w:sz w:val="16"/>
          <w:szCs w:val="16"/>
        </w:rPr>
        <w:t>PC</w:t>
      </w:r>
      <w:r w:rsidR="005E0BD7" w:rsidRPr="00120B50">
        <w:rPr>
          <w:rFonts w:ascii="Bookman Old Style" w:hAnsi="Bookman Old Style" w:cs="Arial"/>
          <w:sz w:val="16"/>
          <w:szCs w:val="16"/>
        </w:rPr>
        <w:t>R</w:t>
      </w:r>
      <w:r w:rsidRPr="00120B50">
        <w:rPr>
          <w:rFonts w:ascii="Bookman Old Style" w:hAnsi="Bookman Old Style" w:cs="Arial"/>
          <w:sz w:val="16"/>
          <w:szCs w:val="16"/>
        </w:rPr>
        <w:t xml:space="preserve"> </w:t>
      </w:r>
      <w:r w:rsidR="00E86135" w:rsidRPr="00120B50">
        <w:rPr>
          <w:rFonts w:ascii="Bookman Old Style" w:hAnsi="Bookman Old Style" w:cs="Arial"/>
          <w:sz w:val="16"/>
          <w:szCs w:val="16"/>
        </w:rPr>
        <w:t xml:space="preserve">quantification </w:t>
      </w:r>
      <w:r w:rsidRPr="00120B50">
        <w:rPr>
          <w:rFonts w:ascii="Bookman Old Style" w:hAnsi="Bookman Old Style" w:cs="Arial"/>
          <w:sz w:val="16"/>
          <w:szCs w:val="16"/>
        </w:rPr>
        <w:t>cycle (</w:t>
      </w:r>
      <w:proofErr w:type="spellStart"/>
      <w:r w:rsidRPr="00120B50">
        <w:rPr>
          <w:rFonts w:ascii="Bookman Old Style" w:hAnsi="Bookman Old Style" w:cs="Arial"/>
          <w:sz w:val="16"/>
          <w:szCs w:val="16"/>
        </w:rPr>
        <w:t>C</w:t>
      </w:r>
      <w:r w:rsidR="00E86135" w:rsidRPr="00120B50">
        <w:rPr>
          <w:rFonts w:ascii="Bookman Old Style" w:hAnsi="Bookman Old Style" w:cs="Arial"/>
          <w:sz w:val="16"/>
          <w:szCs w:val="16"/>
        </w:rPr>
        <w:t>q</w:t>
      </w:r>
      <w:proofErr w:type="spellEnd"/>
      <w:r w:rsidRPr="00120B50">
        <w:rPr>
          <w:rFonts w:ascii="Bookman Old Style" w:hAnsi="Bookman Old Style" w:cs="Arial"/>
          <w:sz w:val="16"/>
          <w:szCs w:val="16"/>
        </w:rPr>
        <w:t>) &lt; 27. Concordance between the two methods (Cohen’s Kappa &gt; 0.8)</w:t>
      </w:r>
      <w:r w:rsidR="002A3284" w:rsidRPr="00120B50">
        <w:rPr>
          <w:rFonts w:ascii="Bookman Old Style" w:hAnsi="Bookman Old Style" w:cs="Arial"/>
          <w:sz w:val="16"/>
          <w:szCs w:val="16"/>
        </w:rPr>
        <w:t xml:space="preserve"> </w:t>
      </w:r>
      <w:r w:rsidR="003A113B" w:rsidRPr="003A113B">
        <w:rPr>
          <w:rFonts w:ascii="Bookman Old Style" w:hAnsi="Bookman Old Style" w:cs="Arial"/>
          <w:sz w:val="16"/>
          <w:szCs w:val="16"/>
        </w:rPr>
        <w:t>[</w:t>
      </w:r>
      <w:r w:rsidR="002A3284" w:rsidRPr="003A113B">
        <w:rPr>
          <w:rFonts w:ascii="Bookman Old Style" w:hAnsi="Bookman Old Style" w:cs="Arial"/>
          <w:sz w:val="16"/>
          <w:szCs w:val="16"/>
        </w:rPr>
        <w:t>1</w:t>
      </w:r>
      <w:r w:rsidR="003A113B" w:rsidRPr="003A113B">
        <w:rPr>
          <w:rFonts w:ascii="Bookman Old Style" w:hAnsi="Bookman Old Style" w:cs="Arial"/>
          <w:sz w:val="16"/>
          <w:szCs w:val="16"/>
        </w:rPr>
        <w:t>]</w:t>
      </w:r>
      <w:r w:rsidRPr="00120B50">
        <w:rPr>
          <w:rFonts w:ascii="Bookman Old Style" w:hAnsi="Bookman Old Style" w:cs="Arial"/>
          <w:sz w:val="16"/>
          <w:szCs w:val="16"/>
        </w:rPr>
        <w:t xml:space="preserve"> was a target set by the P2 laboratories.</w:t>
      </w:r>
    </w:p>
    <w:p w14:paraId="7B5FB2F4" w14:textId="77777777" w:rsidR="00D04EA7" w:rsidRPr="00120B50" w:rsidRDefault="00D04EA7" w:rsidP="00D04EA7">
      <w:pPr>
        <w:spacing w:line="480" w:lineRule="auto"/>
        <w:jc w:val="both"/>
        <w:rPr>
          <w:rFonts w:ascii="Bookman Old Style" w:hAnsi="Bookman Old Style" w:cs="Arial"/>
          <w:sz w:val="16"/>
          <w:szCs w:val="16"/>
        </w:rPr>
      </w:pPr>
    </w:p>
    <w:p w14:paraId="21613DC4" w14:textId="0F0D67F7" w:rsidR="00D04EA7" w:rsidRPr="00120B50" w:rsidRDefault="00D04EA7" w:rsidP="00D04EA7">
      <w:pPr>
        <w:spacing w:line="480" w:lineRule="auto"/>
        <w:jc w:val="both"/>
        <w:rPr>
          <w:rFonts w:ascii="Bookman Old Style" w:hAnsi="Bookman Old Style" w:cs="Arial"/>
          <w:sz w:val="16"/>
          <w:szCs w:val="16"/>
        </w:rPr>
      </w:pPr>
      <w:r w:rsidRPr="00120B50">
        <w:rPr>
          <w:rFonts w:ascii="Bookman Old Style" w:hAnsi="Bookman Old Style" w:cs="Arial"/>
          <w:sz w:val="16"/>
          <w:szCs w:val="16"/>
        </w:rPr>
        <w:t xml:space="preserve">A comparison of the 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RT-</w:t>
      </w:r>
      <w:r w:rsidR="00E86135" w:rsidRPr="00120B50">
        <w:rPr>
          <w:rFonts w:ascii="Bookman Old Style" w:hAnsi="Bookman Old Style" w:cs="Arial"/>
          <w:color w:val="000000" w:themeColor="text1"/>
          <w:sz w:val="16"/>
          <w:szCs w:val="16"/>
        </w:rPr>
        <w:t>q</w:t>
      </w:r>
      <w:r w:rsidRPr="00120B50">
        <w:rPr>
          <w:rFonts w:ascii="Bookman Old Style" w:hAnsi="Bookman Old Style" w:cs="Arial"/>
          <w:color w:val="000000" w:themeColor="text1"/>
          <w:sz w:val="16"/>
          <w:szCs w:val="16"/>
        </w:rPr>
        <w:t>PCR (</w:t>
      </w:r>
      <w:proofErr w:type="spellStart"/>
      <w:r w:rsidRPr="00120B50">
        <w:rPr>
          <w:rFonts w:ascii="Bookman Old Style" w:hAnsi="Bookman Old Style" w:cs="Arial"/>
          <w:sz w:val="16"/>
          <w:szCs w:val="16"/>
        </w:rPr>
        <w:t>Thermofisher</w:t>
      </w:r>
      <w:proofErr w:type="spellEnd"/>
      <w:r w:rsidRPr="00120B50">
        <w:rPr>
          <w:rFonts w:ascii="Bookman Old Style" w:hAnsi="Bookman Old Style" w:cs="Arial"/>
          <w:sz w:val="16"/>
          <w:szCs w:val="16"/>
        </w:rPr>
        <w:t xml:space="preserve"> </w:t>
      </w:r>
      <w:proofErr w:type="spellStart"/>
      <w:r w:rsidRPr="00120B50">
        <w:rPr>
          <w:rFonts w:ascii="Bookman Old Style" w:hAnsi="Bookman Old Style" w:cs="Arial"/>
          <w:sz w:val="16"/>
          <w:szCs w:val="16"/>
        </w:rPr>
        <w:t>TaqPath</w:t>
      </w:r>
      <w:proofErr w:type="spellEnd"/>
      <w:r w:rsidRPr="00120B50">
        <w:rPr>
          <w:rFonts w:ascii="Bookman Old Style" w:hAnsi="Bookman Old Style" w:cs="Arial"/>
          <w:sz w:val="16"/>
          <w:szCs w:val="16"/>
        </w:rPr>
        <w:t>™ COVID-19)</w:t>
      </w:r>
      <w:r w:rsidR="00DA6DAB" w:rsidRPr="00120B50">
        <w:rPr>
          <w:rFonts w:ascii="Bookman Old Style" w:hAnsi="Bookman Old Style" w:cs="Arial"/>
          <w:sz w:val="16"/>
          <w:szCs w:val="16"/>
        </w:rPr>
        <w:t xml:space="preserve"> method</w:t>
      </w:r>
      <w:r w:rsidRPr="00120B50">
        <w:rPr>
          <w:rFonts w:ascii="Bookman Old Style" w:hAnsi="Bookman Old Style" w:cs="Arial"/>
          <w:sz w:val="16"/>
          <w:szCs w:val="16"/>
        </w:rPr>
        <w:t xml:space="preserve"> performed in two different laboratories was undertaken to benchmark the error rate associated with independently collected samples from the same subject at the same time (n=502). </w:t>
      </w:r>
    </w:p>
    <w:p w14:paraId="3D12DB88" w14:textId="1A1A9C46" w:rsidR="00284FED" w:rsidRPr="00120B50" w:rsidRDefault="00000000">
      <w:pPr>
        <w:rPr>
          <w:rFonts w:ascii="Bookman Old Style" w:hAnsi="Bookman Old Style"/>
          <w:sz w:val="16"/>
          <w:szCs w:val="16"/>
        </w:rPr>
      </w:pPr>
    </w:p>
    <w:p w14:paraId="09E9F350" w14:textId="1B9744A5" w:rsidR="002A3284" w:rsidRPr="003A113B" w:rsidRDefault="002A3284" w:rsidP="003A113B">
      <w:pPr>
        <w:pStyle w:val="ListParagraph"/>
        <w:numPr>
          <w:ilvl w:val="0"/>
          <w:numId w:val="2"/>
        </w:numPr>
        <w:rPr>
          <w:rFonts w:ascii="Bookman Old Style" w:hAnsi="Bookman Old Style"/>
          <w:sz w:val="16"/>
          <w:szCs w:val="16"/>
        </w:rPr>
      </w:pPr>
      <w:r w:rsidRPr="003A113B">
        <w:rPr>
          <w:rFonts w:ascii="Bookman Old Style" w:hAnsi="Bookman Old Style" w:cs="Arial"/>
          <w:sz w:val="16"/>
          <w:szCs w:val="16"/>
        </w:rPr>
        <w:t>Landis J, Kock G. The measurement of observer agreement for categorical data. Biometrics 1977;35:159-74.</w:t>
      </w:r>
    </w:p>
    <w:sectPr w:rsidR="002A3284" w:rsidRPr="003A1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6EAE" w14:textId="77777777" w:rsidR="00F02355" w:rsidRDefault="00F02355" w:rsidP="00120B50">
      <w:pPr>
        <w:spacing w:after="0" w:line="240" w:lineRule="auto"/>
      </w:pPr>
      <w:r>
        <w:separator/>
      </w:r>
    </w:p>
  </w:endnote>
  <w:endnote w:type="continuationSeparator" w:id="0">
    <w:p w14:paraId="57DC9593" w14:textId="77777777" w:rsidR="00F02355" w:rsidRDefault="00F02355" w:rsidP="0012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0784" w14:textId="77777777" w:rsidR="00F02355" w:rsidRDefault="00F02355" w:rsidP="00120B50">
      <w:pPr>
        <w:spacing w:after="0" w:line="240" w:lineRule="auto"/>
      </w:pPr>
      <w:r>
        <w:separator/>
      </w:r>
    </w:p>
  </w:footnote>
  <w:footnote w:type="continuationSeparator" w:id="0">
    <w:p w14:paraId="58A826BD" w14:textId="77777777" w:rsidR="00F02355" w:rsidRDefault="00F02355" w:rsidP="00120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BD4"/>
    <w:multiLevelType w:val="hybridMultilevel"/>
    <w:tmpl w:val="40C422AA"/>
    <w:lvl w:ilvl="0" w:tplc="33A0E43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F1FE5"/>
    <w:multiLevelType w:val="hybridMultilevel"/>
    <w:tmpl w:val="29F87AFE"/>
    <w:lvl w:ilvl="0" w:tplc="BB7C2D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23269">
    <w:abstractNumId w:val="1"/>
  </w:num>
  <w:num w:numId="2" w16cid:durableId="41124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A7"/>
    <w:rsid w:val="0005754B"/>
    <w:rsid w:val="00101B40"/>
    <w:rsid w:val="00120B50"/>
    <w:rsid w:val="00216C29"/>
    <w:rsid w:val="002A3284"/>
    <w:rsid w:val="003A113B"/>
    <w:rsid w:val="005E0BD7"/>
    <w:rsid w:val="005F4BF4"/>
    <w:rsid w:val="006F33DA"/>
    <w:rsid w:val="00A735E1"/>
    <w:rsid w:val="00AE78CB"/>
    <w:rsid w:val="00BA0867"/>
    <w:rsid w:val="00CE1C02"/>
    <w:rsid w:val="00D04EA7"/>
    <w:rsid w:val="00DA6DAB"/>
    <w:rsid w:val="00E86135"/>
    <w:rsid w:val="00F0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3390"/>
  <w15:chartTrackingRefBased/>
  <w15:docId w15:val="{9BB49156-EA7C-4754-BE33-94D6A139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F33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3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B50"/>
  </w:style>
  <w:style w:type="paragraph" w:styleId="Footer">
    <w:name w:val="footer"/>
    <w:basedOn w:val="Normal"/>
    <w:link w:val="FooterChar"/>
    <w:uiPriority w:val="99"/>
    <w:unhideWhenUsed/>
    <w:rsid w:val="00120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Carling</dc:creator>
  <cp:keywords/>
  <dc:description/>
  <cp:lastModifiedBy>Rachel Carling</cp:lastModifiedBy>
  <cp:revision>8</cp:revision>
  <dcterms:created xsi:type="dcterms:W3CDTF">2022-07-13T09:59:00Z</dcterms:created>
  <dcterms:modified xsi:type="dcterms:W3CDTF">2022-09-27T15:24:00Z</dcterms:modified>
</cp:coreProperties>
</file>