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12" w:rsidRPr="00BC2DE5" w:rsidRDefault="00485012" w:rsidP="00485012">
      <w:pPr>
        <w:pStyle w:val="NurText"/>
        <w:jc w:val="both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BC2DE5">
        <w:rPr>
          <w:rFonts w:ascii="Arial" w:eastAsia="Calibri" w:hAnsi="Arial" w:cs="Arial"/>
          <w:b/>
          <w:bCs/>
          <w:sz w:val="24"/>
          <w:szCs w:val="24"/>
          <w:lang w:val="en-US"/>
        </w:rPr>
        <w:t>Table S3. Patient and infection characteristics according to empirical antibiotic therapy</w:t>
      </w:r>
    </w:p>
    <w:p w:rsidR="00485012" w:rsidRPr="00BC2DE5" w:rsidRDefault="00485012" w:rsidP="00485012">
      <w:pPr>
        <w:pStyle w:val="NurText"/>
        <w:jc w:val="both"/>
        <w:rPr>
          <w:lang w:val="en-US"/>
        </w:rPr>
      </w:pPr>
    </w:p>
    <w:tbl>
      <w:tblPr>
        <w:tblStyle w:val="TabelleWeb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443"/>
        <w:gridCol w:w="40"/>
        <w:gridCol w:w="2483"/>
      </w:tblGrid>
      <w:tr w:rsidR="00485012" w:rsidRPr="00BC2DE5" w:rsidTr="00D97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0" w:type="auto"/>
            <w:tcBorders>
              <w:top w:val="single" w:sz="12" w:space="0" w:color="auto"/>
            </w:tcBorders>
            <w:noWrap/>
            <w:vAlign w:val="center"/>
            <w:hideMark/>
          </w:tcPr>
          <w:p w:rsidR="00485012" w:rsidRPr="00BC2DE5" w:rsidRDefault="00485012" w:rsidP="00D976E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43" w:type="dxa"/>
            <w:gridSpan w:val="2"/>
            <w:tcBorders>
              <w:top w:val="single" w:sz="12" w:space="0" w:color="auto"/>
            </w:tcBorders>
            <w:noWrap/>
            <w:hideMark/>
          </w:tcPr>
          <w:p w:rsidR="00485012" w:rsidRPr="00BC2DE5" w:rsidRDefault="00485012" w:rsidP="00D976E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Empirical antibiotic</w:t>
            </w:r>
          </w:p>
          <w:p w:rsidR="00485012" w:rsidRPr="00BC2DE5" w:rsidRDefault="00485012" w:rsidP="00D976E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therapy</w:t>
            </w:r>
          </w:p>
        </w:tc>
        <w:tc>
          <w:tcPr>
            <w:tcW w:w="2423" w:type="dxa"/>
            <w:tcBorders>
              <w:top w:val="single" w:sz="12" w:space="0" w:color="auto"/>
            </w:tcBorders>
          </w:tcPr>
          <w:p w:rsidR="00485012" w:rsidRPr="00BC2DE5" w:rsidRDefault="00485012" w:rsidP="00D976E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No empirical antibiotic therapy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Patient characteristics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n=417 (%)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n=131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Mean age (years)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70,2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69,9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  <w:hideMark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 xml:space="preserve">ICU </w:t>
            </w:r>
            <w:proofErr w:type="spellStart"/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admission</w:t>
            </w:r>
            <w:r w:rsidRPr="00BC2DE5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0" w:type="auto"/>
            <w:noWrap/>
            <w:hideMark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58 (13.9)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5 (3.8)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  <w:hideMark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Patient death</w:t>
            </w:r>
          </w:p>
        </w:tc>
        <w:tc>
          <w:tcPr>
            <w:tcW w:w="0" w:type="auto"/>
            <w:noWrap/>
            <w:hideMark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59 (14.1)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13 (9.9)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 xml:space="preserve"> Infection characteristics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 xml:space="preserve">Gram-negative bacteria 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303 (72.7)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76 (58.0)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Escherichia coli 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173 (41.5)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36 (27.5)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Group 2 enterobacteriaceae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65 (15.6)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15 (11.5)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Group 3 enterobacteriaceae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24 (5.8)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17 (13.0)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Anaerobic bacteria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20 (4.8)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4 (3.1)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Pseudomonas </w:t>
            </w: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spp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17 (4.1)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3 (2.3)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Other gram-negative bacteria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4 (1.0)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1 (0.8)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Gram-positive bacteria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114 (27.3)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55 (42.0)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Staphylococcus aureus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56 (13.4)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27 (20.6)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lastRenderedPageBreak/>
              <w:t>Streptococcus</w:t>
            </w: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 xml:space="preserve"> spp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40 (9.6)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15 (11.5)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Enterococcus</w:t>
            </w: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 xml:space="preserve"> spp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15 (3.6)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10 (7.6)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Other gram-positive bacteria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3 (0.7)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3 (2.3)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  <w:hideMark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Underlying infection</w:t>
            </w:r>
          </w:p>
        </w:tc>
        <w:tc>
          <w:tcPr>
            <w:tcW w:w="0" w:type="auto"/>
            <w:noWrap/>
            <w:hideMark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Genito-urinary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167 (40.0)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31 (23.7)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Intra-abdominal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93 (22.3)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25 (19.1)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Catheter related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44 (10.6)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19 (14.5)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Unknown</w:t>
            </w:r>
            <w:r w:rsidRPr="00BC2DE5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35 (8.4)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20 (15.3)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Cutaneous</w:t>
            </w:r>
            <w:r w:rsidRPr="00BC2DE5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29 (7.0)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16 (12.2)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Respiratory</w:t>
            </w:r>
          </w:p>
        </w:tc>
        <w:tc>
          <w:tcPr>
            <w:tcW w:w="0" w:type="auto"/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24 (5.8)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3 (2.3)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  <w:hideMark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Endocarditis</w:t>
            </w:r>
          </w:p>
        </w:tc>
        <w:tc>
          <w:tcPr>
            <w:tcW w:w="0" w:type="auto"/>
            <w:noWrap/>
            <w:hideMark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14 (3.4)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12 (9.2)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noWrap/>
            <w:hideMark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Bone and Joint</w:t>
            </w:r>
          </w:p>
        </w:tc>
        <w:tc>
          <w:tcPr>
            <w:tcW w:w="0" w:type="auto"/>
            <w:noWrap/>
            <w:hideMark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7 (1.7)</w:t>
            </w:r>
          </w:p>
        </w:tc>
        <w:tc>
          <w:tcPr>
            <w:tcW w:w="0" w:type="auto"/>
            <w:gridSpan w:val="2"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3 (2.3)</w:t>
            </w:r>
          </w:p>
        </w:tc>
      </w:tr>
      <w:tr w:rsidR="00485012" w:rsidRPr="00BC2DE5" w:rsidTr="00D976E0">
        <w:trPr>
          <w:trHeight w:val="300"/>
        </w:trPr>
        <w:tc>
          <w:tcPr>
            <w:tcW w:w="0" w:type="auto"/>
            <w:tcBorders>
              <w:bottom w:val="single" w:sz="18" w:space="0" w:color="auto"/>
            </w:tcBorders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ind w:left="708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Other</w:t>
            </w:r>
            <w:r w:rsidRPr="00BC2DE5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d</w:t>
            </w:r>
            <w:proofErr w:type="spellEnd"/>
          </w:p>
        </w:tc>
        <w:tc>
          <w:tcPr>
            <w:tcW w:w="0" w:type="auto"/>
            <w:tcBorders>
              <w:bottom w:val="single" w:sz="18" w:space="0" w:color="auto"/>
            </w:tcBorders>
            <w:noWrap/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4 (1.0)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</w:tcPr>
          <w:p w:rsidR="00485012" w:rsidRPr="00BC2DE5" w:rsidRDefault="00485012" w:rsidP="00D976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2DE5">
              <w:rPr>
                <w:rFonts w:ascii="Arial" w:hAnsi="Arial" w:cs="Arial"/>
                <w:sz w:val="24"/>
                <w:szCs w:val="24"/>
                <w:lang w:val="en-US"/>
              </w:rPr>
              <w:t>2 (1.5)</w:t>
            </w:r>
          </w:p>
        </w:tc>
      </w:tr>
    </w:tbl>
    <w:p w:rsidR="00485012" w:rsidRPr="00BC2DE5" w:rsidRDefault="00485012" w:rsidP="004850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C2DE5">
        <w:rPr>
          <w:rFonts w:ascii="Arial" w:hAnsi="Arial" w:cs="Arial"/>
          <w:sz w:val="24"/>
          <w:szCs w:val="24"/>
        </w:rPr>
        <w:t>ICU: intensive care unit</w:t>
      </w:r>
    </w:p>
    <w:p w:rsidR="00485012" w:rsidRPr="00BC2DE5" w:rsidRDefault="00485012" w:rsidP="00485012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C2DE5">
        <w:rPr>
          <w:rFonts w:ascii="Arial" w:hAnsi="Arial" w:cs="Arial"/>
          <w:sz w:val="24"/>
          <w:szCs w:val="24"/>
          <w:vertAlign w:val="superscript"/>
          <w:lang w:val="en-US"/>
        </w:rPr>
        <w:t xml:space="preserve">a </w:t>
      </w:r>
      <w:r w:rsidRPr="00BC2DE5">
        <w:rPr>
          <w:rFonts w:ascii="Arial" w:hAnsi="Arial" w:cs="Arial"/>
          <w:sz w:val="24"/>
          <w:szCs w:val="24"/>
          <w:lang w:val="en-US"/>
        </w:rPr>
        <w:t xml:space="preserve">refers to patients who required intensive care at bloodstream infection onset. </w:t>
      </w:r>
    </w:p>
    <w:p w:rsidR="00485012" w:rsidRPr="00BC2DE5" w:rsidRDefault="00485012" w:rsidP="0048501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BC2DE5">
        <w:rPr>
          <w:rFonts w:ascii="Arial" w:hAnsi="Arial" w:cs="Arial"/>
          <w:sz w:val="24"/>
          <w:szCs w:val="24"/>
          <w:vertAlign w:val="superscript"/>
          <w:lang w:val="en-US"/>
        </w:rPr>
        <w:t>b</w:t>
      </w:r>
      <w:r w:rsidRPr="00BC2DE5">
        <w:rPr>
          <w:rFonts w:ascii="Arial" w:hAnsi="Arial" w:cs="Arial"/>
          <w:sz w:val="24"/>
          <w:szCs w:val="24"/>
          <w:lang w:val="en-US"/>
        </w:rPr>
        <w:t xml:space="preserve"> refers to bacteremia without evidence for any underlying infection or apparent source.</w:t>
      </w:r>
    </w:p>
    <w:p w:rsidR="00485012" w:rsidRPr="00BC2DE5" w:rsidRDefault="00485012" w:rsidP="0048501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BC2DE5">
        <w:rPr>
          <w:rFonts w:ascii="Arial" w:hAnsi="Arial" w:cs="Arial"/>
          <w:sz w:val="24"/>
          <w:szCs w:val="24"/>
          <w:vertAlign w:val="superscript"/>
          <w:lang w:val="en-US"/>
        </w:rPr>
        <w:t>c</w:t>
      </w:r>
      <w:r w:rsidRPr="00BC2DE5">
        <w:rPr>
          <w:rFonts w:ascii="Arial" w:hAnsi="Arial" w:cs="Arial"/>
          <w:sz w:val="24"/>
          <w:szCs w:val="24"/>
          <w:lang w:val="en-US"/>
        </w:rPr>
        <w:t xml:space="preserve"> including surgical site infections, skin and soft tissue infections and bacteremia from wounds and bed sores.</w:t>
      </w:r>
    </w:p>
    <w:p w:rsidR="00F575FF" w:rsidRPr="00485012" w:rsidRDefault="00485012" w:rsidP="00485012">
      <w:pPr>
        <w:spacing w:line="240" w:lineRule="auto"/>
        <w:rPr>
          <w:lang w:val="en-US"/>
        </w:rPr>
      </w:pPr>
      <w:r w:rsidRPr="00BC2DE5">
        <w:rPr>
          <w:rFonts w:ascii="Arial" w:hAnsi="Arial" w:cs="Arial"/>
          <w:sz w:val="24"/>
          <w:szCs w:val="24"/>
          <w:vertAlign w:val="superscript"/>
          <w:lang w:val="en-US"/>
        </w:rPr>
        <w:t>d</w:t>
      </w:r>
      <w:r w:rsidRPr="00BC2DE5">
        <w:rPr>
          <w:rFonts w:ascii="Arial" w:hAnsi="Arial" w:cs="Arial"/>
          <w:sz w:val="24"/>
          <w:szCs w:val="24"/>
          <w:lang w:val="en-US"/>
        </w:rPr>
        <w:t xml:space="preserve"> includes bacteremia following dental infections and meningitis.</w:t>
      </w:r>
      <w:bookmarkStart w:id="0" w:name="_GoBack"/>
      <w:bookmarkEnd w:id="0"/>
    </w:p>
    <w:sectPr w:rsidR="00F575FF" w:rsidRPr="0048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12"/>
    <w:rsid w:val="002A7431"/>
    <w:rsid w:val="00436FAF"/>
    <w:rsid w:val="00485012"/>
    <w:rsid w:val="00A15B5D"/>
    <w:rsid w:val="00B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C945C-0B24-4F74-9256-48DDB7FB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501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485012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85012"/>
    <w:rPr>
      <w:rFonts w:ascii="Calibri" w:hAnsi="Calibri"/>
      <w:szCs w:val="21"/>
    </w:rPr>
  </w:style>
  <w:style w:type="table" w:styleId="TabelleWeb2">
    <w:name w:val="Table Web 2"/>
    <w:basedOn w:val="NormaleTabelle"/>
    <w:uiPriority w:val="99"/>
    <w:rsid w:val="00485012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Chirio</dc:creator>
  <cp:keywords/>
  <dc:description/>
  <cp:lastModifiedBy>Jahnke, Heike</cp:lastModifiedBy>
  <cp:revision>2</cp:revision>
  <dcterms:created xsi:type="dcterms:W3CDTF">2022-10-24T14:05:00Z</dcterms:created>
  <dcterms:modified xsi:type="dcterms:W3CDTF">2022-10-24T14:05:00Z</dcterms:modified>
</cp:coreProperties>
</file>