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05013" w14:textId="5CA7E137" w:rsidR="0054569B" w:rsidRPr="00D479F9" w:rsidRDefault="0054569B" w:rsidP="00874804">
      <w:pPr>
        <w:spacing w:line="480" w:lineRule="auto"/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  <w:t>Supplementary</w:t>
      </w:r>
      <w:r w:rsidR="004F0CDB" w:rsidRPr="00D479F9"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  <w:t xml:space="preserve"> information</w:t>
      </w:r>
    </w:p>
    <w:p w14:paraId="46625B65" w14:textId="34117C74" w:rsidR="00445B61" w:rsidRPr="00D479F9" w:rsidRDefault="00445B61" w:rsidP="00874804">
      <w:pPr>
        <w:spacing w:line="480" w:lineRule="auto"/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  <w:t>Analytical performance studies</w:t>
      </w:r>
    </w:p>
    <w:p w14:paraId="46590DA1" w14:textId="3F7E403A" w:rsidR="00445B61" w:rsidRPr="00D479F9" w:rsidRDefault="00720759" w:rsidP="00780472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>Precision 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was evaluated by following the CLSI EP05-A3</w:t>
      </w:r>
      <w:r w:rsid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[1]</w:t>
      </w:r>
      <w:r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. </w:t>
      </w:r>
      <w:r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W</w:t>
      </w: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ithin-run precision study was performed with 20 replicates of low </w:t>
      </w:r>
      <w:proofErr w:type="gramStart"/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(approximately </w:t>
      </w:r>
      <w:r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2.</w:t>
      </w:r>
      <w:r w:rsidR="00245290">
        <w:rPr>
          <w:rStyle w:val="fontstyle01"/>
          <w:rFonts w:ascii="Bookman Old Style" w:hAnsi="Bookman Old Style" w:cs="Times New Roman" w:hint="eastAsia"/>
          <w:sz w:val="16"/>
          <w:szCs w:val="16"/>
        </w:rPr>
        <w:t>51</w:t>
      </w:r>
      <w:r w:rsidR="006235A3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</w:t>
      </w:r>
      <w:proofErr w:type="spellStart"/>
      <w:r w:rsidR="006235A3"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n</w:t>
      </w:r>
      <w:r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</w:t>
      </w:r>
      <w:r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L</w:t>
      </w: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>)</w:t>
      </w:r>
      <w:proofErr w:type="gramEnd"/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 and high (approximately </w:t>
      </w:r>
      <w:r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8.</w:t>
      </w:r>
      <w:r w:rsidR="00245290">
        <w:rPr>
          <w:rStyle w:val="fontstyle01"/>
          <w:rFonts w:ascii="Bookman Old Style" w:hAnsi="Bookman Old Style" w:cs="Times New Roman" w:hint="eastAsia"/>
          <w:sz w:val="16"/>
          <w:szCs w:val="16"/>
        </w:rPr>
        <w:t>68</w:t>
      </w:r>
      <w:r w:rsidR="006235A3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</w:t>
      </w:r>
      <w:proofErr w:type="spellStart"/>
      <w:r w:rsidR="006235A3"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n</w:t>
      </w:r>
      <w:r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g</w:t>
      </w:r>
      <w:proofErr w:type="spellEnd"/>
      <w:r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) </w:t>
      </w:r>
      <w:r w:rsidR="0022422F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mixed </w:t>
      </w:r>
      <w:r w:rsidR="0022422F" w:rsidRPr="00086454">
        <w:rPr>
          <w:rStyle w:val="fontstyle01"/>
          <w:rFonts w:ascii="Bookman Old Style" w:hAnsi="Bookman Old Style" w:cs="Times New Roman"/>
          <w:sz w:val="16"/>
          <w:szCs w:val="16"/>
        </w:rPr>
        <w:t>SARS-CoV-2</w:t>
      </w:r>
      <w:r w:rsid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positive </w:t>
      </w:r>
      <w:r w:rsid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>n</w:t>
      </w:r>
      <w:r w:rsidR="0022422F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asopharyngeal swab samples </w:t>
      </w: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in 1 complete run. Between-day precision was assessed using the same </w:t>
      </w:r>
      <w:r w:rsidR="0022422F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mixed</w:t>
      </w:r>
      <w:r w:rsidR="0022422F" w:rsidRPr="00086454">
        <w:rPr>
          <w:rStyle w:val="fontstyle01"/>
          <w:rFonts w:ascii="Bookman Old Style" w:hAnsi="Bookman Old Style" w:cs="Times New Roman"/>
          <w:sz w:val="16"/>
          <w:szCs w:val="16"/>
        </w:rPr>
        <w:t xml:space="preserve"> SARS-CoV-2</w:t>
      </w:r>
      <w:r w:rsid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positive </w:t>
      </w:r>
      <w:proofErr w:type="gramStart"/>
      <w:r w:rsidR="0022422F" w:rsidRPr="0022422F">
        <w:rPr>
          <w:rStyle w:val="fontstyle01"/>
          <w:rFonts w:ascii="Bookman Old Style" w:hAnsi="Bookman Old Style" w:cs="Times New Roman"/>
          <w:sz w:val="16"/>
          <w:szCs w:val="16"/>
        </w:rPr>
        <w:t>Nasopharyngeal</w:t>
      </w:r>
      <w:proofErr w:type="gramEnd"/>
      <w:r w:rsidR="0022422F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 swab samples</w:t>
      </w: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 daily over 2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>0</w:t>
      </w:r>
      <w:r w:rsidRPr="0022422F">
        <w:rPr>
          <w:rStyle w:val="fontstyle01"/>
          <w:rFonts w:ascii="Bookman Old Style" w:hAnsi="Bookman Old Style" w:cs="Times New Roman"/>
          <w:sz w:val="16"/>
          <w:szCs w:val="16"/>
        </w:rPr>
        <w:t> days. The mean, standard deviation (SD), and coefficient of variation (CV, %), defined as (SD × 100)/mean, for each precision series were determined.</w:t>
      </w:r>
    </w:p>
    <w:p w14:paraId="616CC575" w14:textId="48CA3156" w:rsidR="00445B61" w:rsidRPr="00D479F9" w:rsidRDefault="00445B61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The limit of quantitation (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LoQ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) was determined as described by </w:t>
      </w:r>
      <w:r w:rsidRPr="00935E96">
        <w:rPr>
          <w:rStyle w:val="fontstyle01"/>
          <w:rFonts w:ascii="Bookman Old Style" w:hAnsi="Bookman Old Style" w:cs="Times New Roman"/>
          <w:i/>
          <w:sz w:val="16"/>
          <w:szCs w:val="16"/>
        </w:rPr>
        <w:t>the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Clinical and Laboratory Standards Institute (CLSI) EP17-A2 </w:t>
      </w:r>
      <w:r w:rsidR="004008B9" w:rsidRPr="00D479F9">
        <w:rPr>
          <w:rStyle w:val="fontstyle01"/>
          <w:rFonts w:ascii="Bookman Old Style" w:hAnsi="Bookman Old Style" w:cs="Times New Roman"/>
          <w:sz w:val="16"/>
          <w:szCs w:val="16"/>
        </w:rPr>
        <w:t>[</w:t>
      </w:r>
      <w:r w:rsidR="0076445B" w:rsidRPr="00D479F9">
        <w:rPr>
          <w:rStyle w:val="fontstyle01"/>
          <w:rFonts w:ascii="Bookman Old Style" w:hAnsi="Bookman Old Style" w:cs="Times New Roman"/>
          <w:sz w:val="16"/>
          <w:szCs w:val="16"/>
        </w:rPr>
        <w:t>2</w:t>
      </w:r>
      <w:r w:rsidR="004008B9" w:rsidRPr="00D479F9">
        <w:rPr>
          <w:rStyle w:val="fontstyle01"/>
          <w:rFonts w:ascii="Bookman Old Style" w:hAnsi="Bookman Old Style" w:cs="Times New Roman"/>
          <w:sz w:val="16"/>
          <w:szCs w:val="16"/>
        </w:rPr>
        <w:t>]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. To establish the 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LoQ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five samples with concentrations of </w:t>
      </w:r>
      <w:proofErr w:type="gram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0.318 </w:t>
      </w:r>
      <w:proofErr w:type="spellStart"/>
      <w:r w:rsidR="006235A3"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n</w:t>
      </w:r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</w:t>
      </w:r>
      <w:r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L</w:t>
      </w:r>
      <w:proofErr w:type="gram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0.637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0.955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1.274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 xml:space="preserve">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and 1.592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were prepared. The study was performed on one MAGLUMI X8 analyzer using one calibration curve and one lot of reagent (lot No. 43322031001). Each sample was run in 3 days, with 5 replicates per run each day. A calibration curve was plotted to determine the 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LoQ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, which was the concentration corresponding to the 20% coefficient of variation (CV).</w:t>
      </w:r>
    </w:p>
    <w:p w14:paraId="24E00FE5" w14:textId="67D910C6" w:rsidR="00445B61" w:rsidRPr="00D479F9" w:rsidRDefault="00445B61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Linearity was assessed by using a series of mixed 6 sample pools. As specified in the CLSI EP06 </w:t>
      </w:r>
      <w:r w:rsidR="004008B9" w:rsidRPr="00D479F9">
        <w:rPr>
          <w:rStyle w:val="fontstyle01"/>
          <w:rFonts w:ascii="Bookman Old Style" w:hAnsi="Bookman Old Style" w:cs="Times New Roman"/>
          <w:sz w:val="16"/>
          <w:szCs w:val="16"/>
        </w:rPr>
        <w:t>[</w:t>
      </w:r>
      <w:r w:rsidR="00A1387F" w:rsidRPr="00D479F9">
        <w:rPr>
          <w:rStyle w:val="fontstyle01"/>
          <w:rFonts w:ascii="Bookman Old Style" w:hAnsi="Bookman Old Style" w:cs="Times New Roman"/>
          <w:sz w:val="16"/>
          <w:szCs w:val="16"/>
        </w:rPr>
        <w:t>3</w:t>
      </w:r>
      <w:r w:rsidR="004008B9" w:rsidRPr="00D479F9">
        <w:rPr>
          <w:rStyle w:val="fontstyle01"/>
          <w:rFonts w:ascii="Bookman Old Style" w:hAnsi="Bookman Old Style" w:cs="Times New Roman"/>
          <w:sz w:val="16"/>
          <w:szCs w:val="16"/>
        </w:rPr>
        <w:t>]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a high-level of </w:t>
      </w:r>
      <w:bookmarkStart w:id="0" w:name="OLE_LINK79"/>
      <w:bookmarkStart w:id="1" w:name="OLE_LINK80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SARS-CoV-2</w:t>
      </w:r>
      <w:bookmarkEnd w:id="0"/>
      <w:bookmarkEnd w:id="1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antigen concentration from one patient’s nasopharyngeal sample was serially diluted with a low nasopharyngeal sample. Diluted sample pools were measured in triplicate. Linear regression analysis was employed to assess the performance of recovery.</w:t>
      </w:r>
    </w:p>
    <w:p w14:paraId="42CE775E" w14:textId="319303E0" w:rsidR="00445B61" w:rsidRPr="00D479F9" w:rsidRDefault="00445B61" w:rsidP="00874804">
      <w:pPr>
        <w:spacing w:line="480" w:lineRule="auto"/>
        <w:ind w:firstLineChars="200" w:firstLine="320"/>
        <w:rPr>
          <w:rStyle w:val="fontstyle01"/>
          <w:rFonts w:ascii="Bookman Old Style" w:hAnsi="Bookman Old Style" w:cs="Times New Roman"/>
          <w:sz w:val="16"/>
          <w:szCs w:val="16"/>
        </w:rPr>
      </w:pPr>
      <w:bookmarkStart w:id="2" w:name="OLE_LINK74"/>
      <w:bookmarkStart w:id="3" w:name="OLE_LINK75"/>
      <w:bookmarkStart w:id="4" w:name="OLE_LINK76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lastRenderedPageBreak/>
        <w:t>In</w:t>
      </w:r>
      <w:r w:rsidR="00B91EB8"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order to assess the analytical specificity of the system, forty-eight </w:t>
      </w:r>
      <w:r w:rsidR="00151703" w:rsidRPr="00B042C7">
        <w:rPr>
          <w:rFonts w:ascii="Bookman Old Style" w:eastAsia="宋体" w:hAnsi="Bookman Old Style" w:cs="宋体"/>
          <w:color w:val="0070C0"/>
          <w:kern w:val="0"/>
          <w:sz w:val="16"/>
          <w:szCs w:val="16"/>
        </w:rPr>
        <w:t>commercialized microbial specimens</w:t>
      </w:r>
      <w:r w:rsidR="00151703" w:rsidRPr="00D479F9">
        <w:rPr>
          <w:rStyle w:val="Char0"/>
          <w:rFonts w:ascii="Bookman Old Style" w:hAnsi="Bookman Old Style" w:cs="Times New Roman"/>
          <w:sz w:val="16"/>
          <w:szCs w:val="16"/>
        </w:rPr>
        <w:t xml:space="preserve">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were studied respectively.</w:t>
      </w:r>
      <w:bookmarkEnd w:id="2"/>
      <w:bookmarkEnd w:id="3"/>
      <w:bookmarkEnd w:id="4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For detailed information of the 48 </w:t>
      </w:r>
      <w:r w:rsidR="00151703" w:rsidRPr="00B042C7">
        <w:rPr>
          <w:rFonts w:ascii="Bookman Old Style" w:eastAsia="宋体" w:hAnsi="Bookman Old Style" w:cs="宋体"/>
          <w:color w:val="0070C0"/>
          <w:kern w:val="0"/>
          <w:sz w:val="16"/>
          <w:szCs w:val="16"/>
        </w:rPr>
        <w:t>microbial specimens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please see Supplemental Table 2. Healthy human nasopharyngeal specimens 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(n=48)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were 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>measured (</w:t>
      </w:r>
      <w:r w:rsidR="009276F9">
        <w:rPr>
          <w:rFonts w:ascii="Bookman Old Style" w:hAnsi="Bookman Old Style" w:cs="Times New Roman" w:hint="eastAsia"/>
          <w:color w:val="000000"/>
          <w:sz w:val="14"/>
          <w:szCs w:val="14"/>
        </w:rPr>
        <w:t>h</w:t>
      </w:r>
      <w:r w:rsidR="009276F9" w:rsidRPr="00B96509">
        <w:rPr>
          <w:rFonts w:ascii="Bookman Old Style" w:hAnsi="Bookman Old Style" w:cs="Times New Roman"/>
          <w:color w:val="000000"/>
          <w:sz w:val="14"/>
          <w:szCs w:val="14"/>
        </w:rPr>
        <w:t>ealthy controls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) and then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spiked with one of the virus to the target concentration, and tested with the MAGLUMI SARS-</w:t>
      </w:r>
      <w:r w:rsidRPr="00AB7CAD">
        <w:rPr>
          <w:rStyle w:val="fontstyle01"/>
          <w:rFonts w:ascii="Bookman Old Style" w:hAnsi="Bookman Old Style" w:cs="Times New Roman"/>
          <w:sz w:val="16"/>
          <w:szCs w:val="16"/>
        </w:rPr>
        <w:t>CoV-2 Ag assay</w:t>
      </w:r>
      <w:r w:rsidR="009276F9" w:rsidRP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(</w:t>
      </w:r>
      <w:r w:rsidR="009276F9" w:rsidRPr="00AB7CAD">
        <w:rPr>
          <w:rFonts w:ascii="Bookman Old Style" w:hAnsi="Bookman Old Style" w:cs="Times New Roman" w:hint="eastAsia"/>
          <w:color w:val="000000"/>
          <w:sz w:val="16"/>
          <w:szCs w:val="16"/>
        </w:rPr>
        <w:t>s</w:t>
      </w:r>
      <w:r w:rsidR="009276F9" w:rsidRPr="00AB7CAD">
        <w:rPr>
          <w:rFonts w:ascii="Bookman Old Style" w:hAnsi="Bookman Old Style" w:cs="Times New Roman"/>
          <w:color w:val="000000"/>
          <w:sz w:val="16"/>
          <w:szCs w:val="16"/>
        </w:rPr>
        <w:t>piked-in samples</w:t>
      </w:r>
      <w:r w:rsidR="009276F9" w:rsidRP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>)</w:t>
      </w:r>
      <w:r w:rsidRPr="00AB7CAD">
        <w:rPr>
          <w:rStyle w:val="fontstyle01"/>
          <w:rFonts w:ascii="Bookman Old Style" w:hAnsi="Bookman Old Style" w:cs="Times New Roman"/>
          <w:sz w:val="16"/>
          <w:szCs w:val="16"/>
        </w:rPr>
        <w:t xml:space="preserve">. </w:t>
      </w:r>
      <w:bookmarkStart w:id="5" w:name="OLE_LINK77"/>
      <w:bookmarkStart w:id="6" w:name="OLE_LINK78"/>
      <w:r w:rsidRPr="00AB7CAD">
        <w:rPr>
          <w:rStyle w:val="fontstyle01"/>
          <w:rFonts w:ascii="Bookman Old Style" w:hAnsi="Bookman Old Style" w:cs="Times New Roman"/>
          <w:sz w:val="16"/>
          <w:szCs w:val="16"/>
        </w:rPr>
        <w:t>In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addition, 10 </w:t>
      </w:r>
      <w:r w:rsidR="00296693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non-COVID-19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respiratory specimens from clinical patients with upper respiratory virus infection were measured, 2 of whom were diagnosed with seasonal coronavirus infection, 2 were adenovirus, 2 influenza A, </w:t>
      </w:r>
      <w:proofErr w:type="gram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2 influenza B</w:t>
      </w:r>
      <w:proofErr w:type="gram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and 2 were respiratory syncytial infection. </w:t>
      </w:r>
      <w:bookmarkStart w:id="7" w:name="OLE_LINK81"/>
      <w:bookmarkStart w:id="8" w:name="OLE_LINK82"/>
      <w:bookmarkEnd w:id="5"/>
      <w:bookmarkEnd w:id="6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None of these samples were SARS-CoV-2 </w:t>
      </w:r>
      <w:r w:rsidRPr="00AB7CAD">
        <w:rPr>
          <w:rStyle w:val="fontstyle01"/>
          <w:rFonts w:ascii="Bookman Old Style" w:hAnsi="Bookman Old Style" w:cs="Times New Roman"/>
          <w:sz w:val="16"/>
          <w:szCs w:val="16"/>
        </w:rPr>
        <w:t>positive</w:t>
      </w:r>
      <w:r w:rsidR="009276F9" w:rsidRP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(</w:t>
      </w:r>
      <w:r w:rsidR="00AB7CAD">
        <w:rPr>
          <w:rFonts w:ascii="Bookman Old Style" w:hAnsi="Bookman Old Style" w:cs="Times New Roman" w:hint="eastAsia"/>
          <w:color w:val="000000"/>
          <w:sz w:val="16"/>
          <w:szCs w:val="16"/>
        </w:rPr>
        <w:t>c</w:t>
      </w:r>
      <w:r w:rsidR="009276F9" w:rsidRPr="00AB7CAD">
        <w:rPr>
          <w:rFonts w:ascii="Bookman Old Style" w:hAnsi="Bookman Old Style" w:cs="Times New Roman"/>
          <w:color w:val="000000"/>
          <w:sz w:val="16"/>
          <w:szCs w:val="16"/>
        </w:rPr>
        <w:t>linical samples</w:t>
      </w:r>
      <w:r w:rsidR="009276F9" w:rsidRP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>)</w:t>
      </w:r>
      <w:r w:rsidRPr="00AB7CAD">
        <w:rPr>
          <w:rStyle w:val="fontstyle01"/>
          <w:rFonts w:ascii="Bookman Old Style" w:hAnsi="Bookman Old Style" w:cs="Times New Roman"/>
          <w:sz w:val="16"/>
          <w:szCs w:val="16"/>
        </w:rPr>
        <w:t>.</w:t>
      </w:r>
      <w:bookmarkEnd w:id="7"/>
      <w:bookmarkEnd w:id="8"/>
      <w:r w:rsidRPr="00AB7CAD">
        <w:rPr>
          <w:rStyle w:val="fontstyle01"/>
          <w:rFonts w:ascii="Bookman Old Style" w:hAnsi="Bookman Old Style" w:cs="Times New Roman"/>
          <w:sz w:val="16"/>
          <w:szCs w:val="16"/>
        </w:rPr>
        <w:t xml:space="preserve"> Specimens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used in analytical validation were not used for subsequent studies.</w:t>
      </w:r>
    </w:p>
    <w:p w14:paraId="05C62D50" w14:textId="7353B23F" w:rsidR="00445B61" w:rsidRPr="00D479F9" w:rsidRDefault="00445B61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bookmarkStart w:id="9" w:name="OLE_LINK91"/>
      <w:bookmarkStart w:id="10" w:name="OLE_LINK92"/>
      <w:bookmarkStart w:id="11" w:name="OLE_LINK93"/>
      <w:bookmarkStart w:id="12" w:name="OLE_LINK87"/>
      <w:bookmarkStart w:id="13" w:name="OLE_LINK88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To comprehensively evaluate the detection performance on different virus variants, </w:t>
      </w:r>
      <w:r w:rsid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1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different variants of SARS-CoV-2 were added to</w:t>
      </w:r>
      <w:bookmarkStart w:id="14" w:name="OLE_LINK89"/>
      <w:bookmarkStart w:id="15" w:name="OLE_LINK90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</w:t>
      </w:r>
      <w:bookmarkStart w:id="16" w:name="OLE_LINK96"/>
      <w:bookmarkStart w:id="17" w:name="OLE_LINK97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a pool of</w:t>
      </w:r>
      <w:bookmarkEnd w:id="16"/>
      <w:bookmarkEnd w:id="17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nasopharyngeal samples obtained from healthy donors respectively. </w:t>
      </w:r>
      <w:bookmarkEnd w:id="9"/>
      <w:bookmarkEnd w:id="10"/>
      <w:bookmarkEnd w:id="11"/>
      <w:bookmarkEnd w:id="14"/>
      <w:bookmarkEnd w:id="15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The variants were from 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ZeptoMetrix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, LLC., with the initial concentration unit of TCID50/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mL.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</w:t>
      </w:r>
      <w:bookmarkStart w:id="18" w:name="OLE_LINK94"/>
      <w:bookmarkStart w:id="19" w:name="OLE_LINK95"/>
      <w:bookmarkStart w:id="20" w:name="OLE_LINK100"/>
      <w:bookmarkStart w:id="21" w:name="OLE_LINK105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Serial dilutions with 5 concentrations for each </w:t>
      </w:r>
      <w:proofErr w:type="gram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variants</w:t>
      </w:r>
      <w:proofErr w:type="gram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were prepared for SARS-CoV-2 Antigen testing. The mean of results obtained from triplicate tests were plotted. And a fitted linear regression model was plotted against the corresponding theoretical variant concentration.</w:t>
      </w:r>
      <w:bookmarkEnd w:id="12"/>
      <w:bookmarkEnd w:id="13"/>
      <w:bookmarkEnd w:id="18"/>
      <w:bookmarkEnd w:id="19"/>
      <w:bookmarkEnd w:id="20"/>
      <w:bookmarkEnd w:id="21"/>
    </w:p>
    <w:p w14:paraId="1715210D" w14:textId="77777777" w:rsidR="006418A3" w:rsidRPr="00D479F9" w:rsidRDefault="006418A3" w:rsidP="00874804">
      <w:pPr>
        <w:spacing w:line="480" w:lineRule="auto"/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b/>
          <w:iCs/>
          <w:sz w:val="16"/>
          <w:szCs w:val="16"/>
        </w:rPr>
        <w:t xml:space="preserve">Analytical performance of MAGLUMI SARS-CoV-2 Ag (CLIA) tests </w:t>
      </w:r>
    </w:p>
    <w:p w14:paraId="20A1BC27" w14:textId="7C7DDC07" w:rsidR="006418A3" w:rsidRPr="00D479F9" w:rsidRDefault="006418A3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The default unit for the analyte detected by the MAGLUMI SARS-CoV-2 antigen tests was manufacturer’s arbitrary unit (AU)/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mL.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To ensure our final results are shown in an SI derived unit, we carried out a unit conversion experiment prior to the studies. A linear relationship between AU/mL and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was found (correlation coefficient factor R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  <w:vertAlign w:val="superscript"/>
        </w:rPr>
        <w:t>2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=0.9976) in the range between 0.763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 xml:space="preserve">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to 6.104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, and the conversion factor to obtain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 xml:space="preserve">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is 1.592 (i.e. 1 AU/mL = 1.592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).</w:t>
      </w:r>
    </w:p>
    <w:p w14:paraId="77BBE221" w14:textId="706BF39A" w:rsidR="006418A3" w:rsidRPr="00D479F9" w:rsidRDefault="006418A3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lastRenderedPageBreak/>
        <w:t>At the concentration of 2.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>51</w:t>
      </w:r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and 8.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>68</w:t>
      </w:r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, the average percentage of coefficient of variation (</w:t>
      </w:r>
      <w:proofErr w:type="gram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CV%</w:t>
      </w:r>
      <w:proofErr w:type="gram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) for within-run and between-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>day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were both shown to be less than </w:t>
      </w:r>
      <w:r w:rsidR="009276F9">
        <w:rPr>
          <w:rStyle w:val="fontstyle01"/>
          <w:rFonts w:ascii="Bookman Old Style" w:hAnsi="Bookman Old Style" w:cs="Times New Roman" w:hint="eastAsia"/>
          <w:sz w:val="16"/>
          <w:szCs w:val="16"/>
        </w:rPr>
        <w:t>6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%, (Supplemental Table 1).</w:t>
      </w:r>
    </w:p>
    <w:p w14:paraId="7DDF1481" w14:textId="3BB6E4E7" w:rsidR="006418A3" w:rsidRPr="00D479F9" w:rsidRDefault="006418A3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bookmarkStart w:id="22" w:name="OLE_LINK110"/>
      <w:bookmarkStart w:id="23" w:name="OLE_LINK111"/>
      <w:bookmarkStart w:id="24" w:name="OLE_LINK112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Analytical validation established limit of quantitation (</w:t>
      </w:r>
      <w:proofErr w:type="spell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LoQ</w:t>
      </w:r>
      <w:proofErr w:type="spell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) at 0.399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and linear range from 0.40 to 3184.00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(Figure 1</w:t>
      </w:r>
      <w:r w:rsidR="00763A68" w:rsidRPr="00D479F9">
        <w:rPr>
          <w:rStyle w:val="fontstyle01"/>
          <w:rFonts w:ascii="Bookman Old Style" w:hAnsi="Bookman Old Style" w:cs="Times New Roman"/>
          <w:sz w:val="16"/>
          <w:szCs w:val="16"/>
        </w:rPr>
        <w:t>A</w:t>
      </w:r>
      <w:proofErr w:type="gram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,1</w:t>
      </w:r>
      <w:r w:rsidR="00763A68" w:rsidRPr="00D479F9">
        <w:rPr>
          <w:rStyle w:val="fontstyle01"/>
          <w:rFonts w:ascii="Bookman Old Style" w:hAnsi="Bookman Old Style" w:cs="Times New Roman"/>
          <w:sz w:val="16"/>
          <w:szCs w:val="16"/>
        </w:rPr>
        <w:t>B</w:t>
      </w:r>
      <w:proofErr w:type="gramEnd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). A maximum of 20-fold dilution can be performed to achieve the clinical reportable range </w:t>
      </w:r>
      <w:proofErr w:type="gramStart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of 0.40 to 63680.00 </w:t>
      </w:r>
      <w:proofErr w:type="spellStart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ng</w:t>
      </w:r>
      <w:proofErr w:type="spellEnd"/>
      <w:r w:rsidR="006235A3" w:rsidRPr="00C9005F">
        <w:rPr>
          <w:rStyle w:val="fontstyle01"/>
          <w:rFonts w:ascii="Bookman Old Style" w:hAnsi="Bookman Old Style" w:cs="Times New Roman"/>
          <w:color w:val="FF0000"/>
          <w:sz w:val="16"/>
          <w:szCs w:val="16"/>
        </w:rPr>
        <w:t>/L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.</w:t>
      </w:r>
      <w:bookmarkEnd w:id="22"/>
      <w:bookmarkEnd w:id="23"/>
      <w:bookmarkEnd w:id="24"/>
      <w:proofErr w:type="gramEnd"/>
    </w:p>
    <w:p w14:paraId="72229744" w14:textId="0FFCDABA" w:rsidR="006418A3" w:rsidRPr="00D479F9" w:rsidRDefault="006418A3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bookmarkStart w:id="25" w:name="OLE_LINK115"/>
      <w:bookmarkStart w:id="26" w:name="OLE_LINK116"/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Analytical specificity was assessed with forty-eight commercially available virus forms in spiked-in human nasopharyngeal samples, respectively. Results showed negligible reaction to the SARS-CoV-2 antigen assay when compared to control specimens from healthy donors (Figure 1</w:t>
      </w:r>
      <w:r w:rsidR="00763A68" w:rsidRPr="00D479F9">
        <w:rPr>
          <w:rStyle w:val="fontstyle01"/>
          <w:rFonts w:ascii="Bookman Old Style" w:hAnsi="Bookman Old Style" w:cs="Times New Roman"/>
          <w:sz w:val="16"/>
          <w:szCs w:val="16"/>
        </w:rPr>
        <w:t>C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). Similarly, compared with the control specimens, no significant change in relative light unit (RLU) was found in the tested respiratory samples of 10 SARS-CoV-2 negative respiratory specimens, including 2 </w:t>
      </w:r>
      <w:r w:rsidR="00AB7CAD">
        <w:rPr>
          <w:rStyle w:val="fontstyle01"/>
          <w:rFonts w:ascii="Bookman Old Style" w:hAnsi="Bookman Old Style" w:cs="Times New Roman" w:hint="eastAsia"/>
          <w:sz w:val="16"/>
          <w:szCs w:val="16"/>
        </w:rPr>
        <w:t>s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easonal coronavirus, 2 adenovirus, 2 influenza A, 2 influenza B and 2 respiratory syncytial virus positive specimens (Figure 1</w:t>
      </w:r>
      <w:r w:rsidR="00763A68" w:rsidRPr="00D479F9">
        <w:rPr>
          <w:rStyle w:val="fontstyle01"/>
          <w:rFonts w:ascii="Bookman Old Style" w:hAnsi="Bookman Old Style" w:cs="Times New Roman"/>
          <w:sz w:val="16"/>
          <w:szCs w:val="16"/>
        </w:rPr>
        <w:t>C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). These results indicated a well-performed analytical specificity of the assay.</w:t>
      </w:r>
      <w:bookmarkEnd w:id="25"/>
      <w:bookmarkEnd w:id="26"/>
    </w:p>
    <w:p w14:paraId="5463E355" w14:textId="0C8BF226" w:rsidR="006418A3" w:rsidRPr="00D479F9" w:rsidRDefault="006418A3" w:rsidP="00874804">
      <w:pPr>
        <w:spacing w:line="480" w:lineRule="auto"/>
        <w:ind w:firstLine="420"/>
        <w:rPr>
          <w:rStyle w:val="fontstyle01"/>
          <w:rFonts w:ascii="Bookman Old Style" w:hAnsi="Bookman Old Style" w:cs="Times New Roman"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Five serial diluents of five SARS-CoV-2 variants of concerns (VOCs) were detected respectively with </w:t>
      </w:r>
      <w:r w:rsidRPr="00D479F9">
        <w:rPr>
          <w:rStyle w:val="fontstyle01"/>
          <w:rFonts w:ascii="Bookman Old Style" w:hAnsi="Bookman Old Style" w:cs="Times New Roman"/>
          <w:bCs/>
          <w:iCs/>
          <w:sz w:val="16"/>
          <w:szCs w:val="16"/>
        </w:rPr>
        <w:t>MAGLUMI SARS-CoV-2 Ag (CLIA)</w:t>
      </w:r>
      <w:r w:rsidRPr="00D479F9">
        <w:rPr>
          <w:rStyle w:val="fontstyle01"/>
          <w:rFonts w:ascii="Bookman Old Style" w:hAnsi="Bookman Old Style" w:cs="Times New Roman"/>
          <w:bCs/>
          <w:sz w:val="16"/>
          <w:szCs w:val="16"/>
        </w:rPr>
        <w:t xml:space="preserve"> assay. 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The fitted linear regression model plotted against the corresponding theoretical variant concentrations showed a remarkable linear correlation between the antigen concentration versus the infectious dose for different VOCs (Figure 1</w:t>
      </w:r>
      <w:r w:rsidR="00763A68" w:rsidRPr="00D479F9">
        <w:rPr>
          <w:rStyle w:val="fontstyle01"/>
          <w:rFonts w:ascii="Bookman Old Style" w:hAnsi="Bookman Old Style" w:cs="Times New Roman"/>
          <w:sz w:val="16"/>
          <w:szCs w:val="16"/>
        </w:rPr>
        <w:t>D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).</w:t>
      </w:r>
    </w:p>
    <w:p w14:paraId="331FC6AC" w14:textId="087E4B80" w:rsidR="00445B61" w:rsidRPr="00D479F9" w:rsidRDefault="00445B61" w:rsidP="00874804">
      <w:pPr>
        <w:spacing w:line="480" w:lineRule="auto"/>
        <w:rPr>
          <w:rFonts w:ascii="Bookman Old Style" w:hAnsi="Bookman Old Style" w:cs="Times New Roman"/>
          <w:sz w:val="16"/>
          <w:szCs w:val="16"/>
        </w:rPr>
      </w:pPr>
      <w:r w:rsidRPr="00D479F9">
        <w:rPr>
          <w:rFonts w:ascii="Bookman Old Style" w:hAnsi="Bookman Old Style" w:cs="Times New Roman"/>
          <w:sz w:val="16"/>
          <w:szCs w:val="16"/>
        </w:rPr>
        <w:br w:type="page"/>
      </w:r>
      <w:r w:rsidRPr="00D479F9">
        <w:rPr>
          <w:rFonts w:ascii="Bookman Old Style" w:hAnsi="Bookman Old Style" w:cs="Times New Roman"/>
          <w:b/>
          <w:sz w:val="16"/>
          <w:szCs w:val="16"/>
        </w:rPr>
        <w:lastRenderedPageBreak/>
        <w:t xml:space="preserve">Supplemental Table 1. Precision study on the MAGLUMI SARS-CoV-2 antigen assay. </w:t>
      </w:r>
      <w:r w:rsidRPr="00D479F9">
        <w:rPr>
          <w:rFonts w:ascii="Bookman Old Style" w:hAnsi="Bookman Old Style" w:cs="Times New Roman"/>
          <w:sz w:val="16"/>
          <w:szCs w:val="16"/>
        </w:rPr>
        <w:t xml:space="preserve">The mean ± standard deviation (SD) was shown in the unit of </w:t>
      </w:r>
      <w:r w:rsidR="006235A3" w:rsidRPr="00C9005F">
        <w:rPr>
          <w:rFonts w:ascii="Bookman Old Style" w:hAnsi="Bookman Old Style" w:cs="Times New Roman"/>
          <w:color w:val="FF0000"/>
          <w:sz w:val="16"/>
          <w:szCs w:val="16"/>
        </w:rPr>
        <w:t>ng/L</w:t>
      </w:r>
      <w:r w:rsidRPr="00D479F9">
        <w:rPr>
          <w:rFonts w:ascii="Bookman Old Style" w:hAnsi="Bookman Old Style" w:cs="Times New Roman"/>
          <w:sz w:val="16"/>
          <w:szCs w:val="16"/>
        </w:rPr>
        <w:t>.</w:t>
      </w:r>
    </w:p>
    <w:tbl>
      <w:tblPr>
        <w:tblW w:w="3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722"/>
        <w:gridCol w:w="1329"/>
        <w:gridCol w:w="1331"/>
        <w:gridCol w:w="1329"/>
        <w:gridCol w:w="1331"/>
      </w:tblGrid>
      <w:tr w:rsidR="00B335F3" w:rsidRPr="00D479F9" w14:paraId="720B01AA" w14:textId="77777777" w:rsidTr="00B335F3">
        <w:trPr>
          <w:trHeight w:val="272"/>
          <w:jc w:val="center"/>
        </w:trPr>
        <w:tc>
          <w:tcPr>
            <w:tcW w:w="984" w:type="pct"/>
            <w:vMerge w:val="restart"/>
            <w:shd w:val="clear" w:color="auto" w:fill="auto"/>
            <w:noWrap/>
            <w:vAlign w:val="center"/>
            <w:hideMark/>
          </w:tcPr>
          <w:p w14:paraId="6515796B" w14:textId="15E70149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Sample ID</w:t>
            </w: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03DFDBE9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Mean</w:t>
            </w:r>
          </w:p>
          <w:p w14:paraId="3E042B8C" w14:textId="116CC0FA" w:rsidR="00B335F3" w:rsidRPr="00D479F9" w:rsidRDefault="00B335F3" w:rsidP="00245290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(n=</w:t>
            </w:r>
            <w:r w:rsidR="00245290">
              <w:rPr>
                <w:rFonts w:ascii="Bookman Old Style" w:hAnsi="Bookman Old Style" w:cs="Times New Roman" w:hint="eastAsia"/>
                <w:b/>
                <w:color w:val="000000"/>
                <w:sz w:val="16"/>
                <w:szCs w:val="16"/>
              </w:rPr>
              <w:t>8</w:t>
            </w: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0)</w:t>
            </w: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517" w:type="pct"/>
            <w:gridSpan w:val="2"/>
            <w:shd w:val="clear" w:color="auto" w:fill="auto"/>
            <w:noWrap/>
            <w:vAlign w:val="center"/>
            <w:hideMark/>
          </w:tcPr>
          <w:p w14:paraId="410772A6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Within-Run</w:t>
            </w:r>
          </w:p>
        </w:tc>
        <w:tc>
          <w:tcPr>
            <w:tcW w:w="1517" w:type="pct"/>
            <w:gridSpan w:val="2"/>
            <w:vAlign w:val="center"/>
          </w:tcPr>
          <w:p w14:paraId="2ECCC0F3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Between-Day</w:t>
            </w:r>
          </w:p>
        </w:tc>
      </w:tr>
      <w:tr w:rsidR="00B335F3" w:rsidRPr="00D479F9" w14:paraId="451418B5" w14:textId="77777777" w:rsidTr="00245290">
        <w:trPr>
          <w:trHeight w:val="272"/>
          <w:jc w:val="center"/>
        </w:trPr>
        <w:tc>
          <w:tcPr>
            <w:tcW w:w="984" w:type="pct"/>
            <w:vMerge/>
            <w:vAlign w:val="center"/>
            <w:hideMark/>
          </w:tcPr>
          <w:p w14:paraId="2B4BDD08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2" w:type="pct"/>
            <w:vMerge/>
            <w:vAlign w:val="center"/>
            <w:hideMark/>
          </w:tcPr>
          <w:p w14:paraId="186B505A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7F65B5E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SD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14:paraId="711C1AB5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%CV</w:t>
            </w:r>
          </w:p>
        </w:tc>
        <w:tc>
          <w:tcPr>
            <w:tcW w:w="758" w:type="pct"/>
            <w:vAlign w:val="center"/>
          </w:tcPr>
          <w:p w14:paraId="35C1C991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SD</w:t>
            </w:r>
          </w:p>
        </w:tc>
        <w:tc>
          <w:tcPr>
            <w:tcW w:w="759" w:type="pct"/>
            <w:vAlign w:val="center"/>
          </w:tcPr>
          <w:p w14:paraId="665E8CC6" w14:textId="77777777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b/>
                <w:color w:val="000000"/>
                <w:sz w:val="16"/>
                <w:szCs w:val="16"/>
              </w:rPr>
              <w:t>%CV</w:t>
            </w:r>
          </w:p>
        </w:tc>
      </w:tr>
      <w:tr w:rsidR="00B335F3" w:rsidRPr="00D479F9" w14:paraId="314286F1" w14:textId="77777777" w:rsidTr="00245290">
        <w:trPr>
          <w:trHeight w:val="272"/>
          <w:jc w:val="center"/>
        </w:trPr>
        <w:tc>
          <w:tcPr>
            <w:tcW w:w="984" w:type="pct"/>
            <w:shd w:val="clear" w:color="auto" w:fill="auto"/>
            <w:noWrap/>
            <w:vAlign w:val="center"/>
          </w:tcPr>
          <w:p w14:paraId="2F04BAE3" w14:textId="5828D4D3" w:rsidR="00B335F3" w:rsidRPr="00D479F9" w:rsidRDefault="00B335F3" w:rsidP="00107210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2" w:type="pct"/>
            <w:shd w:val="clear" w:color="auto" w:fill="auto"/>
            <w:noWrap/>
            <w:vAlign w:val="center"/>
          </w:tcPr>
          <w:p w14:paraId="638255DA" w14:textId="02C6C9CD" w:rsidR="00B335F3" w:rsidRPr="00D479F9" w:rsidRDefault="00A965E8" w:rsidP="00245290">
            <w:pPr>
              <w:widowControl/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  <w:t>2.</w:t>
            </w: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5</w:t>
            </w:r>
            <w:r w:rsidR="00245290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1A247FAA" w14:textId="75162263" w:rsidR="00B335F3" w:rsidRPr="00D479F9" w:rsidRDefault="00B335F3" w:rsidP="00245290">
            <w:pPr>
              <w:widowControl/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0.</w:t>
            </w:r>
            <w:r w:rsidR="00A965E8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0</w:t>
            </w:r>
            <w:r w:rsidR="00245290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14:paraId="05424CB7" w14:textId="203BDF5C" w:rsidR="00B335F3" w:rsidRPr="00D479F9" w:rsidRDefault="00A965E8" w:rsidP="00245290">
            <w:pPr>
              <w:widowControl/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3.</w:t>
            </w:r>
            <w:r w:rsidR="00245290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58" w:type="pct"/>
            <w:vAlign w:val="center"/>
          </w:tcPr>
          <w:p w14:paraId="1598F33F" w14:textId="60045A2C" w:rsidR="00B335F3" w:rsidRPr="00D479F9" w:rsidRDefault="00B335F3" w:rsidP="00245290">
            <w:pPr>
              <w:widowControl/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0.</w:t>
            </w:r>
            <w:r w:rsidR="00A965E8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1</w:t>
            </w:r>
            <w:r w:rsidR="00245290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7B86957" w14:textId="2F9DAA05" w:rsidR="00B335F3" w:rsidRPr="00D479F9" w:rsidRDefault="00245290" w:rsidP="00C95505">
            <w:pPr>
              <w:widowControl/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5.99</w:t>
            </w:r>
          </w:p>
        </w:tc>
      </w:tr>
      <w:tr w:rsidR="00B335F3" w:rsidRPr="00D479F9" w14:paraId="550A8769" w14:textId="77777777" w:rsidTr="00245290">
        <w:trPr>
          <w:trHeight w:val="272"/>
          <w:jc w:val="center"/>
        </w:trPr>
        <w:tc>
          <w:tcPr>
            <w:tcW w:w="984" w:type="pct"/>
            <w:shd w:val="clear" w:color="auto" w:fill="auto"/>
            <w:noWrap/>
            <w:vAlign w:val="center"/>
          </w:tcPr>
          <w:p w14:paraId="603FA9BC" w14:textId="4FF44614" w:rsidR="00B335F3" w:rsidRPr="00D479F9" w:rsidRDefault="00B335F3" w:rsidP="00C95505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2" w:type="pct"/>
            <w:shd w:val="clear" w:color="auto" w:fill="auto"/>
            <w:noWrap/>
            <w:vAlign w:val="center"/>
          </w:tcPr>
          <w:p w14:paraId="055F7781" w14:textId="067260E1" w:rsidR="00B335F3" w:rsidRPr="00D479F9" w:rsidRDefault="00B335F3" w:rsidP="00245290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 w:rsidRPr="00D479F9"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  <w:t>8.</w:t>
            </w:r>
            <w:r w:rsidR="00245290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3A783A0C" w14:textId="63F0E4A5" w:rsidR="00B335F3" w:rsidRPr="00D479F9" w:rsidRDefault="00B335F3" w:rsidP="00245290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0.</w:t>
            </w:r>
            <w:r w:rsidR="00245290"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59" w:type="pct"/>
            <w:shd w:val="clear" w:color="auto" w:fill="auto"/>
            <w:noWrap/>
            <w:vAlign w:val="center"/>
          </w:tcPr>
          <w:p w14:paraId="3157C251" w14:textId="3DFCF6B8" w:rsidR="00B335F3" w:rsidRPr="00D479F9" w:rsidRDefault="00245290" w:rsidP="00C95505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758" w:type="pct"/>
            <w:vAlign w:val="center"/>
          </w:tcPr>
          <w:p w14:paraId="4812F7F8" w14:textId="57A68D2E" w:rsidR="00B335F3" w:rsidRPr="00D479F9" w:rsidRDefault="00245290" w:rsidP="00C95505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0.441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ABFC83A" w14:textId="0BD369F6" w:rsidR="00B335F3" w:rsidRPr="00D479F9" w:rsidRDefault="00245290" w:rsidP="00C95505">
            <w:pPr>
              <w:jc w:val="center"/>
              <w:rPr>
                <w:rFonts w:ascii="Bookman Old Style" w:hAnsi="Bookman Old Style" w:cs="Times New Roman"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 w:cs="Times New Roman" w:hint="eastAsia"/>
                <w:color w:val="000000"/>
                <w:sz w:val="16"/>
                <w:szCs w:val="16"/>
              </w:rPr>
              <w:t>5.08</w:t>
            </w:r>
          </w:p>
        </w:tc>
      </w:tr>
    </w:tbl>
    <w:p w14:paraId="7D4D0AA8" w14:textId="1BEEFCA4" w:rsidR="00445B61" w:rsidRPr="00D479F9" w:rsidRDefault="003E573F" w:rsidP="00445B61">
      <w:pPr>
        <w:rPr>
          <w:rStyle w:val="fontstyle01"/>
          <w:rFonts w:ascii="Bookman Old Style" w:hAnsi="Bookman Old Style" w:cs="Times New Roman"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b/>
          <w:sz w:val="16"/>
          <w:szCs w:val="16"/>
        </w:rPr>
        <w:t>a.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>M</w:t>
      </w:r>
      <w:r w:rsidR="00A965E8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ixed </w:t>
      </w:r>
      <w:r w:rsidR="00A965E8" w:rsidRPr="00086454">
        <w:rPr>
          <w:rStyle w:val="fontstyle01"/>
          <w:rFonts w:ascii="Bookman Old Style" w:hAnsi="Bookman Old Style" w:cs="Times New Roman"/>
          <w:sz w:val="16"/>
          <w:szCs w:val="16"/>
        </w:rPr>
        <w:t>SARS-CoV-2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positive </w:t>
      </w:r>
      <w:r w:rsidR="009B5864" w:rsidRPr="0022422F">
        <w:rPr>
          <w:rStyle w:val="fontstyle01"/>
          <w:rFonts w:ascii="Bookman Old Style" w:hAnsi="Bookman Old Style" w:cs="Times New Roman"/>
          <w:sz w:val="16"/>
          <w:szCs w:val="16"/>
        </w:rPr>
        <w:t>nasopharyngeal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 swab samples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 xml:space="preserve"> 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>with t</w:t>
      </w:r>
      <w:r w:rsidRPr="00D479F9">
        <w:rPr>
          <w:rStyle w:val="fontstyle01"/>
          <w:rFonts w:ascii="Bookman Old Style" w:hAnsi="Bookman Old Style" w:cs="Times New Roman"/>
          <w:sz w:val="16"/>
          <w:szCs w:val="16"/>
        </w:rPr>
        <w:t>wo different concentrations were prepared</w:t>
      </w:r>
      <w:r w:rsidR="003F4340" w:rsidRPr="00D479F9">
        <w:rPr>
          <w:rStyle w:val="fontstyle01"/>
          <w:rFonts w:ascii="Bookman Old Style" w:hAnsi="Bookman Old Style" w:cs="Times New Roman"/>
          <w:sz w:val="16"/>
          <w:szCs w:val="16"/>
        </w:rPr>
        <w:t>.</w:t>
      </w:r>
    </w:p>
    <w:p w14:paraId="628E691B" w14:textId="7904EE98" w:rsidR="003F4340" w:rsidRPr="00D479F9" w:rsidRDefault="008164F1" w:rsidP="00445B61">
      <w:pPr>
        <w:rPr>
          <w:rFonts w:ascii="Bookman Old Style" w:hAnsi="Bookman Old Style" w:cs="Times New Roman"/>
          <w:sz w:val="16"/>
          <w:szCs w:val="16"/>
        </w:rPr>
      </w:pPr>
      <w:r w:rsidRPr="00D479F9">
        <w:rPr>
          <w:rFonts w:ascii="Bookman Old Style" w:hAnsi="Bookman Old Style" w:cs="Times New Roman"/>
          <w:b/>
          <w:sz w:val="16"/>
          <w:szCs w:val="16"/>
        </w:rPr>
        <w:t xml:space="preserve">b. </w:t>
      </w:r>
      <w:r w:rsidR="00A965E8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W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ithin-run precision study was performed with 20 replicates of low (approximately </w:t>
      </w:r>
      <w:r w:rsidR="00A965E8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2.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>5</w:t>
      </w:r>
      <w:r w:rsidR="00245290">
        <w:rPr>
          <w:rStyle w:val="fontstyle01"/>
          <w:rFonts w:ascii="Bookman Old Style" w:hAnsi="Bookman Old Style" w:cs="Times New Roman" w:hint="eastAsia"/>
          <w:sz w:val="16"/>
          <w:szCs w:val="16"/>
        </w:rPr>
        <w:t>1</w:t>
      </w:r>
      <w:r w:rsidR="009B5864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</w:t>
      </w:r>
      <w:r w:rsidR="006235A3"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ng/L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) and high (approximately </w:t>
      </w:r>
      <w:r w:rsidR="00A965E8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8.</w:t>
      </w:r>
      <w:r w:rsidR="00245290">
        <w:rPr>
          <w:rStyle w:val="fontstyle01"/>
          <w:rFonts w:ascii="Bookman Old Style" w:hAnsi="Bookman Old Style" w:cs="Times New Roman" w:hint="eastAsia"/>
          <w:sz w:val="16"/>
          <w:szCs w:val="16"/>
        </w:rPr>
        <w:t>68</w:t>
      </w:r>
      <w:r w:rsidR="009B5864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</w:t>
      </w:r>
      <w:r w:rsidR="006235A3" w:rsidRPr="00C9005F">
        <w:rPr>
          <w:rStyle w:val="fontstyle01"/>
          <w:rFonts w:ascii="Bookman Old Style" w:hAnsi="Bookman Old Style" w:cs="Times New Roman" w:hint="eastAsia"/>
          <w:color w:val="FF0000"/>
          <w:sz w:val="16"/>
          <w:szCs w:val="16"/>
        </w:rPr>
        <w:t>ng/L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) </w:t>
      </w:r>
      <w:r w:rsidR="00A965E8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mixed </w:t>
      </w:r>
      <w:r w:rsidR="00A965E8" w:rsidRPr="00086454">
        <w:rPr>
          <w:rStyle w:val="fontstyle01"/>
          <w:rFonts w:ascii="Bookman Old Style" w:hAnsi="Bookman Old Style" w:cs="Times New Roman"/>
          <w:sz w:val="16"/>
          <w:szCs w:val="16"/>
        </w:rPr>
        <w:t>SARS-CoV-2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positive </w:t>
      </w:r>
      <w:r w:rsidR="009B5864" w:rsidRPr="0022422F">
        <w:rPr>
          <w:rStyle w:val="fontstyle01"/>
          <w:rFonts w:ascii="Bookman Old Style" w:hAnsi="Bookman Old Style" w:cs="Times New Roman"/>
          <w:sz w:val="16"/>
          <w:szCs w:val="16"/>
        </w:rPr>
        <w:t>nasopharyngeal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 swab samples in 1 complete run. Between-day precision was assessed using the same </w:t>
      </w:r>
      <w:r w:rsidR="00A965E8" w:rsidRPr="0022422F">
        <w:rPr>
          <w:rStyle w:val="fontstyle01"/>
          <w:rFonts w:ascii="Bookman Old Style" w:hAnsi="Bookman Old Style" w:cs="Times New Roman" w:hint="eastAsia"/>
          <w:sz w:val="16"/>
          <w:szCs w:val="16"/>
        </w:rPr>
        <w:t>mixed</w:t>
      </w:r>
      <w:r w:rsidR="00A965E8" w:rsidRPr="00086454">
        <w:rPr>
          <w:rStyle w:val="fontstyle01"/>
          <w:rFonts w:ascii="Bookman Old Style" w:hAnsi="Bookman Old Style" w:cs="Times New Roman"/>
          <w:sz w:val="16"/>
          <w:szCs w:val="16"/>
        </w:rPr>
        <w:t xml:space="preserve"> SARS-CoV-2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 xml:space="preserve"> positive </w:t>
      </w:r>
      <w:r w:rsidR="009B5864" w:rsidRPr="0022422F">
        <w:rPr>
          <w:rStyle w:val="fontstyle01"/>
          <w:rFonts w:ascii="Bookman Old Style" w:hAnsi="Bookman Old Style" w:cs="Times New Roman"/>
          <w:sz w:val="16"/>
          <w:szCs w:val="16"/>
        </w:rPr>
        <w:t>nasopharyngeal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 xml:space="preserve"> swab samples daily over 2</w:t>
      </w:r>
      <w:r w:rsidR="00A965E8">
        <w:rPr>
          <w:rStyle w:val="fontstyle01"/>
          <w:rFonts w:ascii="Bookman Old Style" w:hAnsi="Bookman Old Style" w:cs="Times New Roman" w:hint="eastAsia"/>
          <w:sz w:val="16"/>
          <w:szCs w:val="16"/>
        </w:rPr>
        <w:t>0</w:t>
      </w:r>
      <w:r w:rsidR="00A965E8" w:rsidRPr="0022422F">
        <w:rPr>
          <w:rStyle w:val="fontstyle01"/>
          <w:rFonts w:ascii="Bookman Old Style" w:hAnsi="Bookman Old Style" w:cs="Times New Roman"/>
          <w:sz w:val="16"/>
          <w:szCs w:val="16"/>
        </w:rPr>
        <w:t> days.</w:t>
      </w:r>
    </w:p>
    <w:p w14:paraId="0C4C9ECA" w14:textId="5B195B9D" w:rsidR="00445B61" w:rsidRPr="00D479F9" w:rsidRDefault="00445B61">
      <w:pPr>
        <w:widowControl/>
        <w:jc w:val="left"/>
        <w:rPr>
          <w:rFonts w:ascii="Bookman Old Style" w:hAnsi="Bookman Old Style" w:cs="Times New Roman"/>
          <w:b/>
          <w:sz w:val="16"/>
          <w:szCs w:val="16"/>
        </w:rPr>
      </w:pPr>
      <w:r w:rsidRPr="00D479F9">
        <w:rPr>
          <w:rFonts w:ascii="Bookman Old Style" w:hAnsi="Bookman Old Style" w:cs="Times New Roman"/>
          <w:b/>
          <w:sz w:val="16"/>
          <w:szCs w:val="16"/>
        </w:rPr>
        <w:br w:type="page"/>
      </w:r>
    </w:p>
    <w:p w14:paraId="76DC7B2F" w14:textId="77777777" w:rsidR="00445B61" w:rsidRPr="00D479F9" w:rsidRDefault="00445B61">
      <w:pPr>
        <w:widowControl/>
        <w:jc w:val="left"/>
        <w:rPr>
          <w:rFonts w:ascii="Bookman Old Style" w:hAnsi="Bookman Old Style" w:cs="Times New Roman"/>
          <w:b/>
          <w:sz w:val="16"/>
          <w:szCs w:val="16"/>
        </w:rPr>
      </w:pPr>
    </w:p>
    <w:p w14:paraId="2C0C7D12" w14:textId="3B7B2440" w:rsidR="00363249" w:rsidRPr="00D479F9" w:rsidRDefault="00363249">
      <w:pPr>
        <w:rPr>
          <w:rFonts w:ascii="Bookman Old Style" w:hAnsi="Bookman Old Style" w:cs="Times New Roman"/>
          <w:b/>
          <w:sz w:val="16"/>
          <w:szCs w:val="16"/>
        </w:rPr>
      </w:pPr>
      <w:r w:rsidRPr="00D479F9">
        <w:rPr>
          <w:rFonts w:ascii="Bookman Old Style" w:hAnsi="Bookman Old Style" w:cs="Times New Roman"/>
          <w:b/>
          <w:sz w:val="16"/>
          <w:szCs w:val="16"/>
        </w:rPr>
        <w:t>Supplementa</w:t>
      </w:r>
      <w:r w:rsidR="00635BD9" w:rsidRPr="00D479F9">
        <w:rPr>
          <w:rFonts w:ascii="Bookman Old Style" w:hAnsi="Bookman Old Style" w:cs="Times New Roman"/>
          <w:b/>
          <w:sz w:val="16"/>
          <w:szCs w:val="16"/>
        </w:rPr>
        <w:t>l</w:t>
      </w:r>
      <w:r w:rsidRPr="00D479F9">
        <w:rPr>
          <w:rFonts w:ascii="Bookman Old Style" w:hAnsi="Bookman Old Style" w:cs="Times New Roman"/>
          <w:b/>
          <w:sz w:val="16"/>
          <w:szCs w:val="16"/>
        </w:rPr>
        <w:t xml:space="preserve"> Table </w:t>
      </w:r>
      <w:r w:rsidR="00445B61" w:rsidRPr="00D479F9">
        <w:rPr>
          <w:rFonts w:ascii="Bookman Old Style" w:hAnsi="Bookman Old Style" w:cs="Times New Roman"/>
          <w:b/>
          <w:sz w:val="16"/>
          <w:szCs w:val="16"/>
        </w:rPr>
        <w:t>2</w:t>
      </w:r>
      <w:r w:rsidRPr="00D479F9">
        <w:rPr>
          <w:rFonts w:ascii="Bookman Old Style" w:hAnsi="Bookman Old Style" w:cs="Times New Roman"/>
          <w:b/>
          <w:sz w:val="16"/>
          <w:szCs w:val="16"/>
        </w:rPr>
        <w:t xml:space="preserve">. </w:t>
      </w:r>
      <w:r w:rsidR="0096688E" w:rsidRPr="00D479F9">
        <w:rPr>
          <w:rFonts w:ascii="Bookman Old Style" w:hAnsi="Bookman Old Style" w:cs="Times New Roman"/>
          <w:b/>
          <w:sz w:val="16"/>
          <w:szCs w:val="16"/>
        </w:rPr>
        <w:t>Overview of virus</w:t>
      </w:r>
      <w:r w:rsidR="00207152" w:rsidRPr="00D479F9">
        <w:rPr>
          <w:rFonts w:ascii="Bookman Old Style" w:hAnsi="Bookman Old Style" w:cs="Times New Roman"/>
          <w:b/>
          <w:sz w:val="16"/>
          <w:szCs w:val="16"/>
        </w:rPr>
        <w:t xml:space="preserve"> form</w:t>
      </w:r>
      <w:r w:rsidR="0096688E" w:rsidRPr="00D479F9">
        <w:rPr>
          <w:rFonts w:ascii="Bookman Old Style" w:hAnsi="Bookman Old Style" w:cs="Times New Roman"/>
          <w:b/>
          <w:sz w:val="16"/>
          <w:szCs w:val="16"/>
        </w:rPr>
        <w:t xml:space="preserve">s </w:t>
      </w:r>
      <w:r w:rsidR="009C1D8A" w:rsidRPr="00D479F9">
        <w:rPr>
          <w:rFonts w:ascii="Bookman Old Style" w:hAnsi="Bookman Old Style" w:cs="Times New Roman"/>
          <w:b/>
          <w:sz w:val="16"/>
          <w:szCs w:val="16"/>
        </w:rPr>
        <w:t>examined in the cross-reaction study.</w:t>
      </w:r>
    </w:p>
    <w:tbl>
      <w:tblPr>
        <w:tblStyle w:val="a3"/>
        <w:tblW w:w="13904" w:type="dxa"/>
        <w:jc w:val="center"/>
        <w:tblLayout w:type="fixed"/>
        <w:tblLook w:val="04A0" w:firstRow="1" w:lastRow="0" w:firstColumn="1" w:lastColumn="0" w:noHBand="0" w:noVBand="1"/>
      </w:tblPr>
      <w:tblGrid>
        <w:gridCol w:w="3476"/>
        <w:gridCol w:w="3476"/>
        <w:gridCol w:w="3476"/>
        <w:gridCol w:w="3476"/>
      </w:tblGrid>
      <w:tr w:rsidR="00294731" w:rsidRPr="00D479F9" w14:paraId="3FEE91DD" w14:textId="77777777" w:rsidTr="00294731">
        <w:trPr>
          <w:jc w:val="center"/>
        </w:trPr>
        <w:tc>
          <w:tcPr>
            <w:tcW w:w="3476" w:type="dxa"/>
            <w:vAlign w:val="center"/>
          </w:tcPr>
          <w:p w14:paraId="7626F2F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b/>
                <w:sz w:val="16"/>
                <w:szCs w:val="16"/>
              </w:rPr>
              <w:t>Virus type</w:t>
            </w:r>
          </w:p>
        </w:tc>
        <w:tc>
          <w:tcPr>
            <w:tcW w:w="3476" w:type="dxa"/>
            <w:vAlign w:val="center"/>
          </w:tcPr>
          <w:p w14:paraId="4F44600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b/>
                <w:sz w:val="16"/>
                <w:szCs w:val="16"/>
              </w:rPr>
              <w:t>Manufacturer</w:t>
            </w:r>
          </w:p>
        </w:tc>
        <w:tc>
          <w:tcPr>
            <w:tcW w:w="3476" w:type="dxa"/>
            <w:vAlign w:val="center"/>
          </w:tcPr>
          <w:p w14:paraId="0D2596B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b/>
                <w:sz w:val="16"/>
                <w:szCs w:val="16"/>
              </w:rPr>
              <w:t>Catalogue number</w:t>
            </w:r>
          </w:p>
        </w:tc>
        <w:tc>
          <w:tcPr>
            <w:tcW w:w="3476" w:type="dxa"/>
            <w:vAlign w:val="center"/>
          </w:tcPr>
          <w:p w14:paraId="761287B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b/>
                <w:sz w:val="16"/>
                <w:szCs w:val="16"/>
              </w:rPr>
              <w:t>Final concentration for the assay</w:t>
            </w:r>
          </w:p>
        </w:tc>
      </w:tr>
      <w:tr w:rsidR="00294731" w:rsidRPr="00D479F9" w14:paraId="4F075F0A" w14:textId="77777777" w:rsidTr="00294731">
        <w:trPr>
          <w:jc w:val="center"/>
        </w:trPr>
        <w:tc>
          <w:tcPr>
            <w:tcW w:w="3476" w:type="dxa"/>
            <w:vAlign w:val="center"/>
          </w:tcPr>
          <w:p w14:paraId="3E5E9F4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HKU1</w:t>
            </w:r>
          </w:p>
        </w:tc>
        <w:tc>
          <w:tcPr>
            <w:tcW w:w="3476" w:type="dxa"/>
            <w:vAlign w:val="center"/>
          </w:tcPr>
          <w:p w14:paraId="4F11586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Invent Diagnostica GmbH</w:t>
            </w:r>
          </w:p>
        </w:tc>
        <w:tc>
          <w:tcPr>
            <w:tcW w:w="3476" w:type="dxa"/>
            <w:vAlign w:val="center"/>
          </w:tcPr>
          <w:p w14:paraId="67788F8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DSPA 4.1.9.14.1</w:t>
            </w:r>
          </w:p>
        </w:tc>
        <w:tc>
          <w:tcPr>
            <w:tcW w:w="3476" w:type="dxa"/>
            <w:vAlign w:val="center"/>
          </w:tcPr>
          <w:p w14:paraId="1727056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7CD6808" w14:textId="77777777" w:rsidTr="00294731">
        <w:trPr>
          <w:jc w:val="center"/>
        </w:trPr>
        <w:tc>
          <w:tcPr>
            <w:tcW w:w="3476" w:type="dxa"/>
            <w:vAlign w:val="center"/>
          </w:tcPr>
          <w:p w14:paraId="68D5F0E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OC43</w:t>
            </w:r>
          </w:p>
        </w:tc>
        <w:tc>
          <w:tcPr>
            <w:tcW w:w="3476" w:type="dxa"/>
            <w:vAlign w:val="center"/>
          </w:tcPr>
          <w:p w14:paraId="72889C5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bookmarkStart w:id="27" w:name="_GoBack"/>
            <w:bookmarkEnd w:id="27"/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7DE1E90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0810024CF</w:t>
            </w:r>
          </w:p>
        </w:tc>
        <w:tc>
          <w:tcPr>
            <w:tcW w:w="3476" w:type="dxa"/>
            <w:vAlign w:val="center"/>
          </w:tcPr>
          <w:p w14:paraId="5EB5997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20F3452B" w14:textId="77777777" w:rsidTr="00294731">
        <w:trPr>
          <w:jc w:val="center"/>
        </w:trPr>
        <w:tc>
          <w:tcPr>
            <w:tcW w:w="3476" w:type="dxa"/>
            <w:vAlign w:val="center"/>
          </w:tcPr>
          <w:p w14:paraId="1E1CFA2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NL63</w:t>
            </w:r>
          </w:p>
        </w:tc>
        <w:tc>
          <w:tcPr>
            <w:tcW w:w="3476" w:type="dxa"/>
            <w:vAlign w:val="center"/>
          </w:tcPr>
          <w:p w14:paraId="58B4D4A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2C4FC10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0810228CF</w:t>
            </w:r>
          </w:p>
        </w:tc>
        <w:tc>
          <w:tcPr>
            <w:tcW w:w="3476" w:type="dxa"/>
            <w:vAlign w:val="center"/>
          </w:tcPr>
          <w:p w14:paraId="0AACC44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5121FAC3" w14:textId="77777777" w:rsidTr="00294731">
        <w:trPr>
          <w:jc w:val="center"/>
        </w:trPr>
        <w:tc>
          <w:tcPr>
            <w:tcW w:w="3476" w:type="dxa"/>
            <w:vAlign w:val="center"/>
          </w:tcPr>
          <w:p w14:paraId="2FB146E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229E</w:t>
            </w:r>
          </w:p>
        </w:tc>
        <w:tc>
          <w:tcPr>
            <w:tcW w:w="3476" w:type="dxa"/>
            <w:vAlign w:val="center"/>
          </w:tcPr>
          <w:p w14:paraId="3EF911C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742C230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0810229CF</w:t>
            </w:r>
          </w:p>
        </w:tc>
        <w:tc>
          <w:tcPr>
            <w:tcW w:w="3476" w:type="dxa"/>
            <w:vAlign w:val="center"/>
          </w:tcPr>
          <w:p w14:paraId="5C47FF8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06EA8161" w14:textId="77777777" w:rsidTr="00294731">
        <w:trPr>
          <w:jc w:val="center"/>
        </w:trPr>
        <w:tc>
          <w:tcPr>
            <w:tcW w:w="3476" w:type="dxa"/>
            <w:vAlign w:val="center"/>
          </w:tcPr>
          <w:p w14:paraId="1F9DF13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H1N1 (seasonal)</w:t>
            </w:r>
          </w:p>
        </w:tc>
        <w:tc>
          <w:tcPr>
            <w:tcW w:w="3476" w:type="dxa"/>
            <w:vAlign w:val="center"/>
          </w:tcPr>
          <w:p w14:paraId="093AC34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2E62A33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0810244CF</w:t>
            </w:r>
          </w:p>
        </w:tc>
        <w:tc>
          <w:tcPr>
            <w:tcW w:w="3476" w:type="dxa"/>
            <w:vAlign w:val="center"/>
          </w:tcPr>
          <w:p w14:paraId="191CF4D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565AB107" w14:textId="77777777" w:rsidTr="00294731">
        <w:trPr>
          <w:jc w:val="center"/>
        </w:trPr>
        <w:tc>
          <w:tcPr>
            <w:tcW w:w="3476" w:type="dxa"/>
            <w:vAlign w:val="center"/>
          </w:tcPr>
          <w:p w14:paraId="6D72177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H3N2</w:t>
            </w:r>
          </w:p>
        </w:tc>
        <w:tc>
          <w:tcPr>
            <w:tcW w:w="3476" w:type="dxa"/>
            <w:vAlign w:val="center"/>
          </w:tcPr>
          <w:p w14:paraId="4CFB170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57AF6FD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0810238CF</w:t>
            </w:r>
          </w:p>
        </w:tc>
        <w:tc>
          <w:tcPr>
            <w:tcW w:w="3476" w:type="dxa"/>
            <w:vAlign w:val="center"/>
          </w:tcPr>
          <w:p w14:paraId="00624E1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34F725BE" w14:textId="77777777" w:rsidTr="00294731">
        <w:trPr>
          <w:jc w:val="center"/>
        </w:trPr>
        <w:tc>
          <w:tcPr>
            <w:tcW w:w="3476" w:type="dxa"/>
            <w:vAlign w:val="center"/>
          </w:tcPr>
          <w:p w14:paraId="7046503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H5N1</w:t>
            </w:r>
          </w:p>
        </w:tc>
        <w:tc>
          <w:tcPr>
            <w:tcW w:w="3476" w:type="dxa"/>
            <w:vAlign w:val="center"/>
          </w:tcPr>
          <w:p w14:paraId="5480C4D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BEI Resources</w:t>
            </w:r>
          </w:p>
        </w:tc>
        <w:tc>
          <w:tcPr>
            <w:tcW w:w="3476" w:type="dxa"/>
            <w:vAlign w:val="center"/>
          </w:tcPr>
          <w:p w14:paraId="6B0D65F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NR-31131</w:t>
            </w:r>
          </w:p>
        </w:tc>
        <w:tc>
          <w:tcPr>
            <w:tcW w:w="3476" w:type="dxa"/>
            <w:vAlign w:val="center"/>
          </w:tcPr>
          <w:p w14:paraId="7C0DB57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555581D9" w14:textId="77777777" w:rsidTr="00294731">
        <w:trPr>
          <w:jc w:val="center"/>
        </w:trPr>
        <w:tc>
          <w:tcPr>
            <w:tcW w:w="3476" w:type="dxa"/>
            <w:vAlign w:val="center"/>
          </w:tcPr>
          <w:p w14:paraId="086FB49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H7N9</w:t>
            </w:r>
          </w:p>
        </w:tc>
        <w:tc>
          <w:tcPr>
            <w:tcW w:w="3476" w:type="dxa"/>
            <w:vAlign w:val="center"/>
          </w:tcPr>
          <w:p w14:paraId="406F615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BEI Resources</w:t>
            </w:r>
          </w:p>
        </w:tc>
        <w:tc>
          <w:tcPr>
            <w:tcW w:w="3476" w:type="dxa"/>
            <w:vAlign w:val="center"/>
          </w:tcPr>
          <w:p w14:paraId="0BF61CB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NR-44078</w:t>
            </w:r>
          </w:p>
        </w:tc>
        <w:tc>
          <w:tcPr>
            <w:tcW w:w="3476" w:type="dxa"/>
            <w:vAlign w:val="center"/>
          </w:tcPr>
          <w:p w14:paraId="7BB7CD8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21B515F9" w14:textId="77777777" w:rsidTr="00294731">
        <w:trPr>
          <w:jc w:val="center"/>
        </w:trPr>
        <w:tc>
          <w:tcPr>
            <w:tcW w:w="3476" w:type="dxa"/>
            <w:vAlign w:val="center"/>
          </w:tcPr>
          <w:p w14:paraId="4C6343C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H1N1 (2009)</w:t>
            </w:r>
          </w:p>
        </w:tc>
        <w:tc>
          <w:tcPr>
            <w:tcW w:w="3476" w:type="dxa"/>
            <w:vAlign w:val="center"/>
          </w:tcPr>
          <w:p w14:paraId="172B793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American Type Culture Collection</w:t>
            </w:r>
          </w:p>
        </w:tc>
        <w:tc>
          <w:tcPr>
            <w:tcW w:w="3476" w:type="dxa"/>
            <w:vAlign w:val="center"/>
          </w:tcPr>
          <w:p w14:paraId="79D50F1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VR-1894™</w:t>
            </w:r>
          </w:p>
        </w:tc>
        <w:tc>
          <w:tcPr>
            <w:tcW w:w="3476" w:type="dxa"/>
            <w:vAlign w:val="center"/>
          </w:tcPr>
          <w:p w14:paraId="7DB19BD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5.2×10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2ABFB260" w14:textId="77777777" w:rsidTr="00294731">
        <w:trPr>
          <w:jc w:val="center"/>
        </w:trPr>
        <w:tc>
          <w:tcPr>
            <w:tcW w:w="3476" w:type="dxa"/>
            <w:vAlign w:val="center"/>
          </w:tcPr>
          <w:p w14:paraId="3B18BD3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Influenza B (Yamagata)</w:t>
            </w:r>
          </w:p>
        </w:tc>
        <w:tc>
          <w:tcPr>
            <w:tcW w:w="3476" w:type="dxa"/>
            <w:vAlign w:val="center"/>
          </w:tcPr>
          <w:p w14:paraId="3F1F8C9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861841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0810518CF</w:t>
            </w:r>
          </w:p>
        </w:tc>
        <w:tc>
          <w:tcPr>
            <w:tcW w:w="3476" w:type="dxa"/>
            <w:vAlign w:val="center"/>
          </w:tcPr>
          <w:p w14:paraId="1015ADF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3.8×10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0DC88F69" w14:textId="77777777" w:rsidTr="00294731">
        <w:trPr>
          <w:jc w:val="center"/>
        </w:trPr>
        <w:tc>
          <w:tcPr>
            <w:tcW w:w="3476" w:type="dxa"/>
            <w:vAlign w:val="center"/>
          </w:tcPr>
          <w:p w14:paraId="172AD7F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Influenza B (Victoria)</w:t>
            </w:r>
          </w:p>
        </w:tc>
        <w:tc>
          <w:tcPr>
            <w:tcW w:w="3476" w:type="dxa"/>
            <w:vAlign w:val="center"/>
          </w:tcPr>
          <w:p w14:paraId="61AB85A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0C32511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0810571CF</w:t>
            </w:r>
          </w:p>
        </w:tc>
        <w:tc>
          <w:tcPr>
            <w:tcW w:w="3476" w:type="dxa"/>
            <w:vAlign w:val="center"/>
          </w:tcPr>
          <w:p w14:paraId="015DFD3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:rsidDel="00B07ADA" w14:paraId="14252C8F" w14:textId="77777777" w:rsidTr="00294731">
        <w:trPr>
          <w:jc w:val="center"/>
        </w:trPr>
        <w:tc>
          <w:tcPr>
            <w:tcW w:w="3476" w:type="dxa"/>
            <w:vAlign w:val="center"/>
          </w:tcPr>
          <w:p w14:paraId="623273D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HPIV I</w:t>
            </w:r>
          </w:p>
        </w:tc>
        <w:tc>
          <w:tcPr>
            <w:tcW w:w="3476" w:type="dxa"/>
            <w:vAlign w:val="center"/>
          </w:tcPr>
          <w:p w14:paraId="44936D31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6D0BDAD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0810014CF</w:t>
            </w:r>
          </w:p>
        </w:tc>
        <w:tc>
          <w:tcPr>
            <w:tcW w:w="3476" w:type="dxa"/>
            <w:vAlign w:val="center"/>
          </w:tcPr>
          <w:p w14:paraId="71097D9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1.26×10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:rsidDel="00B07ADA" w14:paraId="708E60F1" w14:textId="77777777" w:rsidTr="00294731">
        <w:trPr>
          <w:jc w:val="center"/>
        </w:trPr>
        <w:tc>
          <w:tcPr>
            <w:tcW w:w="3476" w:type="dxa"/>
            <w:vAlign w:val="center"/>
          </w:tcPr>
          <w:p w14:paraId="712B1DB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HPIV II</w:t>
            </w:r>
          </w:p>
        </w:tc>
        <w:tc>
          <w:tcPr>
            <w:tcW w:w="3476" w:type="dxa"/>
            <w:vAlign w:val="center"/>
          </w:tcPr>
          <w:p w14:paraId="1E202FC1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53D4C82B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0810015CF</w:t>
            </w:r>
          </w:p>
        </w:tc>
        <w:tc>
          <w:tcPr>
            <w:tcW w:w="3476" w:type="dxa"/>
            <w:vAlign w:val="center"/>
          </w:tcPr>
          <w:p w14:paraId="250FF74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:rsidDel="00B07ADA" w14:paraId="49A1F6A5" w14:textId="77777777" w:rsidTr="00294731">
        <w:trPr>
          <w:jc w:val="center"/>
        </w:trPr>
        <w:tc>
          <w:tcPr>
            <w:tcW w:w="3476" w:type="dxa"/>
            <w:vAlign w:val="center"/>
          </w:tcPr>
          <w:p w14:paraId="2129EAF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HPIV III</w:t>
            </w:r>
          </w:p>
        </w:tc>
        <w:tc>
          <w:tcPr>
            <w:tcW w:w="3476" w:type="dxa"/>
            <w:vAlign w:val="center"/>
          </w:tcPr>
          <w:p w14:paraId="6027273F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591973DA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0810016CF</w:t>
            </w:r>
          </w:p>
        </w:tc>
        <w:tc>
          <w:tcPr>
            <w:tcW w:w="3476" w:type="dxa"/>
            <w:vAlign w:val="center"/>
          </w:tcPr>
          <w:p w14:paraId="407E557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8.51×10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56D63875" w14:textId="77777777" w:rsidTr="00294731">
        <w:trPr>
          <w:jc w:val="center"/>
        </w:trPr>
        <w:tc>
          <w:tcPr>
            <w:tcW w:w="3476" w:type="dxa"/>
            <w:vAlign w:val="center"/>
          </w:tcPr>
          <w:p w14:paraId="6580032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RSV type A</w:t>
            </w:r>
          </w:p>
        </w:tc>
        <w:tc>
          <w:tcPr>
            <w:tcW w:w="3476" w:type="dxa"/>
            <w:vAlign w:val="center"/>
          </w:tcPr>
          <w:p w14:paraId="7B06395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8D2018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0810040ACF</w:t>
            </w:r>
          </w:p>
        </w:tc>
        <w:tc>
          <w:tcPr>
            <w:tcW w:w="3476" w:type="dxa"/>
            <w:vAlign w:val="center"/>
          </w:tcPr>
          <w:p w14:paraId="6B91E39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:rsidDel="00B07ADA" w14:paraId="4D910590" w14:textId="77777777" w:rsidTr="00294731">
        <w:trPr>
          <w:jc w:val="center"/>
        </w:trPr>
        <w:tc>
          <w:tcPr>
            <w:tcW w:w="3476" w:type="dxa"/>
            <w:vAlign w:val="center"/>
          </w:tcPr>
          <w:p w14:paraId="7340B75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RSV type B</w:t>
            </w:r>
          </w:p>
        </w:tc>
        <w:tc>
          <w:tcPr>
            <w:tcW w:w="3476" w:type="dxa"/>
            <w:vAlign w:val="center"/>
          </w:tcPr>
          <w:p w14:paraId="14C698D1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21E1487E" w14:textId="77777777" w:rsidR="00294731" w:rsidRPr="00D479F9" w:rsidDel="00B07ADA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0810040CF</w:t>
            </w:r>
          </w:p>
        </w:tc>
        <w:tc>
          <w:tcPr>
            <w:tcW w:w="3476" w:type="dxa"/>
            <w:vAlign w:val="center"/>
          </w:tcPr>
          <w:p w14:paraId="5AA6D6F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3AECF87A" w14:textId="77777777" w:rsidTr="00294731">
        <w:trPr>
          <w:jc w:val="center"/>
        </w:trPr>
        <w:tc>
          <w:tcPr>
            <w:tcW w:w="3476" w:type="dxa"/>
            <w:vAlign w:val="center"/>
          </w:tcPr>
          <w:p w14:paraId="4F8F449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Rhinovirus A</w:t>
            </w:r>
          </w:p>
        </w:tc>
        <w:tc>
          <w:tcPr>
            <w:tcW w:w="3476" w:type="dxa"/>
            <w:vAlign w:val="center"/>
          </w:tcPr>
          <w:p w14:paraId="4648636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21A1F8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0810012CFN</w:t>
            </w:r>
          </w:p>
        </w:tc>
        <w:tc>
          <w:tcPr>
            <w:tcW w:w="3476" w:type="dxa"/>
            <w:vAlign w:val="center"/>
          </w:tcPr>
          <w:p w14:paraId="1F37CE2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1129A16D" w14:textId="77777777" w:rsidTr="00294731">
        <w:trPr>
          <w:jc w:val="center"/>
        </w:trPr>
        <w:tc>
          <w:tcPr>
            <w:tcW w:w="3476" w:type="dxa"/>
            <w:vAlign w:val="center"/>
          </w:tcPr>
          <w:p w14:paraId="3005244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Rhinovirus B</w:t>
            </w:r>
          </w:p>
        </w:tc>
        <w:tc>
          <w:tcPr>
            <w:tcW w:w="3476" w:type="dxa"/>
            <w:vAlign w:val="center"/>
          </w:tcPr>
          <w:p w14:paraId="504DAE5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4F25B3F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0810038CF</w:t>
            </w:r>
          </w:p>
        </w:tc>
        <w:tc>
          <w:tcPr>
            <w:tcW w:w="3476" w:type="dxa"/>
            <w:vAlign w:val="center"/>
          </w:tcPr>
          <w:p w14:paraId="7476EB3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1AA2AF3F" w14:textId="77777777" w:rsidTr="00294731">
        <w:trPr>
          <w:jc w:val="center"/>
        </w:trPr>
        <w:tc>
          <w:tcPr>
            <w:tcW w:w="3476" w:type="dxa"/>
            <w:vAlign w:val="center"/>
          </w:tcPr>
          <w:p w14:paraId="0522985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Rhinovirus C</w:t>
            </w:r>
          </w:p>
        </w:tc>
        <w:tc>
          <w:tcPr>
            <w:tcW w:w="3476" w:type="dxa"/>
            <w:vAlign w:val="center"/>
          </w:tcPr>
          <w:p w14:paraId="1B3BB90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5D35C61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0810053CF</w:t>
            </w:r>
          </w:p>
        </w:tc>
        <w:tc>
          <w:tcPr>
            <w:tcW w:w="3476" w:type="dxa"/>
            <w:vAlign w:val="center"/>
          </w:tcPr>
          <w:p w14:paraId="72FE237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1.9×10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4C52A341" w14:textId="77777777" w:rsidTr="00294731">
        <w:trPr>
          <w:jc w:val="center"/>
        </w:trPr>
        <w:tc>
          <w:tcPr>
            <w:tcW w:w="3476" w:type="dxa"/>
            <w:vAlign w:val="center"/>
          </w:tcPr>
          <w:p w14:paraId="6E29CDD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1</w:t>
            </w:r>
          </w:p>
        </w:tc>
        <w:tc>
          <w:tcPr>
            <w:tcW w:w="3476" w:type="dxa"/>
            <w:vAlign w:val="center"/>
          </w:tcPr>
          <w:p w14:paraId="54CA95A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7ADC453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0810050CF</w:t>
            </w:r>
          </w:p>
        </w:tc>
        <w:tc>
          <w:tcPr>
            <w:tcW w:w="3476" w:type="dxa"/>
            <w:vAlign w:val="center"/>
          </w:tcPr>
          <w:p w14:paraId="6F5934F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3.09×10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0C3B6ABE" w14:textId="77777777" w:rsidTr="00294731">
        <w:trPr>
          <w:jc w:val="center"/>
        </w:trPr>
        <w:tc>
          <w:tcPr>
            <w:tcW w:w="3476" w:type="dxa"/>
            <w:vAlign w:val="center"/>
          </w:tcPr>
          <w:p w14:paraId="194DCA4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2</w:t>
            </w:r>
          </w:p>
        </w:tc>
        <w:tc>
          <w:tcPr>
            <w:tcW w:w="3476" w:type="dxa"/>
            <w:vAlign w:val="center"/>
          </w:tcPr>
          <w:p w14:paraId="5855110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527C201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0810110CF</w:t>
            </w:r>
          </w:p>
        </w:tc>
        <w:tc>
          <w:tcPr>
            <w:tcW w:w="3476" w:type="dxa"/>
            <w:vAlign w:val="center"/>
          </w:tcPr>
          <w:p w14:paraId="7EE7588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439200F" w14:textId="77777777" w:rsidTr="00294731">
        <w:trPr>
          <w:jc w:val="center"/>
        </w:trPr>
        <w:tc>
          <w:tcPr>
            <w:tcW w:w="3476" w:type="dxa"/>
            <w:vAlign w:val="center"/>
          </w:tcPr>
          <w:p w14:paraId="5E7AA3B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3</w:t>
            </w:r>
          </w:p>
        </w:tc>
        <w:tc>
          <w:tcPr>
            <w:tcW w:w="3476" w:type="dxa"/>
            <w:vAlign w:val="center"/>
          </w:tcPr>
          <w:p w14:paraId="21E748C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40E07F1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0810062CF</w:t>
            </w:r>
          </w:p>
        </w:tc>
        <w:tc>
          <w:tcPr>
            <w:tcW w:w="3476" w:type="dxa"/>
            <w:vAlign w:val="center"/>
          </w:tcPr>
          <w:p w14:paraId="7F7986E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656BB7E6" w14:textId="77777777" w:rsidTr="00294731">
        <w:trPr>
          <w:jc w:val="center"/>
        </w:trPr>
        <w:tc>
          <w:tcPr>
            <w:tcW w:w="3476" w:type="dxa"/>
            <w:vAlign w:val="center"/>
          </w:tcPr>
          <w:p w14:paraId="4E8FDF0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4</w:t>
            </w:r>
          </w:p>
        </w:tc>
        <w:tc>
          <w:tcPr>
            <w:tcW w:w="3476" w:type="dxa"/>
            <w:vAlign w:val="center"/>
          </w:tcPr>
          <w:p w14:paraId="006CDC7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B5202B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0810070CF</w:t>
            </w:r>
          </w:p>
        </w:tc>
        <w:tc>
          <w:tcPr>
            <w:tcW w:w="3476" w:type="dxa"/>
            <w:vAlign w:val="center"/>
          </w:tcPr>
          <w:p w14:paraId="443FFA2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3D461F9A" w14:textId="77777777" w:rsidTr="00294731">
        <w:trPr>
          <w:jc w:val="center"/>
        </w:trPr>
        <w:tc>
          <w:tcPr>
            <w:tcW w:w="3476" w:type="dxa"/>
            <w:vAlign w:val="center"/>
          </w:tcPr>
          <w:p w14:paraId="707AF2A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5</w:t>
            </w:r>
          </w:p>
        </w:tc>
        <w:tc>
          <w:tcPr>
            <w:tcW w:w="3476" w:type="dxa"/>
            <w:vAlign w:val="center"/>
          </w:tcPr>
          <w:p w14:paraId="37BCEE4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60DF76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0810020CF</w:t>
            </w:r>
          </w:p>
        </w:tc>
        <w:tc>
          <w:tcPr>
            <w:tcW w:w="3476" w:type="dxa"/>
            <w:vAlign w:val="center"/>
          </w:tcPr>
          <w:p w14:paraId="40D8190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2.7×10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353EDEC" w14:textId="77777777" w:rsidTr="00294731">
        <w:trPr>
          <w:jc w:val="center"/>
        </w:trPr>
        <w:tc>
          <w:tcPr>
            <w:tcW w:w="3476" w:type="dxa"/>
            <w:vAlign w:val="center"/>
          </w:tcPr>
          <w:p w14:paraId="463737E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7</w:t>
            </w:r>
          </w:p>
        </w:tc>
        <w:tc>
          <w:tcPr>
            <w:tcW w:w="3476" w:type="dxa"/>
            <w:vAlign w:val="center"/>
          </w:tcPr>
          <w:p w14:paraId="4F68746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75468B4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0810021CF</w:t>
            </w:r>
          </w:p>
        </w:tc>
        <w:tc>
          <w:tcPr>
            <w:tcW w:w="3476" w:type="dxa"/>
            <w:vAlign w:val="center"/>
          </w:tcPr>
          <w:p w14:paraId="2E5AFAC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38448D0F" w14:textId="77777777" w:rsidTr="00294731">
        <w:trPr>
          <w:trHeight w:val="132"/>
          <w:jc w:val="center"/>
        </w:trPr>
        <w:tc>
          <w:tcPr>
            <w:tcW w:w="3476" w:type="dxa"/>
            <w:vAlign w:val="center"/>
          </w:tcPr>
          <w:p w14:paraId="75DB6F1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Adenovirus 55</w:t>
            </w:r>
          </w:p>
        </w:tc>
        <w:tc>
          <w:tcPr>
            <w:tcW w:w="3476" w:type="dxa"/>
            <w:vAlign w:val="center"/>
          </w:tcPr>
          <w:p w14:paraId="7E40D49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1828709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0810022CF</w:t>
            </w:r>
          </w:p>
        </w:tc>
        <w:tc>
          <w:tcPr>
            <w:tcW w:w="3476" w:type="dxa"/>
            <w:vAlign w:val="center"/>
          </w:tcPr>
          <w:p w14:paraId="6274DCB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3.6×10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0AED429F" w14:textId="77777777" w:rsidTr="00294731">
        <w:trPr>
          <w:jc w:val="center"/>
        </w:trPr>
        <w:tc>
          <w:tcPr>
            <w:tcW w:w="3476" w:type="dxa"/>
            <w:vAlign w:val="center"/>
          </w:tcPr>
          <w:p w14:paraId="38E448D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Enterovirus A</w:t>
            </w:r>
          </w:p>
        </w:tc>
        <w:tc>
          <w:tcPr>
            <w:tcW w:w="3476" w:type="dxa"/>
            <w:vAlign w:val="center"/>
          </w:tcPr>
          <w:p w14:paraId="28CB82D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2267ACC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0810236CF</w:t>
            </w:r>
          </w:p>
        </w:tc>
        <w:tc>
          <w:tcPr>
            <w:tcW w:w="3476" w:type="dxa"/>
            <w:vAlign w:val="center"/>
          </w:tcPr>
          <w:p w14:paraId="7E5B2D7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2196A66E" w14:textId="77777777" w:rsidTr="00294731">
        <w:trPr>
          <w:jc w:val="center"/>
        </w:trPr>
        <w:tc>
          <w:tcPr>
            <w:tcW w:w="3476" w:type="dxa"/>
            <w:vAlign w:val="center"/>
          </w:tcPr>
          <w:p w14:paraId="4B218D6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Enterovirus B</w:t>
            </w:r>
          </w:p>
        </w:tc>
        <w:tc>
          <w:tcPr>
            <w:tcW w:w="3476" w:type="dxa"/>
            <w:vAlign w:val="center"/>
          </w:tcPr>
          <w:p w14:paraId="61397DE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759F110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0810543CF</w:t>
            </w:r>
          </w:p>
        </w:tc>
        <w:tc>
          <w:tcPr>
            <w:tcW w:w="3476" w:type="dxa"/>
            <w:vAlign w:val="center"/>
          </w:tcPr>
          <w:p w14:paraId="725E2AA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1B1A69A9" w14:textId="77777777" w:rsidTr="00294731">
        <w:trPr>
          <w:jc w:val="center"/>
        </w:trPr>
        <w:tc>
          <w:tcPr>
            <w:tcW w:w="3476" w:type="dxa"/>
            <w:vAlign w:val="center"/>
          </w:tcPr>
          <w:p w14:paraId="2B7B7D2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Enterovirus C</w:t>
            </w:r>
          </w:p>
        </w:tc>
        <w:tc>
          <w:tcPr>
            <w:tcW w:w="3476" w:type="dxa"/>
            <w:vAlign w:val="center"/>
          </w:tcPr>
          <w:p w14:paraId="3B7C83E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2DC124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0810343CF</w:t>
            </w:r>
          </w:p>
        </w:tc>
        <w:tc>
          <w:tcPr>
            <w:tcW w:w="3476" w:type="dxa"/>
            <w:vAlign w:val="center"/>
          </w:tcPr>
          <w:p w14:paraId="3FB4EDFA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5.5×10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1445E278" w14:textId="77777777" w:rsidTr="00294731">
        <w:trPr>
          <w:jc w:val="center"/>
        </w:trPr>
        <w:tc>
          <w:tcPr>
            <w:tcW w:w="3476" w:type="dxa"/>
            <w:vAlign w:val="center"/>
          </w:tcPr>
          <w:p w14:paraId="5F544A1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Enterovirus D</w:t>
            </w:r>
          </w:p>
        </w:tc>
        <w:tc>
          <w:tcPr>
            <w:tcW w:w="3476" w:type="dxa"/>
            <w:vAlign w:val="center"/>
          </w:tcPr>
          <w:p w14:paraId="3FAA479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028853E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0810300CF</w:t>
            </w:r>
          </w:p>
        </w:tc>
        <w:tc>
          <w:tcPr>
            <w:tcW w:w="3476" w:type="dxa"/>
            <w:vAlign w:val="center"/>
          </w:tcPr>
          <w:p w14:paraId="430790A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2.2×10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0AFE5270" w14:textId="77777777" w:rsidTr="00294731">
        <w:trPr>
          <w:jc w:val="center"/>
        </w:trPr>
        <w:tc>
          <w:tcPr>
            <w:tcW w:w="3476" w:type="dxa"/>
            <w:vAlign w:val="center"/>
          </w:tcPr>
          <w:p w14:paraId="580DC0C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EBV</w:t>
            </w:r>
          </w:p>
        </w:tc>
        <w:tc>
          <w:tcPr>
            <w:tcW w:w="3476" w:type="dxa"/>
            <w:vAlign w:val="center"/>
          </w:tcPr>
          <w:p w14:paraId="22A8779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3FFCC2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0810008CF</w:t>
            </w:r>
          </w:p>
        </w:tc>
        <w:tc>
          <w:tcPr>
            <w:tcW w:w="3476" w:type="dxa"/>
            <w:vAlign w:val="center"/>
          </w:tcPr>
          <w:p w14:paraId="7747727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433489B2" w14:textId="77777777" w:rsidTr="00294731">
        <w:trPr>
          <w:jc w:val="center"/>
        </w:trPr>
        <w:tc>
          <w:tcPr>
            <w:tcW w:w="3476" w:type="dxa"/>
            <w:vAlign w:val="center"/>
          </w:tcPr>
          <w:p w14:paraId="59AD500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Measles virus</w:t>
            </w:r>
          </w:p>
        </w:tc>
        <w:tc>
          <w:tcPr>
            <w:tcW w:w="3476" w:type="dxa"/>
            <w:vAlign w:val="center"/>
          </w:tcPr>
          <w:p w14:paraId="68E4F9D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3523F6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0810025CF</w:t>
            </w:r>
          </w:p>
        </w:tc>
        <w:tc>
          <w:tcPr>
            <w:tcW w:w="3476" w:type="dxa"/>
            <w:vAlign w:val="center"/>
          </w:tcPr>
          <w:p w14:paraId="7557C52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5AA6CD4E" w14:textId="77777777" w:rsidTr="00294731">
        <w:trPr>
          <w:jc w:val="center"/>
        </w:trPr>
        <w:tc>
          <w:tcPr>
            <w:tcW w:w="3476" w:type="dxa"/>
            <w:vAlign w:val="center"/>
          </w:tcPr>
          <w:p w14:paraId="5193419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HCMV</w:t>
            </w:r>
          </w:p>
        </w:tc>
        <w:tc>
          <w:tcPr>
            <w:tcW w:w="3476" w:type="dxa"/>
            <w:vAlign w:val="center"/>
          </w:tcPr>
          <w:p w14:paraId="1948F69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1F29789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0810003CF</w:t>
            </w:r>
          </w:p>
        </w:tc>
        <w:tc>
          <w:tcPr>
            <w:tcW w:w="3476" w:type="dxa"/>
            <w:vAlign w:val="center"/>
          </w:tcPr>
          <w:p w14:paraId="1504225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12D45BEA" w14:textId="77777777" w:rsidTr="00294731">
        <w:trPr>
          <w:jc w:val="center"/>
        </w:trPr>
        <w:tc>
          <w:tcPr>
            <w:tcW w:w="3476" w:type="dxa"/>
            <w:vAlign w:val="center"/>
          </w:tcPr>
          <w:p w14:paraId="4C1F17C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Rotavirus</w:t>
            </w:r>
          </w:p>
        </w:tc>
        <w:tc>
          <w:tcPr>
            <w:tcW w:w="3476" w:type="dxa"/>
            <w:vAlign w:val="center"/>
          </w:tcPr>
          <w:p w14:paraId="5FE0237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4BD042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0810041CF</w:t>
            </w:r>
          </w:p>
        </w:tc>
        <w:tc>
          <w:tcPr>
            <w:tcW w:w="3476" w:type="dxa"/>
            <w:vAlign w:val="center"/>
          </w:tcPr>
          <w:p w14:paraId="52549B3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2.4×10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51F14063" w14:textId="77777777" w:rsidTr="00294731">
        <w:trPr>
          <w:jc w:val="center"/>
        </w:trPr>
        <w:tc>
          <w:tcPr>
            <w:tcW w:w="3476" w:type="dxa"/>
            <w:vAlign w:val="center"/>
          </w:tcPr>
          <w:p w14:paraId="77D6D0E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Norwalk virus</w:t>
            </w:r>
          </w:p>
        </w:tc>
        <w:tc>
          <w:tcPr>
            <w:tcW w:w="3476" w:type="dxa"/>
            <w:vAlign w:val="center"/>
          </w:tcPr>
          <w:p w14:paraId="071A521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BIOIVT &amp; ELEVATING SCIENCE</w:t>
            </w:r>
          </w:p>
        </w:tc>
        <w:tc>
          <w:tcPr>
            <w:tcW w:w="3476" w:type="dxa"/>
            <w:vAlign w:val="center"/>
          </w:tcPr>
          <w:p w14:paraId="17CD14F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HMN48675</w:t>
            </w:r>
          </w:p>
        </w:tc>
        <w:tc>
          <w:tcPr>
            <w:tcW w:w="3476" w:type="dxa"/>
            <w:vAlign w:val="center"/>
          </w:tcPr>
          <w:p w14:paraId="31A9962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4BB8100F" w14:textId="77777777" w:rsidTr="00294731">
        <w:trPr>
          <w:jc w:val="center"/>
        </w:trPr>
        <w:tc>
          <w:tcPr>
            <w:tcW w:w="3476" w:type="dxa"/>
            <w:vAlign w:val="center"/>
          </w:tcPr>
          <w:p w14:paraId="2F3FEBF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Mumps virus</w:t>
            </w:r>
          </w:p>
        </w:tc>
        <w:tc>
          <w:tcPr>
            <w:tcW w:w="3476" w:type="dxa"/>
            <w:vAlign w:val="center"/>
          </w:tcPr>
          <w:p w14:paraId="424CEA1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1BBDD33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0810079CF</w:t>
            </w:r>
          </w:p>
        </w:tc>
        <w:tc>
          <w:tcPr>
            <w:tcW w:w="3476" w:type="dxa"/>
            <w:vAlign w:val="center"/>
          </w:tcPr>
          <w:p w14:paraId="5C5BE04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4D8B3AA" w14:textId="77777777" w:rsidTr="00294731">
        <w:trPr>
          <w:jc w:val="center"/>
        </w:trPr>
        <w:tc>
          <w:tcPr>
            <w:tcW w:w="3476" w:type="dxa"/>
            <w:vAlign w:val="center"/>
          </w:tcPr>
          <w:p w14:paraId="6F4CEA7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VZV</w:t>
            </w:r>
          </w:p>
        </w:tc>
        <w:tc>
          <w:tcPr>
            <w:tcW w:w="3476" w:type="dxa"/>
            <w:vAlign w:val="center"/>
          </w:tcPr>
          <w:p w14:paraId="74CC8B7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BIOIVT &amp; ELEVATING SCIENCE</w:t>
            </w:r>
          </w:p>
        </w:tc>
        <w:tc>
          <w:tcPr>
            <w:tcW w:w="3476" w:type="dxa"/>
            <w:vAlign w:val="center"/>
          </w:tcPr>
          <w:p w14:paraId="660FF86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HMN48824</w:t>
            </w:r>
          </w:p>
        </w:tc>
        <w:tc>
          <w:tcPr>
            <w:tcW w:w="3476" w:type="dxa"/>
            <w:vAlign w:val="center"/>
          </w:tcPr>
          <w:p w14:paraId="0DB85D1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3.2×10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B1B5FB1" w14:textId="77777777" w:rsidTr="00294731">
        <w:trPr>
          <w:jc w:val="center"/>
        </w:trPr>
        <w:tc>
          <w:tcPr>
            <w:tcW w:w="3476" w:type="dxa"/>
            <w:vAlign w:val="center"/>
          </w:tcPr>
          <w:p w14:paraId="38717F5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lastRenderedPageBreak/>
              <w:t>hMPV</w:t>
            </w:r>
          </w:p>
        </w:tc>
        <w:tc>
          <w:tcPr>
            <w:tcW w:w="3476" w:type="dxa"/>
            <w:vAlign w:val="center"/>
          </w:tcPr>
          <w:p w14:paraId="752DF1F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7EA8324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0810159CF</w:t>
            </w:r>
          </w:p>
        </w:tc>
        <w:tc>
          <w:tcPr>
            <w:tcW w:w="3476" w:type="dxa"/>
            <w:vAlign w:val="center"/>
          </w:tcPr>
          <w:p w14:paraId="159E75D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DA69384" w14:textId="77777777" w:rsidTr="00294731">
        <w:trPr>
          <w:jc w:val="center"/>
        </w:trPr>
        <w:tc>
          <w:tcPr>
            <w:tcW w:w="3476" w:type="dxa"/>
            <w:vAlign w:val="center"/>
          </w:tcPr>
          <w:p w14:paraId="6432F80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Style w:val="a4"/>
                <w:rFonts w:ascii="Bookman Old Style" w:hAnsi="Bookman Old Style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M. pneumonia</w:t>
            </w:r>
          </w:p>
        </w:tc>
        <w:tc>
          <w:tcPr>
            <w:tcW w:w="3476" w:type="dxa"/>
            <w:vAlign w:val="center"/>
          </w:tcPr>
          <w:p w14:paraId="1262A9D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E199F6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0801579</w:t>
            </w:r>
          </w:p>
        </w:tc>
        <w:tc>
          <w:tcPr>
            <w:tcW w:w="3476" w:type="dxa"/>
            <w:vAlign w:val="center"/>
          </w:tcPr>
          <w:p w14:paraId="680407A8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2.70×10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CCU/mL</w:t>
            </w:r>
          </w:p>
        </w:tc>
      </w:tr>
      <w:tr w:rsidR="00294731" w:rsidRPr="00D479F9" w14:paraId="6F52EE49" w14:textId="77777777" w:rsidTr="00294731">
        <w:trPr>
          <w:jc w:val="center"/>
        </w:trPr>
        <w:tc>
          <w:tcPr>
            <w:tcW w:w="3476" w:type="dxa"/>
            <w:vAlign w:val="center"/>
          </w:tcPr>
          <w:p w14:paraId="7A7626D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 xml:space="preserve">C. </w:t>
            </w:r>
            <w:r w:rsidRPr="00D479F9">
              <w:rPr>
                <w:rStyle w:val="a4"/>
                <w:rFonts w:ascii="Bookman Old Style" w:hAnsi="Bookman Old Style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pneumoniae</w:t>
            </w:r>
          </w:p>
        </w:tc>
        <w:tc>
          <w:tcPr>
            <w:tcW w:w="3476" w:type="dxa"/>
            <w:vAlign w:val="center"/>
          </w:tcPr>
          <w:p w14:paraId="21BCD18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3C0317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0804392</w:t>
            </w:r>
          </w:p>
        </w:tc>
        <w:tc>
          <w:tcPr>
            <w:tcW w:w="3476" w:type="dxa"/>
            <w:vAlign w:val="center"/>
          </w:tcPr>
          <w:p w14:paraId="5F3780B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1.70×10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IFU/mL</w:t>
            </w:r>
          </w:p>
        </w:tc>
      </w:tr>
      <w:tr w:rsidR="00294731" w:rsidRPr="00D479F9" w14:paraId="314D1F5C" w14:textId="77777777" w:rsidTr="00294731">
        <w:trPr>
          <w:jc w:val="center"/>
        </w:trPr>
        <w:tc>
          <w:tcPr>
            <w:tcW w:w="3476" w:type="dxa"/>
            <w:vAlign w:val="center"/>
          </w:tcPr>
          <w:p w14:paraId="5B8C4A9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Style w:val="a4"/>
                <w:rFonts w:ascii="Bookman Old Style" w:hAnsi="Bookman Old Style"/>
                <w:b w:val="0"/>
                <w:color w:val="111111"/>
                <w:sz w:val="16"/>
                <w:szCs w:val="16"/>
                <w:shd w:val="clear" w:color="auto" w:fill="FFFFFF"/>
              </w:rPr>
            </w:pPr>
            <w:proofErr w:type="spellStart"/>
            <w:r w:rsidRPr="00D479F9">
              <w:rPr>
                <w:rFonts w:ascii="Bookman Old Style" w:hAnsi="Bookman Old Style"/>
                <w:bCs/>
                <w:sz w:val="16"/>
                <w:szCs w:val="16"/>
                <w:shd w:val="clear" w:color="auto" w:fill="FFFFFF"/>
              </w:rPr>
              <w:t>Haemophilus</w:t>
            </w:r>
            <w:proofErr w:type="spellEnd"/>
            <w:r w:rsidRPr="00D479F9">
              <w:rPr>
                <w:rFonts w:ascii="Bookman Old Style" w:hAnsi="Bookman Old Style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479F9">
              <w:rPr>
                <w:rFonts w:ascii="Bookman Old Style" w:hAnsi="Bookman Old Style"/>
                <w:bCs/>
                <w:sz w:val="16"/>
                <w:szCs w:val="16"/>
                <w:shd w:val="clear" w:color="auto" w:fill="FFFFFF"/>
              </w:rPr>
              <w:t>influenzae</w:t>
            </w:r>
            <w:proofErr w:type="spellEnd"/>
          </w:p>
        </w:tc>
        <w:tc>
          <w:tcPr>
            <w:tcW w:w="3476" w:type="dxa"/>
            <w:vAlign w:val="center"/>
          </w:tcPr>
          <w:p w14:paraId="3017A961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16C9AC2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0801679</w:t>
            </w:r>
          </w:p>
        </w:tc>
        <w:tc>
          <w:tcPr>
            <w:tcW w:w="3476" w:type="dxa"/>
            <w:vAlign w:val="center"/>
          </w:tcPr>
          <w:p w14:paraId="51DD492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6.97×10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CFU/mL</w:t>
            </w:r>
          </w:p>
        </w:tc>
      </w:tr>
      <w:tr w:rsidR="00294731" w:rsidRPr="00D479F9" w14:paraId="39F1A283" w14:textId="77777777" w:rsidTr="00294731">
        <w:trPr>
          <w:jc w:val="center"/>
        </w:trPr>
        <w:tc>
          <w:tcPr>
            <w:tcW w:w="3476" w:type="dxa"/>
            <w:vAlign w:val="center"/>
          </w:tcPr>
          <w:p w14:paraId="76B8E85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 xml:space="preserve">S. </w:t>
            </w:r>
            <w:r w:rsidRPr="00D479F9">
              <w:rPr>
                <w:rStyle w:val="a4"/>
                <w:rFonts w:ascii="Bookman Old Style" w:hAnsi="Bookman Old Style"/>
                <w:b w:val="0"/>
                <w:bCs w:val="0"/>
                <w:color w:val="111111"/>
                <w:sz w:val="16"/>
                <w:szCs w:val="16"/>
                <w:shd w:val="clear" w:color="auto" w:fill="FFFFFF"/>
              </w:rPr>
              <w:t>aureus</w:t>
            </w:r>
          </w:p>
        </w:tc>
        <w:tc>
          <w:tcPr>
            <w:tcW w:w="3476" w:type="dxa"/>
            <w:vAlign w:val="center"/>
          </w:tcPr>
          <w:p w14:paraId="2EB6E664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39B1639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0804125</w:t>
            </w:r>
          </w:p>
        </w:tc>
        <w:tc>
          <w:tcPr>
            <w:tcW w:w="3476" w:type="dxa"/>
            <w:vAlign w:val="center"/>
          </w:tcPr>
          <w:p w14:paraId="6545985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2.51×10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CFU/mL</w:t>
            </w:r>
          </w:p>
        </w:tc>
      </w:tr>
      <w:tr w:rsidR="00294731" w:rsidRPr="00D479F9" w14:paraId="7369428C" w14:textId="77777777" w:rsidTr="00294731">
        <w:trPr>
          <w:jc w:val="center"/>
        </w:trPr>
        <w:tc>
          <w:tcPr>
            <w:tcW w:w="3476" w:type="dxa"/>
            <w:vAlign w:val="center"/>
          </w:tcPr>
          <w:p w14:paraId="05F446D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>S. pneumoniae</w:t>
            </w:r>
          </w:p>
        </w:tc>
        <w:tc>
          <w:tcPr>
            <w:tcW w:w="3476" w:type="dxa"/>
            <w:vAlign w:val="center"/>
          </w:tcPr>
          <w:p w14:paraId="074DA7D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492D2D9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0801439</w:t>
            </w:r>
          </w:p>
        </w:tc>
        <w:tc>
          <w:tcPr>
            <w:tcW w:w="3476" w:type="dxa"/>
            <w:vAlign w:val="center"/>
          </w:tcPr>
          <w:p w14:paraId="6539BF35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1.34×10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CFU/mL</w:t>
            </w:r>
          </w:p>
        </w:tc>
      </w:tr>
      <w:tr w:rsidR="00294731" w:rsidRPr="00D479F9" w14:paraId="183EEAE3" w14:textId="77777777" w:rsidTr="00294731">
        <w:trPr>
          <w:jc w:val="center"/>
        </w:trPr>
        <w:tc>
          <w:tcPr>
            <w:tcW w:w="3476" w:type="dxa"/>
            <w:vAlign w:val="center"/>
          </w:tcPr>
          <w:p w14:paraId="282ADD16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</w:pPr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>K. pneumoniae</w:t>
            </w:r>
          </w:p>
        </w:tc>
        <w:tc>
          <w:tcPr>
            <w:tcW w:w="3476" w:type="dxa"/>
            <w:vAlign w:val="center"/>
          </w:tcPr>
          <w:p w14:paraId="0F7061F2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656A494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0801506</w:t>
            </w:r>
          </w:p>
        </w:tc>
        <w:tc>
          <w:tcPr>
            <w:tcW w:w="3476" w:type="dxa"/>
            <w:vAlign w:val="center"/>
          </w:tcPr>
          <w:p w14:paraId="398AADE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1.14×10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CFU/mL</w:t>
            </w:r>
          </w:p>
        </w:tc>
      </w:tr>
      <w:tr w:rsidR="00294731" w:rsidRPr="00D479F9" w14:paraId="75E9AB06" w14:textId="77777777" w:rsidTr="00294731">
        <w:trPr>
          <w:jc w:val="center"/>
        </w:trPr>
        <w:tc>
          <w:tcPr>
            <w:tcW w:w="3476" w:type="dxa"/>
            <w:vAlign w:val="center"/>
          </w:tcPr>
          <w:p w14:paraId="40C5CA20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M. tuberculosis</w:t>
            </w:r>
          </w:p>
        </w:tc>
        <w:tc>
          <w:tcPr>
            <w:tcW w:w="3476" w:type="dxa"/>
            <w:vAlign w:val="center"/>
          </w:tcPr>
          <w:p w14:paraId="7EE8084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2692D07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0801660</w:t>
            </w:r>
          </w:p>
        </w:tc>
        <w:tc>
          <w:tcPr>
            <w:tcW w:w="3476" w:type="dxa"/>
            <w:vAlign w:val="center"/>
          </w:tcPr>
          <w:p w14:paraId="6954D12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1.49×10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CFU/mL</w:t>
            </w:r>
          </w:p>
        </w:tc>
      </w:tr>
      <w:tr w:rsidR="00294731" w:rsidRPr="00D479F9" w14:paraId="1001CE67" w14:textId="77777777" w:rsidTr="00294731">
        <w:trPr>
          <w:jc w:val="center"/>
        </w:trPr>
        <w:tc>
          <w:tcPr>
            <w:tcW w:w="3476" w:type="dxa"/>
            <w:vAlign w:val="center"/>
          </w:tcPr>
          <w:p w14:paraId="2052F2CD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>Canidia</w:t>
            </w:r>
            <w:proofErr w:type="spellEnd"/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479F9">
              <w:rPr>
                <w:rFonts w:ascii="Bookman Old Style" w:hAnsi="Bookman Old Style"/>
                <w:color w:val="111111"/>
                <w:sz w:val="16"/>
                <w:szCs w:val="16"/>
                <w:shd w:val="clear" w:color="auto" w:fill="FFFFFF"/>
              </w:rPr>
              <w:t>Albicans</w:t>
            </w:r>
            <w:proofErr w:type="spellEnd"/>
          </w:p>
        </w:tc>
        <w:tc>
          <w:tcPr>
            <w:tcW w:w="3476" w:type="dxa"/>
            <w:vAlign w:val="center"/>
          </w:tcPr>
          <w:p w14:paraId="2939726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1BE76BC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0801504</w:t>
            </w:r>
          </w:p>
        </w:tc>
        <w:tc>
          <w:tcPr>
            <w:tcW w:w="3476" w:type="dxa"/>
            <w:vAlign w:val="center"/>
          </w:tcPr>
          <w:p w14:paraId="181F9E1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4.76×10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6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CFU/mL</w:t>
            </w:r>
          </w:p>
        </w:tc>
      </w:tr>
      <w:tr w:rsidR="00294731" w:rsidRPr="00D479F9" w14:paraId="33FEF56D" w14:textId="77777777" w:rsidTr="00294731">
        <w:trPr>
          <w:jc w:val="center"/>
        </w:trPr>
        <w:tc>
          <w:tcPr>
            <w:tcW w:w="3476" w:type="dxa"/>
            <w:vAlign w:val="center"/>
          </w:tcPr>
          <w:p w14:paraId="3057EF4E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MERS-</w:t>
            </w: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CoV</w:t>
            </w:r>
            <w:proofErr w:type="spellEnd"/>
          </w:p>
        </w:tc>
        <w:tc>
          <w:tcPr>
            <w:tcW w:w="3476" w:type="dxa"/>
            <w:vAlign w:val="center"/>
          </w:tcPr>
          <w:p w14:paraId="38844B6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ZeptoMetrix</w:t>
            </w:r>
            <w:proofErr w:type="spellEnd"/>
            <w:r w:rsidRPr="00D479F9">
              <w:rPr>
                <w:rFonts w:ascii="Bookman Old Style" w:hAnsi="Bookman Old Style"/>
                <w:sz w:val="16"/>
                <w:szCs w:val="16"/>
              </w:rPr>
              <w:t>, LLC</w:t>
            </w:r>
          </w:p>
        </w:tc>
        <w:tc>
          <w:tcPr>
            <w:tcW w:w="3476" w:type="dxa"/>
            <w:vAlign w:val="center"/>
          </w:tcPr>
          <w:p w14:paraId="464E17AB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0810575UV</w:t>
            </w:r>
          </w:p>
        </w:tc>
        <w:tc>
          <w:tcPr>
            <w:tcW w:w="3476" w:type="dxa"/>
            <w:vAlign w:val="center"/>
          </w:tcPr>
          <w:p w14:paraId="3CEEE61F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  <w:tr w:rsidR="00294731" w:rsidRPr="00D479F9" w14:paraId="718B97A3" w14:textId="77777777" w:rsidTr="00294731">
        <w:trPr>
          <w:jc w:val="center"/>
        </w:trPr>
        <w:tc>
          <w:tcPr>
            <w:tcW w:w="3476" w:type="dxa"/>
            <w:vAlign w:val="center"/>
          </w:tcPr>
          <w:p w14:paraId="571A18FC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SARS-</w:t>
            </w:r>
            <w:proofErr w:type="spellStart"/>
            <w:r w:rsidRPr="00D479F9">
              <w:rPr>
                <w:rFonts w:ascii="Bookman Old Style" w:hAnsi="Bookman Old Style"/>
                <w:sz w:val="16"/>
                <w:szCs w:val="16"/>
              </w:rPr>
              <w:t>CoV</w:t>
            </w:r>
            <w:proofErr w:type="spellEnd"/>
          </w:p>
        </w:tc>
        <w:tc>
          <w:tcPr>
            <w:tcW w:w="3476" w:type="dxa"/>
            <w:vAlign w:val="center"/>
          </w:tcPr>
          <w:p w14:paraId="1F3D52D7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BEI Resources</w:t>
            </w:r>
          </w:p>
        </w:tc>
        <w:tc>
          <w:tcPr>
            <w:tcW w:w="3476" w:type="dxa"/>
            <w:vAlign w:val="center"/>
          </w:tcPr>
          <w:p w14:paraId="0E9FCD09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NR-9323</w:t>
            </w:r>
          </w:p>
        </w:tc>
        <w:tc>
          <w:tcPr>
            <w:tcW w:w="3476" w:type="dxa"/>
            <w:vAlign w:val="center"/>
          </w:tcPr>
          <w:p w14:paraId="23899E53" w14:textId="77777777" w:rsidR="00294731" w:rsidRPr="00D479F9" w:rsidRDefault="00294731" w:rsidP="00044CB5">
            <w:pPr>
              <w:adjustRightInd w:val="0"/>
              <w:snapToGrid w:val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479F9">
              <w:rPr>
                <w:rFonts w:ascii="Bookman Old Style" w:hAnsi="Bookman Old Style"/>
                <w:sz w:val="16"/>
                <w:szCs w:val="16"/>
              </w:rPr>
              <w:t>1.5×10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perscript"/>
              </w:rPr>
              <w:t>5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 xml:space="preserve"> TCID</w:t>
            </w:r>
            <w:r w:rsidRPr="00D479F9">
              <w:rPr>
                <w:rFonts w:ascii="Bookman Old Style" w:hAnsi="Bookman Old Style"/>
                <w:sz w:val="16"/>
                <w:szCs w:val="16"/>
                <w:vertAlign w:val="subscript"/>
              </w:rPr>
              <w:t>50</w:t>
            </w:r>
            <w:r w:rsidRPr="00D479F9">
              <w:rPr>
                <w:rFonts w:ascii="Bookman Old Style" w:hAnsi="Bookman Old Style"/>
                <w:sz w:val="16"/>
                <w:szCs w:val="16"/>
              </w:rPr>
              <w:t>/mL</w:t>
            </w:r>
          </w:p>
        </w:tc>
      </w:tr>
    </w:tbl>
    <w:p w14:paraId="2ED41CBD" w14:textId="77777777" w:rsidR="00874804" w:rsidRPr="00D479F9" w:rsidRDefault="00874804">
      <w:pPr>
        <w:widowControl/>
        <w:jc w:val="left"/>
        <w:rPr>
          <w:rFonts w:ascii="Bookman Old Style" w:hAnsi="Bookman Old Style" w:cs="Times New Roman"/>
          <w:sz w:val="16"/>
          <w:szCs w:val="16"/>
        </w:rPr>
      </w:pPr>
      <w:r w:rsidRPr="00D479F9">
        <w:rPr>
          <w:rFonts w:ascii="Bookman Old Style" w:hAnsi="Bookman Old Style" w:cs="Times New Roman"/>
          <w:sz w:val="16"/>
          <w:szCs w:val="16"/>
        </w:rPr>
        <w:br w:type="page"/>
      </w:r>
    </w:p>
    <w:p w14:paraId="101F26E3" w14:textId="705B8999" w:rsidR="004655C8" w:rsidRPr="00D479F9" w:rsidRDefault="004655C8" w:rsidP="00874804">
      <w:pPr>
        <w:spacing w:line="480" w:lineRule="auto"/>
        <w:rPr>
          <w:rStyle w:val="fontstyle01"/>
          <w:rFonts w:ascii="Bookman Old Style" w:hAnsi="Bookman Old Style" w:cs="Times New Roman"/>
          <w:b/>
          <w:sz w:val="16"/>
          <w:szCs w:val="16"/>
        </w:rPr>
      </w:pPr>
      <w:r w:rsidRPr="00D479F9">
        <w:rPr>
          <w:rStyle w:val="fontstyle01"/>
          <w:rFonts w:ascii="Bookman Old Style" w:hAnsi="Bookman Old Style" w:cs="Times New Roman"/>
          <w:b/>
          <w:sz w:val="16"/>
          <w:szCs w:val="16"/>
        </w:rPr>
        <w:lastRenderedPageBreak/>
        <w:t>References</w:t>
      </w:r>
    </w:p>
    <w:p w14:paraId="3630F382" w14:textId="42B75850" w:rsidR="00033EE9" w:rsidRPr="00D479F9" w:rsidRDefault="00033EE9" w:rsidP="00033EE9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Bookman Old Style" w:hAnsi="Bookman Old Style" w:cs="Times New Roman"/>
          <w:sz w:val="16"/>
          <w:szCs w:val="16"/>
        </w:rPr>
      </w:pPr>
      <w:r w:rsidRPr="00D479F9">
        <w:rPr>
          <w:rFonts w:ascii="Bookman Old Style" w:hAnsi="Bookman Old Style" w:cs="Times New Roman"/>
          <w:sz w:val="16"/>
          <w:szCs w:val="16"/>
        </w:rPr>
        <w:t xml:space="preserve">McEnroe RJ, Durham AP,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Goldford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MD,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Kondratovich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MV,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Lababidi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S,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Magari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R, et al. Evaluation of Precision of Quantitative Measurement Procedure; Approved Guideline. Clinical Laboratory Standards Institute 2014.</w:t>
      </w:r>
    </w:p>
    <w:p w14:paraId="0EC3C77D" w14:textId="1C481792" w:rsidR="00A1387F" w:rsidRPr="00D479F9" w:rsidRDefault="00A1387F" w:rsidP="00A1387F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Bookman Old Style" w:hAnsi="Bookman Old Style" w:cs="Times New Roman"/>
          <w:sz w:val="16"/>
          <w:szCs w:val="16"/>
        </w:rPr>
      </w:pPr>
      <w:r w:rsidRPr="00D479F9">
        <w:rPr>
          <w:rFonts w:ascii="Bookman Old Style" w:hAnsi="Bookman Old Style" w:cs="Times New Roman"/>
          <w:sz w:val="16"/>
          <w:szCs w:val="16"/>
        </w:rPr>
        <w:t xml:space="preserve">Pierson-Perry JF,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Vaks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JE,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Vore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TEK, Durham AP, Fischer C,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Gutenbrunner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C, et al. Evaluation of detection capability for clinical laboratory measurement procedures; approved guideline. Clinical Laboratory Standards Institute 2012.</w:t>
      </w:r>
    </w:p>
    <w:p w14:paraId="03AD44B7" w14:textId="1F8D1AF9" w:rsidR="000148A6" w:rsidRPr="00D479F9" w:rsidRDefault="00033EE9" w:rsidP="00033EE9">
      <w:pPr>
        <w:pStyle w:val="a7"/>
        <w:numPr>
          <w:ilvl w:val="0"/>
          <w:numId w:val="1"/>
        </w:numPr>
        <w:spacing w:line="480" w:lineRule="auto"/>
        <w:ind w:firstLineChars="0"/>
        <w:rPr>
          <w:rFonts w:ascii="Bookman Old Style" w:hAnsi="Bookman Old Style" w:cs="Times New Roman"/>
          <w:sz w:val="16"/>
          <w:szCs w:val="16"/>
        </w:rPr>
      </w:pPr>
      <w:r w:rsidRPr="00D479F9">
        <w:rPr>
          <w:rFonts w:ascii="Bookman Old Style" w:hAnsi="Bookman Old Style" w:cs="Times New Roman"/>
          <w:sz w:val="16"/>
          <w:szCs w:val="16"/>
        </w:rPr>
        <w:t xml:space="preserve">McEnroe RJ, Durham AP,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Kondratovich</w:t>
      </w:r>
      <w:proofErr w:type="spellEnd"/>
      <w:r w:rsidR="00712CD5" w:rsidRPr="00D479F9">
        <w:rPr>
          <w:rFonts w:ascii="Bookman Old Style" w:hAnsi="Bookman Old Style" w:cs="Times New Roman"/>
          <w:sz w:val="16"/>
          <w:szCs w:val="16"/>
        </w:rPr>
        <w:t xml:space="preserve"> M</w:t>
      </w:r>
      <w:r w:rsidRPr="00D479F9">
        <w:rPr>
          <w:rFonts w:ascii="Bookman Old Style" w:hAnsi="Bookman Old Style" w:cs="Times New Roman"/>
          <w:sz w:val="16"/>
          <w:szCs w:val="16"/>
        </w:rPr>
        <w:t xml:space="preserve">V, Johansen JV, Meyers PG,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Souers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RJ, </w:t>
      </w:r>
      <w:proofErr w:type="spellStart"/>
      <w:r w:rsidRPr="00D479F9">
        <w:rPr>
          <w:rFonts w:ascii="Bookman Old Style" w:hAnsi="Bookman Old Style" w:cs="Times New Roman"/>
          <w:sz w:val="16"/>
          <w:szCs w:val="16"/>
        </w:rPr>
        <w:t>Vaks</w:t>
      </w:r>
      <w:proofErr w:type="spellEnd"/>
      <w:r w:rsidRPr="00D479F9">
        <w:rPr>
          <w:rFonts w:ascii="Bookman Old Style" w:hAnsi="Bookman Old Style" w:cs="Times New Roman"/>
          <w:sz w:val="16"/>
          <w:szCs w:val="16"/>
        </w:rPr>
        <w:t xml:space="preserve"> JE. Evaluation of linearity of quantitative measurement procedures. EP06. Clinical and Labor</w:t>
      </w:r>
      <w:r w:rsidR="00712CD5" w:rsidRPr="00D479F9">
        <w:rPr>
          <w:rFonts w:ascii="Bookman Old Style" w:hAnsi="Bookman Old Style" w:cs="Times New Roman"/>
          <w:sz w:val="16"/>
          <w:szCs w:val="16"/>
        </w:rPr>
        <w:t>atory Standards Institute 2020.</w:t>
      </w:r>
    </w:p>
    <w:sectPr w:rsidR="000148A6" w:rsidRPr="00D479F9" w:rsidSect="00093B8F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A607" w14:textId="77777777" w:rsidR="001F46F2" w:rsidRDefault="001F46F2" w:rsidP="000903F5">
      <w:r>
        <w:separator/>
      </w:r>
    </w:p>
  </w:endnote>
  <w:endnote w:type="continuationSeparator" w:id="0">
    <w:p w14:paraId="664FC59A" w14:textId="77777777" w:rsidR="001F46F2" w:rsidRDefault="001F46F2" w:rsidP="0009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b01f720c">
    <w:altName w:val="Arial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7D1CE" w14:textId="77777777" w:rsidR="001F46F2" w:rsidRDefault="001F46F2" w:rsidP="000903F5">
      <w:r>
        <w:separator/>
      </w:r>
    </w:p>
  </w:footnote>
  <w:footnote w:type="continuationSeparator" w:id="0">
    <w:p w14:paraId="432E588E" w14:textId="77777777" w:rsidR="001F46F2" w:rsidRDefault="001F46F2" w:rsidP="0009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70C13" w14:textId="77777777" w:rsidR="00875CD9" w:rsidRDefault="00875CD9" w:rsidP="00875CD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52281" w14:textId="77777777" w:rsidR="00875CD9" w:rsidRDefault="00875CD9" w:rsidP="00875CD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6AF0"/>
    <w:multiLevelType w:val="hybridMultilevel"/>
    <w:tmpl w:val="146E1732"/>
    <w:lvl w:ilvl="0" w:tplc="4822BA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EE"/>
    <w:rsid w:val="00012A95"/>
    <w:rsid w:val="000148A6"/>
    <w:rsid w:val="00033EE9"/>
    <w:rsid w:val="00044CB5"/>
    <w:rsid w:val="00050487"/>
    <w:rsid w:val="00072422"/>
    <w:rsid w:val="0007344A"/>
    <w:rsid w:val="0007564B"/>
    <w:rsid w:val="0008174E"/>
    <w:rsid w:val="00085042"/>
    <w:rsid w:val="00085671"/>
    <w:rsid w:val="000903F5"/>
    <w:rsid w:val="00093B8F"/>
    <w:rsid w:val="00096B5D"/>
    <w:rsid w:val="000C1665"/>
    <w:rsid w:val="000F7658"/>
    <w:rsid w:val="00102071"/>
    <w:rsid w:val="00107210"/>
    <w:rsid w:val="00107D61"/>
    <w:rsid w:val="00110DFB"/>
    <w:rsid w:val="00122B41"/>
    <w:rsid w:val="00125442"/>
    <w:rsid w:val="001325DF"/>
    <w:rsid w:val="0014735E"/>
    <w:rsid w:val="00147E70"/>
    <w:rsid w:val="00151703"/>
    <w:rsid w:val="00152D9A"/>
    <w:rsid w:val="00156775"/>
    <w:rsid w:val="001628B4"/>
    <w:rsid w:val="001634FA"/>
    <w:rsid w:val="00174ADB"/>
    <w:rsid w:val="001767B4"/>
    <w:rsid w:val="00180AB5"/>
    <w:rsid w:val="00195589"/>
    <w:rsid w:val="001A06BD"/>
    <w:rsid w:val="001A252D"/>
    <w:rsid w:val="001A71F1"/>
    <w:rsid w:val="001B6436"/>
    <w:rsid w:val="001D08B7"/>
    <w:rsid w:val="001F46F2"/>
    <w:rsid w:val="00207152"/>
    <w:rsid w:val="002103A0"/>
    <w:rsid w:val="00214751"/>
    <w:rsid w:val="0021619C"/>
    <w:rsid w:val="0022286F"/>
    <w:rsid w:val="0022422F"/>
    <w:rsid w:val="00236A3E"/>
    <w:rsid w:val="00242BEF"/>
    <w:rsid w:val="00245290"/>
    <w:rsid w:val="002576F3"/>
    <w:rsid w:val="00261747"/>
    <w:rsid w:val="00265755"/>
    <w:rsid w:val="002746AB"/>
    <w:rsid w:val="00294731"/>
    <w:rsid w:val="00296693"/>
    <w:rsid w:val="002A25BC"/>
    <w:rsid w:val="002B37E4"/>
    <w:rsid w:val="002D44EE"/>
    <w:rsid w:val="002D6DB7"/>
    <w:rsid w:val="002D7FC0"/>
    <w:rsid w:val="002E3786"/>
    <w:rsid w:val="002E5274"/>
    <w:rsid w:val="002E7737"/>
    <w:rsid w:val="00303F25"/>
    <w:rsid w:val="00315BE1"/>
    <w:rsid w:val="0034044D"/>
    <w:rsid w:val="00341B45"/>
    <w:rsid w:val="00341D6C"/>
    <w:rsid w:val="00363249"/>
    <w:rsid w:val="00372F38"/>
    <w:rsid w:val="00377361"/>
    <w:rsid w:val="00393CCF"/>
    <w:rsid w:val="003A1838"/>
    <w:rsid w:val="003C2064"/>
    <w:rsid w:val="003C43E5"/>
    <w:rsid w:val="003C54A1"/>
    <w:rsid w:val="003D34E6"/>
    <w:rsid w:val="003E33F2"/>
    <w:rsid w:val="003E573F"/>
    <w:rsid w:val="003F4340"/>
    <w:rsid w:val="004008B9"/>
    <w:rsid w:val="00411EAA"/>
    <w:rsid w:val="00421805"/>
    <w:rsid w:val="004420CE"/>
    <w:rsid w:val="00445B61"/>
    <w:rsid w:val="00453004"/>
    <w:rsid w:val="004655C8"/>
    <w:rsid w:val="00473E38"/>
    <w:rsid w:val="004762BA"/>
    <w:rsid w:val="00484C7D"/>
    <w:rsid w:val="004A075F"/>
    <w:rsid w:val="004B0940"/>
    <w:rsid w:val="004D045F"/>
    <w:rsid w:val="004D28CC"/>
    <w:rsid w:val="004D5C5A"/>
    <w:rsid w:val="004D5D4D"/>
    <w:rsid w:val="004D6A34"/>
    <w:rsid w:val="004D707B"/>
    <w:rsid w:val="004F0CDB"/>
    <w:rsid w:val="004F218E"/>
    <w:rsid w:val="00517001"/>
    <w:rsid w:val="00520EE9"/>
    <w:rsid w:val="00522DB4"/>
    <w:rsid w:val="0054569B"/>
    <w:rsid w:val="0054613B"/>
    <w:rsid w:val="00553EE3"/>
    <w:rsid w:val="005577B6"/>
    <w:rsid w:val="005B5C43"/>
    <w:rsid w:val="005B6F57"/>
    <w:rsid w:val="005B7630"/>
    <w:rsid w:val="005C1946"/>
    <w:rsid w:val="005E17B4"/>
    <w:rsid w:val="00600833"/>
    <w:rsid w:val="0060673B"/>
    <w:rsid w:val="00615D62"/>
    <w:rsid w:val="006235A3"/>
    <w:rsid w:val="00635BD9"/>
    <w:rsid w:val="006418A3"/>
    <w:rsid w:val="00647B22"/>
    <w:rsid w:val="00650AB9"/>
    <w:rsid w:val="006633D2"/>
    <w:rsid w:val="006833E9"/>
    <w:rsid w:val="006B06AE"/>
    <w:rsid w:val="006C58C4"/>
    <w:rsid w:val="006F46DB"/>
    <w:rsid w:val="0070343B"/>
    <w:rsid w:val="0070346E"/>
    <w:rsid w:val="00712CD5"/>
    <w:rsid w:val="0071682B"/>
    <w:rsid w:val="00717194"/>
    <w:rsid w:val="00717B8D"/>
    <w:rsid w:val="00720759"/>
    <w:rsid w:val="00721EDD"/>
    <w:rsid w:val="00737400"/>
    <w:rsid w:val="007460B9"/>
    <w:rsid w:val="00755FDB"/>
    <w:rsid w:val="00763A68"/>
    <w:rsid w:val="0076445B"/>
    <w:rsid w:val="00776DDB"/>
    <w:rsid w:val="00780472"/>
    <w:rsid w:val="00782C94"/>
    <w:rsid w:val="007832F0"/>
    <w:rsid w:val="007A3179"/>
    <w:rsid w:val="007B4578"/>
    <w:rsid w:val="007B749B"/>
    <w:rsid w:val="007D78CF"/>
    <w:rsid w:val="008164F1"/>
    <w:rsid w:val="0082262E"/>
    <w:rsid w:val="0082598C"/>
    <w:rsid w:val="008306E0"/>
    <w:rsid w:val="00837C34"/>
    <w:rsid w:val="00852B9B"/>
    <w:rsid w:val="008552BF"/>
    <w:rsid w:val="00874804"/>
    <w:rsid w:val="00875CD9"/>
    <w:rsid w:val="008869D5"/>
    <w:rsid w:val="00893C0D"/>
    <w:rsid w:val="008A6865"/>
    <w:rsid w:val="008C5570"/>
    <w:rsid w:val="008D261E"/>
    <w:rsid w:val="008D7A2A"/>
    <w:rsid w:val="009147EF"/>
    <w:rsid w:val="009276F9"/>
    <w:rsid w:val="00935E96"/>
    <w:rsid w:val="009506D8"/>
    <w:rsid w:val="00954DB2"/>
    <w:rsid w:val="009634D8"/>
    <w:rsid w:val="0096688E"/>
    <w:rsid w:val="00972D31"/>
    <w:rsid w:val="009730ED"/>
    <w:rsid w:val="00973ABA"/>
    <w:rsid w:val="00975BF3"/>
    <w:rsid w:val="00994BFC"/>
    <w:rsid w:val="00996B73"/>
    <w:rsid w:val="009B5864"/>
    <w:rsid w:val="009C1D8A"/>
    <w:rsid w:val="009C214D"/>
    <w:rsid w:val="009D1113"/>
    <w:rsid w:val="009E0A23"/>
    <w:rsid w:val="00A1130A"/>
    <w:rsid w:val="00A1387F"/>
    <w:rsid w:val="00A2265B"/>
    <w:rsid w:val="00A22BC2"/>
    <w:rsid w:val="00A27DF4"/>
    <w:rsid w:val="00A436F0"/>
    <w:rsid w:val="00A467EA"/>
    <w:rsid w:val="00A6252C"/>
    <w:rsid w:val="00A773BA"/>
    <w:rsid w:val="00A91C19"/>
    <w:rsid w:val="00A92D7F"/>
    <w:rsid w:val="00A965E8"/>
    <w:rsid w:val="00AA582B"/>
    <w:rsid w:val="00AB4666"/>
    <w:rsid w:val="00AB7CAD"/>
    <w:rsid w:val="00AD4E92"/>
    <w:rsid w:val="00AD66EF"/>
    <w:rsid w:val="00AE2752"/>
    <w:rsid w:val="00AE31B5"/>
    <w:rsid w:val="00AF6965"/>
    <w:rsid w:val="00B335F3"/>
    <w:rsid w:val="00B35471"/>
    <w:rsid w:val="00B64D24"/>
    <w:rsid w:val="00B80D2E"/>
    <w:rsid w:val="00B82ECC"/>
    <w:rsid w:val="00B91EB8"/>
    <w:rsid w:val="00B934CD"/>
    <w:rsid w:val="00BA3391"/>
    <w:rsid w:val="00BA54E3"/>
    <w:rsid w:val="00BB0CD5"/>
    <w:rsid w:val="00BB25D8"/>
    <w:rsid w:val="00BC320B"/>
    <w:rsid w:val="00BD0198"/>
    <w:rsid w:val="00BF78E3"/>
    <w:rsid w:val="00C27A51"/>
    <w:rsid w:val="00C62009"/>
    <w:rsid w:val="00C64DA9"/>
    <w:rsid w:val="00C72E70"/>
    <w:rsid w:val="00C84B0B"/>
    <w:rsid w:val="00C9005F"/>
    <w:rsid w:val="00C9115E"/>
    <w:rsid w:val="00CB62A4"/>
    <w:rsid w:val="00CD779F"/>
    <w:rsid w:val="00CE18B6"/>
    <w:rsid w:val="00CF6977"/>
    <w:rsid w:val="00CF76E5"/>
    <w:rsid w:val="00D24788"/>
    <w:rsid w:val="00D270DB"/>
    <w:rsid w:val="00D274AD"/>
    <w:rsid w:val="00D301B9"/>
    <w:rsid w:val="00D36ABD"/>
    <w:rsid w:val="00D479F9"/>
    <w:rsid w:val="00D60135"/>
    <w:rsid w:val="00D702CE"/>
    <w:rsid w:val="00D7129D"/>
    <w:rsid w:val="00DC7F5D"/>
    <w:rsid w:val="00DD6279"/>
    <w:rsid w:val="00DF1CAE"/>
    <w:rsid w:val="00E00556"/>
    <w:rsid w:val="00E13102"/>
    <w:rsid w:val="00E32C9B"/>
    <w:rsid w:val="00E33D11"/>
    <w:rsid w:val="00E42F5C"/>
    <w:rsid w:val="00E461C2"/>
    <w:rsid w:val="00E56A98"/>
    <w:rsid w:val="00E6538F"/>
    <w:rsid w:val="00E87C55"/>
    <w:rsid w:val="00E916FF"/>
    <w:rsid w:val="00E92CC1"/>
    <w:rsid w:val="00EA053D"/>
    <w:rsid w:val="00EC5FB7"/>
    <w:rsid w:val="00EC6BBB"/>
    <w:rsid w:val="00ED2538"/>
    <w:rsid w:val="00F06E33"/>
    <w:rsid w:val="00F2247B"/>
    <w:rsid w:val="00F227BC"/>
    <w:rsid w:val="00F27BCE"/>
    <w:rsid w:val="00F51801"/>
    <w:rsid w:val="00F5576F"/>
    <w:rsid w:val="00F5679F"/>
    <w:rsid w:val="00F6275E"/>
    <w:rsid w:val="00F67DE2"/>
    <w:rsid w:val="00F754EA"/>
    <w:rsid w:val="00F7557E"/>
    <w:rsid w:val="00F766A3"/>
    <w:rsid w:val="00F773B5"/>
    <w:rsid w:val="00F85FE9"/>
    <w:rsid w:val="00FA05CC"/>
    <w:rsid w:val="00FB59A2"/>
    <w:rsid w:val="00F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47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AB466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2286F"/>
    <w:rPr>
      <w:b/>
      <w:bCs/>
    </w:rPr>
  </w:style>
  <w:style w:type="paragraph" w:styleId="a5">
    <w:name w:val="header"/>
    <w:basedOn w:val="a"/>
    <w:link w:val="Char"/>
    <w:uiPriority w:val="99"/>
    <w:unhideWhenUsed/>
    <w:rsid w:val="0009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03F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03F5"/>
    <w:rPr>
      <w:sz w:val="18"/>
      <w:szCs w:val="18"/>
    </w:rPr>
  </w:style>
  <w:style w:type="character" w:customStyle="1" w:styleId="fontstyle01">
    <w:name w:val="fontstyle01"/>
    <w:basedOn w:val="a0"/>
    <w:qFormat/>
    <w:rsid w:val="003C2064"/>
    <w:rPr>
      <w:rFonts w:ascii="AdvOTb01f720c" w:hAnsi="AdvOTb01f720c" w:hint="default"/>
      <w:b w:val="0"/>
      <w:bCs w:val="0"/>
      <w:i w:val="0"/>
      <w:iCs w:val="0"/>
      <w:color w:val="000000"/>
      <w:sz w:val="36"/>
      <w:szCs w:val="36"/>
    </w:rPr>
  </w:style>
  <w:style w:type="paragraph" w:styleId="a7">
    <w:name w:val="List Paragraph"/>
    <w:basedOn w:val="a"/>
    <w:uiPriority w:val="34"/>
    <w:qFormat/>
    <w:rsid w:val="008748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AB466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2286F"/>
    <w:rPr>
      <w:b/>
      <w:bCs/>
    </w:rPr>
  </w:style>
  <w:style w:type="paragraph" w:styleId="a5">
    <w:name w:val="header"/>
    <w:basedOn w:val="a"/>
    <w:link w:val="Char"/>
    <w:uiPriority w:val="99"/>
    <w:unhideWhenUsed/>
    <w:rsid w:val="00090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03F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0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03F5"/>
    <w:rPr>
      <w:sz w:val="18"/>
      <w:szCs w:val="18"/>
    </w:rPr>
  </w:style>
  <w:style w:type="character" w:customStyle="1" w:styleId="fontstyle01">
    <w:name w:val="fontstyle01"/>
    <w:basedOn w:val="a0"/>
    <w:qFormat/>
    <w:rsid w:val="003C2064"/>
    <w:rPr>
      <w:rFonts w:ascii="AdvOTb01f720c" w:hAnsi="AdvOTb01f720c" w:hint="default"/>
      <w:b w:val="0"/>
      <w:bCs w:val="0"/>
      <w:i w:val="0"/>
      <w:iCs w:val="0"/>
      <w:color w:val="000000"/>
      <w:sz w:val="36"/>
      <w:szCs w:val="36"/>
    </w:rPr>
  </w:style>
  <w:style w:type="paragraph" w:styleId="a7">
    <w:name w:val="List Paragraph"/>
    <w:basedOn w:val="a"/>
    <w:uiPriority w:val="34"/>
    <w:qFormat/>
    <w:rsid w:val="00874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1393</Words>
  <Characters>7944</Characters>
  <Application>Microsoft Office Word</Application>
  <DocSecurity>0</DocSecurity>
  <Lines>66</Lines>
  <Paragraphs>18</Paragraphs>
  <ScaleCrop>false</ScaleCrop>
  <Company>SNB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ShiJiYanFaB/SJNB12/方中刚公用笔记本12</dc:creator>
  <cp:lastModifiedBy>ad</cp:lastModifiedBy>
  <cp:revision>4</cp:revision>
  <dcterms:created xsi:type="dcterms:W3CDTF">2022-11-27T17:30:00Z</dcterms:created>
  <dcterms:modified xsi:type="dcterms:W3CDTF">2022-11-28T21:38:00Z</dcterms:modified>
</cp:coreProperties>
</file>