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7A" w:rsidRDefault="0005087A" w:rsidP="0005087A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 w:eastAsia="de-DE"/>
        </w:rPr>
        <w:drawing>
          <wp:inline distT="0" distB="0" distL="0" distR="0" wp14:anchorId="3848575E" wp14:editId="4A4C8E82">
            <wp:extent cx="2929713" cy="2340000"/>
            <wp:effectExtent l="0" t="0" r="444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1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de-DE" w:eastAsia="de-DE"/>
        </w:rPr>
        <w:drawing>
          <wp:inline distT="0" distB="0" distL="0" distR="0" wp14:anchorId="7603F780" wp14:editId="113AE762">
            <wp:extent cx="2926634" cy="2340000"/>
            <wp:effectExtent l="0" t="0" r="7620" b="317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34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de-DE" w:eastAsia="de-DE"/>
        </w:rPr>
        <w:drawing>
          <wp:inline distT="0" distB="0" distL="0" distR="0" wp14:anchorId="1BCB5413" wp14:editId="62651C97">
            <wp:extent cx="2919343" cy="2340000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43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87A" w:rsidRDefault="0005087A" w:rsidP="0005087A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Suppl. </w:t>
      </w:r>
      <w:r w:rsidRPr="00057C2D">
        <w:rPr>
          <w:rFonts w:ascii="Arial" w:hAnsi="Arial" w:cs="Arial"/>
          <w:b/>
          <w:sz w:val="24"/>
          <w:szCs w:val="24"/>
        </w:rPr>
        <w:t xml:space="preserve">Figure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Qualitative matrix effect: Post-column infusion experiments. </w:t>
      </w:r>
    </w:p>
    <w:p w:rsidR="0038255B" w:rsidRPr="0005087A" w:rsidRDefault="0005087A" w:rsidP="0005087A">
      <w:pPr>
        <w:pStyle w:val="EndNoteBibliography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Infusion of a solution of all BAs with 1.0 ng/min and meanwhile injection of A) methanol/water (1/1; v/v); B) artificial urine; C) authentic urine with endogenous bile acids (TUDCA-S 32.7 µg/L, 2.5 min; TCDCA-S 13.0 µg/L, 4.1 min; TDCA-S 8.88 µg/L, 4.3 min; TCA-S &lt;LLOQ; GUDCA-S 335 µg/L, 2.6 min; GCDCA-S 166 µg/L, 4.1 min; GDCA-S 65.8 µg/L, 4.3 min; GCA-S 8.48 µg/L, 3.1 min, UDCA-S 292 µg/L, 4.8 min; CDCA-S 5.81 µg/L, 7.6 min; DCA-S &lt;LLOQ; CA-S &lt;LLOQ; TUDCA 10.5 µg/L, 5.1 min; TCDCA 1.00 µg/L, 7.8 min; TDCA &lt;LLOQ; TCA 1.26 µg/L, 6.1 min; GUDCA 354 µg/L, 4.9 min; GCDCA 9.78 µg/L, 7.8 min; GDCA &lt;LLOQ; GCA 19.4 µg/L, 6.0 min; UDCA 18.4 µg/L, 7.9 min; CDCA 2.47 µg/L, 10 min; DCA &lt;LLOQ; CA 34.3 µg/L, 8.4 min). </w:t>
      </w:r>
      <w:bookmarkStart w:id="0" w:name="_GoBack"/>
      <w:bookmarkEnd w:id="0"/>
    </w:p>
    <w:sectPr w:rsidR="0038255B" w:rsidRPr="0005087A" w:rsidSect="0005087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yriad Pro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7A"/>
    <w:rsid w:val="0005087A"/>
    <w:rsid w:val="0038255B"/>
    <w:rsid w:val="006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0E09"/>
  <w15:chartTrackingRefBased/>
  <w15:docId w15:val="{416F082A-2B10-4F36-90C3-F2F6BAC5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80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rsid w:val="000508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Helvetica Neue" w:eastAsia="Helvetica Neue" w:hAnsi="Helvetica Neue" w:cs="Helvetica Neue"/>
      <w:noProof/>
      <w:color w:val="000000"/>
      <w:bdr w:val="nil"/>
      <w:lang w:val="en-GB" w:eastAsia="en-GB"/>
    </w:rPr>
  </w:style>
  <w:style w:type="character" w:customStyle="1" w:styleId="EndNoteBibliographyZchn">
    <w:name w:val="EndNote Bibliography Zchn"/>
    <w:basedOn w:val="Absatz-Standardschriftart"/>
    <w:link w:val="EndNoteBibliography"/>
    <w:rsid w:val="0005087A"/>
    <w:rPr>
      <w:rFonts w:ascii="Helvetica Neue" w:eastAsia="Helvetica Neue" w:hAnsi="Helvetica Neue" w:cs="Helvetica Neue"/>
      <w:noProof/>
      <w:color w:val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Habler, Katharina Dr.rer.nat.</dc:creator>
  <cp:keywords/>
  <dc:description/>
  <cp:lastModifiedBy>Habler, Katharina Dr.rer.nat.</cp:lastModifiedBy>
  <cp:revision>1</cp:revision>
  <dcterms:created xsi:type="dcterms:W3CDTF">2021-08-06T11:25:00Z</dcterms:created>
  <dcterms:modified xsi:type="dcterms:W3CDTF">2021-08-06T11:26:00Z</dcterms:modified>
</cp:coreProperties>
</file>