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44" w:rsidRPr="00DC78E5" w:rsidRDefault="005E7F44" w:rsidP="005E7F44">
      <w:pPr>
        <w:spacing w:line="480" w:lineRule="auto"/>
        <w:rPr>
          <w:b/>
        </w:rPr>
      </w:pPr>
      <w:bookmarkStart w:id="0" w:name="_GoBack"/>
      <w:bookmarkEnd w:id="0"/>
      <w:r w:rsidRPr="00DC78E5">
        <w:rPr>
          <w:b/>
        </w:rPr>
        <w:t>Supplementary Table legends</w:t>
      </w:r>
    </w:p>
    <w:p w:rsidR="005E7F44" w:rsidRPr="00DC78E5" w:rsidRDefault="005E7F44" w:rsidP="005E7F44">
      <w:pPr>
        <w:spacing w:line="480" w:lineRule="auto"/>
      </w:pPr>
    </w:p>
    <w:p w:rsidR="005E7F44" w:rsidRPr="00DC78E5" w:rsidRDefault="005E7F44" w:rsidP="005E7F44">
      <w:pPr>
        <w:spacing w:line="480" w:lineRule="auto"/>
        <w:rPr>
          <w:bCs/>
        </w:rPr>
      </w:pPr>
      <w:r w:rsidRPr="00DC78E5">
        <w:rPr>
          <w:b/>
        </w:rPr>
        <w:t xml:space="preserve">Supplementary Table 1: </w:t>
      </w:r>
      <w:r w:rsidRPr="00DC78E5">
        <w:rPr>
          <w:bCs/>
        </w:rPr>
        <w:t>The outpatient clinics represented in this study</w:t>
      </w:r>
      <w:r>
        <w:rPr>
          <w:bCs/>
        </w:rPr>
        <w:t>.</w:t>
      </w:r>
    </w:p>
    <w:p w:rsidR="005E7F44" w:rsidRPr="00DC78E5" w:rsidRDefault="005E7F44" w:rsidP="005E7F44">
      <w:pPr>
        <w:spacing w:line="480" w:lineRule="auto"/>
        <w:rPr>
          <w:b/>
        </w:rPr>
      </w:pPr>
    </w:p>
    <w:p w:rsidR="005E7F44" w:rsidRPr="00DC78E5" w:rsidRDefault="005E7F44" w:rsidP="005E7F44">
      <w:pPr>
        <w:spacing w:line="480" w:lineRule="auto"/>
        <w:rPr>
          <w:b/>
        </w:rPr>
      </w:pPr>
      <w:r w:rsidRPr="00DC78E5">
        <w:rPr>
          <w:b/>
        </w:rPr>
        <w:t xml:space="preserve">Supplementary Table 2: </w:t>
      </w:r>
      <w:r w:rsidRPr="00DC78E5">
        <w:t xml:space="preserve">Median </w:t>
      </w:r>
      <w:proofErr w:type="spellStart"/>
      <w:r w:rsidRPr="00DC78E5">
        <w:t>lipogram</w:t>
      </w:r>
      <w:proofErr w:type="spellEnd"/>
      <w:r w:rsidRPr="00DC78E5">
        <w:t xml:space="preserve"> results analysed on Abbott Architect and Roche </w:t>
      </w:r>
      <w:proofErr w:type="spellStart"/>
      <w:r w:rsidRPr="00DC78E5">
        <w:t>Cobas</w:t>
      </w:r>
      <w:proofErr w:type="spellEnd"/>
      <w:r w:rsidRPr="00DC78E5">
        <w:t xml:space="preserve"> analysers</w:t>
      </w:r>
      <w:r>
        <w:t>.</w:t>
      </w:r>
    </w:p>
    <w:p w:rsidR="005E7F44" w:rsidRPr="00DC78E5" w:rsidRDefault="005E7F44" w:rsidP="005E7F44">
      <w:pPr>
        <w:spacing w:line="480" w:lineRule="auto"/>
        <w:rPr>
          <w:b/>
        </w:rPr>
      </w:pPr>
    </w:p>
    <w:p w:rsidR="005E7F44" w:rsidRPr="00DC78E5" w:rsidRDefault="005E7F44" w:rsidP="005E7F44">
      <w:pPr>
        <w:spacing w:line="480" w:lineRule="auto"/>
        <w:rPr>
          <w:b/>
        </w:rPr>
      </w:pPr>
      <w:r w:rsidRPr="00DC78E5">
        <w:rPr>
          <w:b/>
        </w:rPr>
        <w:t>Supplementary Table 3:</w:t>
      </w:r>
      <w:r w:rsidRPr="00DC78E5">
        <w:t xml:space="preserve"> Bias and regression parameters relative to direct LDL-C by platform</w:t>
      </w:r>
      <w:r>
        <w:t>.</w:t>
      </w:r>
    </w:p>
    <w:p w:rsidR="005E7F44" w:rsidRPr="00DC78E5" w:rsidRDefault="005E7F44" w:rsidP="005E7F44">
      <w:pPr>
        <w:spacing w:line="480" w:lineRule="auto"/>
        <w:rPr>
          <w:b/>
        </w:rPr>
      </w:pPr>
    </w:p>
    <w:p w:rsidR="005E7F44" w:rsidRPr="00DC78E5" w:rsidRDefault="005E7F44" w:rsidP="005E7F44">
      <w:pPr>
        <w:spacing w:line="480" w:lineRule="auto"/>
        <w:rPr>
          <w:b/>
        </w:rPr>
      </w:pPr>
      <w:r w:rsidRPr="00DC78E5">
        <w:rPr>
          <w:b/>
        </w:rPr>
        <w:t xml:space="preserve">Supplementary Table 4: </w:t>
      </w:r>
      <w:r w:rsidRPr="00DC78E5">
        <w:t xml:space="preserve">Median bias between Martin/Hopkins, Sampson and </w:t>
      </w:r>
      <w:proofErr w:type="spellStart"/>
      <w:r w:rsidRPr="00DC78E5">
        <w:t>Friedewald</w:t>
      </w:r>
      <w:proofErr w:type="spellEnd"/>
      <w:r w:rsidRPr="00DC78E5">
        <w:t xml:space="preserve"> LDL-C by platform</w:t>
      </w:r>
      <w:r>
        <w:rPr>
          <w:b/>
        </w:rPr>
        <w:t>.</w:t>
      </w:r>
    </w:p>
    <w:p w:rsidR="005E7F44" w:rsidRPr="00DC78E5" w:rsidRDefault="005E7F44" w:rsidP="005E7F44">
      <w:pPr>
        <w:keepNext/>
        <w:spacing w:line="480" w:lineRule="auto"/>
        <w:rPr>
          <w:b/>
        </w:rPr>
      </w:pPr>
    </w:p>
    <w:p w:rsidR="005E7F44" w:rsidRPr="00DC78E5" w:rsidRDefault="005E7F44" w:rsidP="005E7F44">
      <w:pPr>
        <w:keepNext/>
        <w:spacing w:line="480" w:lineRule="auto"/>
      </w:pPr>
      <w:r w:rsidRPr="00DC78E5">
        <w:rPr>
          <w:b/>
        </w:rPr>
        <w:t xml:space="preserve">Supplementary Table 5: </w:t>
      </w:r>
      <w:r w:rsidRPr="00DC78E5">
        <w:t>Regression parameters for Martin-Sampson-</w:t>
      </w:r>
      <w:proofErr w:type="spellStart"/>
      <w:r w:rsidRPr="00DC78E5">
        <w:t>Friedewald</w:t>
      </w:r>
      <w:proofErr w:type="spellEnd"/>
      <w:r>
        <w:t>.</w:t>
      </w:r>
    </w:p>
    <w:p w:rsidR="005E7F44" w:rsidRPr="00DC78E5" w:rsidRDefault="005E7F44" w:rsidP="005E7F44">
      <w:pPr>
        <w:keepNext/>
        <w:spacing w:line="480" w:lineRule="auto"/>
        <w:rPr>
          <w:b/>
        </w:rPr>
      </w:pPr>
    </w:p>
    <w:p w:rsidR="005E7F44" w:rsidRPr="00DC78E5" w:rsidRDefault="005E7F44" w:rsidP="005E7F44">
      <w:pPr>
        <w:keepNext/>
        <w:spacing w:line="480" w:lineRule="auto"/>
      </w:pPr>
      <w:r w:rsidRPr="00DC78E5">
        <w:rPr>
          <w:b/>
        </w:rPr>
        <w:t>Supplementary Table 6:</w:t>
      </w:r>
      <w:r w:rsidRPr="00DC78E5">
        <w:t xml:space="preserve"> Median bias across TG levels in subjects with LDL-C ≤ 1.8 </w:t>
      </w:r>
      <w:proofErr w:type="spellStart"/>
      <w:r w:rsidRPr="00DC78E5">
        <w:t>mmol</w:t>
      </w:r>
      <w:proofErr w:type="spellEnd"/>
      <w:r w:rsidRPr="00DC78E5">
        <w:t>/L (70 mg/</w:t>
      </w:r>
      <w:proofErr w:type="spellStart"/>
      <w:r w:rsidRPr="00DC78E5">
        <w:t>dL</w:t>
      </w:r>
      <w:proofErr w:type="spellEnd"/>
      <w:r w:rsidRPr="00DC78E5">
        <w:t>)</w:t>
      </w:r>
      <w:r>
        <w:t>.</w:t>
      </w:r>
    </w:p>
    <w:p w:rsidR="005E7F44" w:rsidRPr="00DC78E5" w:rsidRDefault="005E7F44" w:rsidP="005E7F44">
      <w:pPr>
        <w:keepNext/>
        <w:spacing w:line="480" w:lineRule="auto"/>
        <w:rPr>
          <w:b/>
        </w:rPr>
      </w:pPr>
    </w:p>
    <w:p w:rsidR="005E7F44" w:rsidRPr="00DC78E5" w:rsidRDefault="005E7F44" w:rsidP="005E7F44">
      <w:pPr>
        <w:keepNext/>
        <w:spacing w:line="480" w:lineRule="auto"/>
      </w:pPr>
      <w:r w:rsidRPr="00DC78E5">
        <w:rPr>
          <w:b/>
        </w:rPr>
        <w:t>Supplementary Table 7:</w:t>
      </w:r>
      <w:r w:rsidRPr="00DC78E5">
        <w:t xml:space="preserve"> Pre- and post-adjustment performance of the equations</w:t>
      </w:r>
      <w:r>
        <w:t>.</w:t>
      </w:r>
    </w:p>
    <w:p w:rsidR="005E7F44" w:rsidRPr="00DC78E5" w:rsidRDefault="005E7F44" w:rsidP="005E7F44">
      <w:pPr>
        <w:keepNext/>
        <w:spacing w:line="480" w:lineRule="auto"/>
        <w:rPr>
          <w:b/>
        </w:rPr>
      </w:pPr>
    </w:p>
    <w:p w:rsidR="005E7F44" w:rsidRPr="00DC78E5" w:rsidRDefault="005E7F44" w:rsidP="005E7F44">
      <w:pPr>
        <w:keepNext/>
        <w:spacing w:line="480" w:lineRule="auto"/>
      </w:pPr>
      <w:r w:rsidRPr="00DC78E5">
        <w:rPr>
          <w:b/>
        </w:rPr>
        <w:t>Supplementary Table 8:</w:t>
      </w:r>
      <w:r w:rsidRPr="00DC78E5">
        <w:t xml:space="preserve"> Sensitivity and specificity at different LDL-C decision limits</w:t>
      </w:r>
      <w:r>
        <w:t>.</w:t>
      </w:r>
    </w:p>
    <w:p w:rsidR="005E7F44" w:rsidRPr="00DC78E5" w:rsidRDefault="005E7F44" w:rsidP="005E7F44">
      <w:pPr>
        <w:rPr>
          <w:b/>
        </w:rPr>
      </w:pPr>
      <w:r w:rsidRPr="00DC78E5">
        <w:rPr>
          <w:b/>
        </w:rPr>
        <w:br w:type="page"/>
      </w:r>
    </w:p>
    <w:p w:rsidR="005E7F44" w:rsidRPr="00DC78E5" w:rsidRDefault="005E7F44" w:rsidP="005E7F44">
      <w:pPr>
        <w:spacing w:line="480" w:lineRule="auto"/>
        <w:rPr>
          <w:b/>
        </w:rPr>
      </w:pPr>
      <w:r w:rsidRPr="00DC78E5">
        <w:rPr>
          <w:b/>
        </w:rPr>
        <w:lastRenderedPageBreak/>
        <w:t>Supplementary Figure legends</w:t>
      </w:r>
    </w:p>
    <w:p w:rsidR="005E7F44" w:rsidRPr="00DC78E5" w:rsidRDefault="005E7F44" w:rsidP="005E7F44">
      <w:pPr>
        <w:spacing w:line="480" w:lineRule="auto"/>
        <w:rPr>
          <w:b/>
        </w:rPr>
      </w:pPr>
    </w:p>
    <w:p w:rsidR="005E7F44" w:rsidRPr="00DC78E5" w:rsidRDefault="005E7F44" w:rsidP="005E7F44">
      <w:pPr>
        <w:spacing w:line="480" w:lineRule="auto"/>
      </w:pPr>
      <w:r w:rsidRPr="00DC78E5">
        <w:rPr>
          <w:b/>
        </w:rPr>
        <w:t xml:space="preserve">Supplementary Figure 1: </w:t>
      </w:r>
      <w:r w:rsidRPr="00DC78E5">
        <w:t xml:space="preserve">Bland Altman plot of the bias between direct LDL-C and Martin/Hopkins, Sampson and </w:t>
      </w:r>
      <w:proofErr w:type="spellStart"/>
      <w:r w:rsidRPr="00DC78E5">
        <w:t>Friedewald</w:t>
      </w:r>
      <w:proofErr w:type="spellEnd"/>
      <w:r w:rsidRPr="00DC78E5">
        <w:t xml:space="preserve"> LDL-C</w:t>
      </w:r>
      <w:r>
        <w:t>.</w:t>
      </w:r>
    </w:p>
    <w:p w:rsidR="005E7F44" w:rsidRPr="00DC78E5" w:rsidRDefault="005E7F44" w:rsidP="005E7F44">
      <w:pPr>
        <w:spacing w:line="480" w:lineRule="auto"/>
        <w:rPr>
          <w:b/>
        </w:rPr>
      </w:pPr>
    </w:p>
    <w:p w:rsidR="005E7F44" w:rsidRPr="00DC78E5" w:rsidRDefault="005E7F44" w:rsidP="005E7F44">
      <w:pPr>
        <w:spacing w:line="480" w:lineRule="auto"/>
      </w:pPr>
      <w:r w:rsidRPr="00DC78E5">
        <w:rPr>
          <w:b/>
        </w:rPr>
        <w:t>Supplementary Figure 2:</w:t>
      </w:r>
      <w:r w:rsidRPr="00DC78E5">
        <w:t xml:space="preserve"> Pre- (A) and post- (B) adjustment performance of selected equations</w:t>
      </w:r>
      <w:r>
        <w:t>.</w:t>
      </w:r>
    </w:p>
    <w:p w:rsidR="005E7F44" w:rsidRPr="00DC78E5" w:rsidRDefault="005E7F44" w:rsidP="005E7F44">
      <w:pPr>
        <w:spacing w:line="480" w:lineRule="auto"/>
        <w:rPr>
          <w:b/>
        </w:rPr>
      </w:pPr>
    </w:p>
    <w:p w:rsidR="005E7F44" w:rsidRPr="00DC78E5" w:rsidRDefault="005E7F44" w:rsidP="005E7F44">
      <w:pPr>
        <w:spacing w:line="480" w:lineRule="auto"/>
        <w:rPr>
          <w:b/>
        </w:rPr>
      </w:pPr>
      <w:r w:rsidRPr="00DC78E5">
        <w:rPr>
          <w:b/>
        </w:rPr>
        <w:t>Supplementary Figure 3:</w:t>
      </w:r>
      <w:r w:rsidRPr="00DC78E5">
        <w:t xml:space="preserve"> Summary ROC graph of the </w:t>
      </w:r>
      <w:proofErr w:type="spellStart"/>
      <w:r w:rsidRPr="00DC78E5">
        <w:t>Friedewald</w:t>
      </w:r>
      <w:proofErr w:type="spellEnd"/>
      <w:r w:rsidRPr="00DC78E5">
        <w:t xml:space="preserve">, Martin/Hopkins, Sampson, </w:t>
      </w:r>
      <w:proofErr w:type="spellStart"/>
      <w:r w:rsidRPr="00DC78E5">
        <w:t>Puavilai</w:t>
      </w:r>
      <w:proofErr w:type="spellEnd"/>
      <w:r w:rsidRPr="00DC78E5">
        <w:t xml:space="preserve"> and </w:t>
      </w:r>
      <w:proofErr w:type="spellStart"/>
      <w:r w:rsidRPr="00DC78E5">
        <w:t>Vujovic</w:t>
      </w:r>
      <w:proofErr w:type="spellEnd"/>
      <w:r w:rsidRPr="00DC78E5">
        <w:t xml:space="preserve"> equations relative to direct LDL-C on Abbott Architect</w:t>
      </w:r>
      <w:r>
        <w:t>.</w:t>
      </w:r>
    </w:p>
    <w:p w:rsidR="005E7F44" w:rsidRPr="00DC78E5" w:rsidRDefault="005E7F44" w:rsidP="005E7F44">
      <w:pPr>
        <w:spacing w:line="480" w:lineRule="auto"/>
        <w:rPr>
          <w:b/>
        </w:rPr>
      </w:pPr>
    </w:p>
    <w:p w:rsidR="005E7F44" w:rsidRPr="00DC78E5" w:rsidRDefault="005E7F44" w:rsidP="005E7F44">
      <w:pPr>
        <w:spacing w:line="480" w:lineRule="auto"/>
        <w:rPr>
          <w:b/>
        </w:rPr>
      </w:pPr>
      <w:r w:rsidRPr="00DC78E5">
        <w:rPr>
          <w:b/>
        </w:rPr>
        <w:t>Supplementary Figure 4:</w:t>
      </w:r>
      <w:r w:rsidRPr="00DC78E5">
        <w:t xml:space="preserve"> Summary ROC graph of the </w:t>
      </w:r>
      <w:proofErr w:type="spellStart"/>
      <w:r w:rsidRPr="00DC78E5">
        <w:t>Friedewald</w:t>
      </w:r>
      <w:proofErr w:type="spellEnd"/>
      <w:r w:rsidRPr="00DC78E5">
        <w:t xml:space="preserve">, Martin/Hopkins, Sampson, </w:t>
      </w:r>
      <w:proofErr w:type="spellStart"/>
      <w:r w:rsidRPr="00DC78E5">
        <w:t>Puavilai</w:t>
      </w:r>
      <w:proofErr w:type="spellEnd"/>
      <w:r w:rsidRPr="00DC78E5">
        <w:t xml:space="preserve"> and </w:t>
      </w:r>
      <w:proofErr w:type="spellStart"/>
      <w:r w:rsidRPr="00DC78E5">
        <w:t>Vujovic</w:t>
      </w:r>
      <w:proofErr w:type="spellEnd"/>
      <w:r w:rsidRPr="00DC78E5">
        <w:t xml:space="preserve"> equations relative to direct LDL-C on Roche </w:t>
      </w:r>
      <w:proofErr w:type="spellStart"/>
      <w:r w:rsidRPr="00DC78E5">
        <w:t>Cobas</w:t>
      </w:r>
      <w:proofErr w:type="spellEnd"/>
      <w:r>
        <w:t>.</w:t>
      </w:r>
    </w:p>
    <w:p w:rsidR="005E7F44" w:rsidRPr="00DC78E5" w:rsidRDefault="005E7F44" w:rsidP="005E7F44">
      <w:pPr>
        <w:spacing w:line="480" w:lineRule="auto"/>
      </w:pPr>
    </w:p>
    <w:p w:rsidR="005E7F44" w:rsidRPr="00DC78E5" w:rsidRDefault="005E7F44" w:rsidP="005E7F44">
      <w:pPr>
        <w:spacing w:line="480" w:lineRule="auto"/>
      </w:pPr>
    </w:p>
    <w:p w:rsidR="007465F2" w:rsidRDefault="007465F2"/>
    <w:sectPr w:rsidR="007465F2" w:rsidSect="00344B5E">
      <w:footerReference w:type="even" r:id="rId4"/>
      <w:footerReference w:type="default" r:id="rId5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205684316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DC78E5" w:rsidRDefault="005E7F44" w:rsidP="007F0C3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DC78E5" w:rsidRDefault="005E7F44" w:rsidP="0066662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4414595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DC78E5" w:rsidRDefault="005E7F44" w:rsidP="007F0C3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DC78E5" w:rsidRDefault="005E7F44" w:rsidP="00666626">
    <w:pPr>
      <w:pStyle w:val="Fuzeil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44"/>
    <w:rsid w:val="005E7F44"/>
    <w:rsid w:val="0074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27BD6-B322-4E69-9283-75B4CEA2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7F44"/>
    <w:pPr>
      <w:spacing w:after="0" w:line="240" w:lineRule="auto"/>
    </w:pPr>
    <w:rPr>
      <w:rFonts w:ascii="Arial" w:hAnsi="Arial" w:cs="Arial"/>
      <w:sz w:val="24"/>
      <w:szCs w:val="16"/>
      <w:lang w:val="en-Z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5E7F4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5E7F44"/>
    <w:rPr>
      <w:sz w:val="24"/>
      <w:szCs w:val="16"/>
      <w:lang w:val="en-ZA"/>
    </w:rPr>
  </w:style>
  <w:style w:type="character" w:styleId="Seitenzahl">
    <w:name w:val="page number"/>
    <w:basedOn w:val="Absatz-Standardschriftart"/>
    <w:uiPriority w:val="99"/>
    <w:semiHidden/>
    <w:unhideWhenUsed/>
    <w:rsid w:val="005E7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1</cp:revision>
  <dcterms:created xsi:type="dcterms:W3CDTF">2021-07-29T11:10:00Z</dcterms:created>
  <dcterms:modified xsi:type="dcterms:W3CDTF">2021-07-29T11:11:00Z</dcterms:modified>
</cp:coreProperties>
</file>