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66" w:rsidRDefault="0008792F" w:rsidP="007F2F66">
      <w:r w:rsidRPr="0008792F">
        <w:rPr>
          <w:b/>
        </w:rPr>
        <w:t>Supplemental Table 1</w:t>
      </w:r>
      <w:r>
        <w:rPr>
          <w:b/>
        </w:rPr>
        <w:t xml:space="preserve">.  </w:t>
      </w:r>
      <w:r w:rsidR="007F2F66">
        <w:t>Comparison of published reference intervals for ionised calcium in paediatrics</w:t>
      </w:r>
    </w:p>
    <w:p w:rsidR="0008792F" w:rsidRDefault="0008792F" w:rsidP="007F2F66"/>
    <w:p w:rsidR="007F2F66" w:rsidRDefault="007F2F66" w:rsidP="007F2F66"/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804"/>
      </w:tblGrid>
      <w:tr w:rsidR="007F2F66" w:rsidTr="00480239">
        <w:trPr>
          <w:trHeight w:val="686"/>
        </w:trPr>
        <w:tc>
          <w:tcPr>
            <w:tcW w:w="1980" w:type="dxa"/>
            <w:vAlign w:val="center"/>
          </w:tcPr>
          <w:p w:rsidR="007F2F66" w:rsidRPr="0008792F" w:rsidRDefault="007F2F66" w:rsidP="0008792F">
            <w:pPr>
              <w:jc w:val="center"/>
              <w:rPr>
                <w:b/>
              </w:rPr>
            </w:pPr>
            <w:r w:rsidRPr="0008792F">
              <w:rPr>
                <w:b/>
              </w:rPr>
              <w:t>Auth</w:t>
            </w:r>
            <w:bookmarkStart w:id="0" w:name="_GoBack"/>
            <w:bookmarkEnd w:id="0"/>
            <w:r w:rsidRPr="0008792F">
              <w:rPr>
                <w:b/>
              </w:rPr>
              <w:t>or</w:t>
            </w:r>
          </w:p>
        </w:tc>
        <w:tc>
          <w:tcPr>
            <w:tcW w:w="2126" w:type="dxa"/>
            <w:vAlign w:val="center"/>
          </w:tcPr>
          <w:p w:rsidR="007F2F66" w:rsidRPr="0008792F" w:rsidRDefault="007F2F66" w:rsidP="0008792F">
            <w:pPr>
              <w:jc w:val="center"/>
              <w:rPr>
                <w:b/>
              </w:rPr>
            </w:pPr>
            <w:r w:rsidRPr="0008792F">
              <w:rPr>
                <w:b/>
              </w:rPr>
              <w:t>Age</w:t>
            </w:r>
          </w:p>
        </w:tc>
        <w:tc>
          <w:tcPr>
            <w:tcW w:w="2126" w:type="dxa"/>
            <w:vAlign w:val="center"/>
          </w:tcPr>
          <w:p w:rsidR="007F2F66" w:rsidRPr="0008792F" w:rsidRDefault="007F2F66" w:rsidP="0008792F">
            <w:pPr>
              <w:jc w:val="center"/>
              <w:rPr>
                <w:b/>
              </w:rPr>
            </w:pPr>
            <w:r w:rsidRPr="0008792F">
              <w:rPr>
                <w:b/>
              </w:rPr>
              <w:t>Reference interval</w:t>
            </w:r>
            <w:r w:rsidR="00781D62" w:rsidRPr="0008792F">
              <w:rPr>
                <w:b/>
              </w:rPr>
              <w:t xml:space="preserve"> (mmol/L)</w:t>
            </w:r>
          </w:p>
        </w:tc>
        <w:tc>
          <w:tcPr>
            <w:tcW w:w="2804" w:type="dxa"/>
            <w:vAlign w:val="center"/>
          </w:tcPr>
          <w:p w:rsidR="007F2F66" w:rsidRPr="0008792F" w:rsidRDefault="0008792F" w:rsidP="0008792F">
            <w:pPr>
              <w:jc w:val="center"/>
              <w:rPr>
                <w:b/>
              </w:rPr>
            </w:pPr>
            <w:r w:rsidRPr="0008792F">
              <w:rPr>
                <w:b/>
              </w:rPr>
              <w:t>Study methodology</w:t>
            </w:r>
          </w:p>
        </w:tc>
      </w:tr>
      <w:tr w:rsidR="0008792F" w:rsidTr="0017130F">
        <w:trPr>
          <w:trHeight w:val="1146"/>
        </w:trPr>
        <w:tc>
          <w:tcPr>
            <w:tcW w:w="1980" w:type="dxa"/>
            <w:vMerge w:val="restart"/>
          </w:tcPr>
          <w:p w:rsidR="0008792F" w:rsidRDefault="0008792F" w:rsidP="007F2F66">
            <w:r>
              <w:t>Chung (present study)</w:t>
            </w:r>
          </w:p>
        </w:tc>
        <w:tc>
          <w:tcPr>
            <w:tcW w:w="2126" w:type="dxa"/>
          </w:tcPr>
          <w:p w:rsidR="0008792F" w:rsidRDefault="0008792F" w:rsidP="007F2F66">
            <w:r>
              <w:t>0 – 1 week</w:t>
            </w:r>
          </w:p>
        </w:tc>
        <w:tc>
          <w:tcPr>
            <w:tcW w:w="2126" w:type="dxa"/>
          </w:tcPr>
          <w:p w:rsidR="0008792F" w:rsidRDefault="0008792F" w:rsidP="007F2F66">
            <w:r>
              <w:t>1.02 – 1.45</w:t>
            </w:r>
          </w:p>
        </w:tc>
        <w:tc>
          <w:tcPr>
            <w:tcW w:w="2804" w:type="dxa"/>
          </w:tcPr>
          <w:p w:rsidR="00047B9A" w:rsidRDefault="00047B9A" w:rsidP="007F2F66">
            <w:r>
              <w:t>Indirect approach</w:t>
            </w:r>
          </w:p>
          <w:p w:rsidR="0008792F" w:rsidRDefault="00047B9A" w:rsidP="00047B9A">
            <w:r>
              <w:t>(</w:t>
            </w:r>
            <w:r w:rsidR="0008792F">
              <w:t xml:space="preserve">2.5 – 97.5 </w:t>
            </w:r>
            <w:r>
              <w:t>per</w:t>
            </w:r>
            <w:r w:rsidR="0008792F">
              <w:t>centile</w:t>
            </w:r>
            <w:r>
              <w:t>)</w:t>
            </w:r>
            <w:r w:rsidR="0008792F">
              <w:t xml:space="preserve"> following </w:t>
            </w:r>
            <w:r>
              <w:t xml:space="preserve">application of </w:t>
            </w:r>
            <w:r w:rsidR="0008792F">
              <w:t>exclusion criteria</w:t>
            </w:r>
          </w:p>
        </w:tc>
      </w:tr>
      <w:tr w:rsidR="0008792F" w:rsidTr="0017130F">
        <w:trPr>
          <w:trHeight w:val="425"/>
        </w:trPr>
        <w:tc>
          <w:tcPr>
            <w:tcW w:w="1980" w:type="dxa"/>
            <w:vMerge/>
          </w:tcPr>
          <w:p w:rsidR="0008792F" w:rsidRDefault="0008792F" w:rsidP="007F2F66"/>
        </w:tc>
        <w:tc>
          <w:tcPr>
            <w:tcW w:w="2126" w:type="dxa"/>
          </w:tcPr>
          <w:p w:rsidR="0008792F" w:rsidRDefault="0008792F" w:rsidP="007F2F66">
            <w:r>
              <w:t>1 week – 6 months</w:t>
            </w:r>
          </w:p>
        </w:tc>
        <w:tc>
          <w:tcPr>
            <w:tcW w:w="2126" w:type="dxa"/>
          </w:tcPr>
          <w:p w:rsidR="0008792F" w:rsidRDefault="0008792F" w:rsidP="00781D62">
            <w:r>
              <w:t>1.24 – 1.44</w:t>
            </w:r>
          </w:p>
        </w:tc>
        <w:tc>
          <w:tcPr>
            <w:tcW w:w="2804" w:type="dxa"/>
            <w:vMerge w:val="restart"/>
          </w:tcPr>
          <w:p w:rsidR="0008792F" w:rsidRDefault="0008792F" w:rsidP="00047B9A">
            <w:r>
              <w:t xml:space="preserve">Indirect approach </w:t>
            </w:r>
            <w:r w:rsidR="00047B9A">
              <w:t>(Bhattacharya) following application of exclusion criteria</w:t>
            </w:r>
          </w:p>
        </w:tc>
      </w:tr>
      <w:tr w:rsidR="0008792F" w:rsidTr="0017130F">
        <w:trPr>
          <w:trHeight w:val="416"/>
        </w:trPr>
        <w:tc>
          <w:tcPr>
            <w:tcW w:w="1980" w:type="dxa"/>
            <w:vMerge/>
          </w:tcPr>
          <w:p w:rsidR="0008792F" w:rsidRDefault="0008792F" w:rsidP="007F2F66"/>
        </w:tc>
        <w:tc>
          <w:tcPr>
            <w:tcW w:w="2126" w:type="dxa"/>
          </w:tcPr>
          <w:p w:rsidR="0008792F" w:rsidRDefault="0008792F" w:rsidP="007F2F66">
            <w:r>
              <w:t>6 months – 2 years</w:t>
            </w:r>
          </w:p>
        </w:tc>
        <w:tc>
          <w:tcPr>
            <w:tcW w:w="2126" w:type="dxa"/>
          </w:tcPr>
          <w:p w:rsidR="0008792F" w:rsidRDefault="0008792F" w:rsidP="007F2F66">
            <w:r>
              <w:t>1.17 – 1.37</w:t>
            </w:r>
          </w:p>
        </w:tc>
        <w:tc>
          <w:tcPr>
            <w:tcW w:w="2804" w:type="dxa"/>
            <w:vMerge/>
          </w:tcPr>
          <w:p w:rsidR="0008792F" w:rsidRDefault="0008792F" w:rsidP="007F2F66"/>
        </w:tc>
      </w:tr>
      <w:tr w:rsidR="0008792F" w:rsidTr="0017130F">
        <w:trPr>
          <w:trHeight w:val="409"/>
        </w:trPr>
        <w:tc>
          <w:tcPr>
            <w:tcW w:w="1980" w:type="dxa"/>
            <w:vMerge/>
          </w:tcPr>
          <w:p w:rsidR="0008792F" w:rsidRDefault="0008792F" w:rsidP="007F2F66"/>
        </w:tc>
        <w:tc>
          <w:tcPr>
            <w:tcW w:w="2126" w:type="dxa"/>
          </w:tcPr>
          <w:p w:rsidR="0008792F" w:rsidRDefault="0008792F" w:rsidP="007F2F66">
            <w:r>
              <w:t>2 – 18 years</w:t>
            </w:r>
          </w:p>
        </w:tc>
        <w:tc>
          <w:tcPr>
            <w:tcW w:w="2126" w:type="dxa"/>
          </w:tcPr>
          <w:p w:rsidR="0008792F" w:rsidRDefault="0008792F" w:rsidP="007F2F66">
            <w:r>
              <w:t>1.13 – 1.33</w:t>
            </w:r>
          </w:p>
        </w:tc>
        <w:tc>
          <w:tcPr>
            <w:tcW w:w="2804" w:type="dxa"/>
            <w:vMerge/>
          </w:tcPr>
          <w:p w:rsidR="0008792F" w:rsidRDefault="0008792F" w:rsidP="007F2F66"/>
        </w:tc>
      </w:tr>
      <w:tr w:rsidR="0008792F" w:rsidTr="0017130F">
        <w:trPr>
          <w:trHeight w:val="396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0 – 1 week</w:t>
            </w:r>
          </w:p>
        </w:tc>
        <w:tc>
          <w:tcPr>
            <w:tcW w:w="2126" w:type="dxa"/>
          </w:tcPr>
          <w:p w:rsidR="0008792F" w:rsidRDefault="0008792F" w:rsidP="0008792F">
            <w:r>
              <w:t>1.19 – 1.43</w:t>
            </w:r>
          </w:p>
        </w:tc>
        <w:tc>
          <w:tcPr>
            <w:tcW w:w="2804" w:type="dxa"/>
            <w:vMerge w:val="restart"/>
          </w:tcPr>
          <w:p w:rsidR="0008792F" w:rsidRDefault="0008792F" w:rsidP="00047B9A">
            <w:r>
              <w:t xml:space="preserve">Indirect approach </w:t>
            </w:r>
            <w:r w:rsidR="00047B9A">
              <w:t>(</w:t>
            </w:r>
            <w:r w:rsidRPr="0008792F">
              <w:rPr>
                <w:i/>
              </w:rPr>
              <w:t>kosmic</w:t>
            </w:r>
            <w:r>
              <w:t>)</w:t>
            </w:r>
            <w:r w:rsidR="00047B9A">
              <w:t xml:space="preserve"> following application of exclusion criteria</w:t>
            </w:r>
          </w:p>
        </w:tc>
      </w:tr>
      <w:tr w:rsidR="0008792F" w:rsidTr="0017130F">
        <w:trPr>
          <w:trHeight w:val="417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1 week – 6 months</w:t>
            </w:r>
          </w:p>
        </w:tc>
        <w:tc>
          <w:tcPr>
            <w:tcW w:w="2126" w:type="dxa"/>
          </w:tcPr>
          <w:p w:rsidR="0008792F" w:rsidRDefault="0008792F" w:rsidP="0008792F">
            <w:r>
              <w:t>1.24 – 1.43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09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6 months – 2 years</w:t>
            </w:r>
          </w:p>
        </w:tc>
        <w:tc>
          <w:tcPr>
            <w:tcW w:w="2126" w:type="dxa"/>
          </w:tcPr>
          <w:p w:rsidR="0008792F" w:rsidRDefault="0008792F" w:rsidP="0008792F">
            <w:r>
              <w:t>1.17 – 1.34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15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2 – 18 years</w:t>
            </w:r>
          </w:p>
        </w:tc>
        <w:tc>
          <w:tcPr>
            <w:tcW w:w="2126" w:type="dxa"/>
          </w:tcPr>
          <w:p w:rsidR="0008792F" w:rsidRDefault="0008792F" w:rsidP="0008792F">
            <w:r>
              <w:t>1.14 – 1.30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20"/>
        </w:trPr>
        <w:tc>
          <w:tcPr>
            <w:tcW w:w="1980" w:type="dxa"/>
            <w:vMerge w:val="restart"/>
          </w:tcPr>
          <w:p w:rsidR="0008792F" w:rsidRDefault="0008792F" w:rsidP="0008792F">
            <w:r>
              <w:t>Nelson et al. [7]</w:t>
            </w:r>
          </w:p>
        </w:tc>
        <w:tc>
          <w:tcPr>
            <w:tcW w:w="2126" w:type="dxa"/>
          </w:tcPr>
          <w:p w:rsidR="0008792F" w:rsidRDefault="0008792F" w:rsidP="0008792F">
            <w:r>
              <w:t>6 – 36 hours</w:t>
            </w:r>
          </w:p>
        </w:tc>
        <w:tc>
          <w:tcPr>
            <w:tcW w:w="2126" w:type="dxa"/>
          </w:tcPr>
          <w:p w:rsidR="0008792F" w:rsidRDefault="0008792F" w:rsidP="0008792F">
            <w:r>
              <w:t xml:space="preserve">1.05 – 1.37 </w:t>
            </w:r>
          </w:p>
        </w:tc>
        <w:tc>
          <w:tcPr>
            <w:tcW w:w="2804" w:type="dxa"/>
            <w:vMerge w:val="restart"/>
          </w:tcPr>
          <w:p w:rsidR="0008792F" w:rsidRDefault="0008792F" w:rsidP="00047B9A">
            <w:r>
              <w:t>Direct approach in neonates</w:t>
            </w:r>
          </w:p>
        </w:tc>
      </w:tr>
      <w:tr w:rsidR="0008792F" w:rsidTr="0017130F">
        <w:trPr>
          <w:trHeight w:val="413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60 – 84 hours</w:t>
            </w:r>
          </w:p>
        </w:tc>
        <w:tc>
          <w:tcPr>
            <w:tcW w:w="2126" w:type="dxa"/>
          </w:tcPr>
          <w:p w:rsidR="0008792F" w:rsidRDefault="0008792F" w:rsidP="0008792F">
            <w:r>
              <w:t xml:space="preserve">1.10 – 1.42 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19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108 – 132 hours</w:t>
            </w:r>
          </w:p>
        </w:tc>
        <w:tc>
          <w:tcPr>
            <w:tcW w:w="2126" w:type="dxa"/>
          </w:tcPr>
          <w:p w:rsidR="0008792F" w:rsidRDefault="0008792F" w:rsidP="0008792F">
            <w:r>
              <w:t xml:space="preserve">1.20 – 1.48 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11"/>
        </w:trPr>
        <w:tc>
          <w:tcPr>
            <w:tcW w:w="1980" w:type="dxa"/>
            <w:vMerge w:val="restart"/>
          </w:tcPr>
          <w:p w:rsidR="0008792F" w:rsidRDefault="0008792F" w:rsidP="0008792F">
            <w:r>
              <w:t>Wandrup et al. [8]</w:t>
            </w:r>
          </w:p>
        </w:tc>
        <w:tc>
          <w:tcPr>
            <w:tcW w:w="2126" w:type="dxa"/>
          </w:tcPr>
          <w:p w:rsidR="0008792F" w:rsidRDefault="0008792F" w:rsidP="0008792F">
            <w:r>
              <w:t>1 – 12 hours</w:t>
            </w:r>
          </w:p>
        </w:tc>
        <w:tc>
          <w:tcPr>
            <w:tcW w:w="2126" w:type="dxa"/>
          </w:tcPr>
          <w:p w:rsidR="0008792F" w:rsidRPr="006A22C9" w:rsidRDefault="0008792F" w:rsidP="0008792F">
            <w:r w:rsidRPr="006A22C9">
              <w:t>1.1</w:t>
            </w:r>
            <w:r>
              <w:t>3</w:t>
            </w:r>
            <w:r w:rsidRPr="006A22C9">
              <w:t xml:space="preserve"> </w:t>
            </w:r>
            <w:r w:rsidR="0017130F">
              <w:t xml:space="preserve">– </w:t>
            </w:r>
            <w:r w:rsidRPr="006A22C9">
              <w:t>1.35</w:t>
            </w:r>
          </w:p>
        </w:tc>
        <w:tc>
          <w:tcPr>
            <w:tcW w:w="2804" w:type="dxa"/>
            <w:vMerge w:val="restart"/>
          </w:tcPr>
          <w:p w:rsidR="0008792F" w:rsidRDefault="0008792F" w:rsidP="00047B9A">
            <w:r>
              <w:t>Direct approach in neonates</w:t>
            </w:r>
          </w:p>
        </w:tc>
      </w:tr>
      <w:tr w:rsidR="0008792F" w:rsidTr="0017130F">
        <w:trPr>
          <w:trHeight w:val="416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13 – 24 hours</w:t>
            </w:r>
          </w:p>
        </w:tc>
        <w:tc>
          <w:tcPr>
            <w:tcW w:w="2126" w:type="dxa"/>
          </w:tcPr>
          <w:p w:rsidR="0008792F" w:rsidRPr="006A22C9" w:rsidRDefault="0008792F" w:rsidP="0008792F">
            <w:r w:rsidRPr="006A22C9">
              <w:t>1.0</w:t>
            </w:r>
            <w:r>
              <w:t>7</w:t>
            </w:r>
            <w:r w:rsidRPr="006A22C9">
              <w:t xml:space="preserve"> </w:t>
            </w:r>
            <w:r w:rsidR="0017130F">
              <w:t xml:space="preserve">– </w:t>
            </w:r>
            <w:r w:rsidRPr="006A22C9">
              <w:t>1.31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23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25 – 48 hours</w:t>
            </w:r>
          </w:p>
        </w:tc>
        <w:tc>
          <w:tcPr>
            <w:tcW w:w="2126" w:type="dxa"/>
          </w:tcPr>
          <w:p w:rsidR="0008792F" w:rsidRPr="006A22C9" w:rsidRDefault="0008792F" w:rsidP="0008792F">
            <w:r w:rsidRPr="006A22C9">
              <w:t>1.0</w:t>
            </w:r>
            <w:r>
              <w:t>8</w:t>
            </w:r>
            <w:r w:rsidRPr="006A22C9">
              <w:t xml:space="preserve"> </w:t>
            </w:r>
            <w:r w:rsidR="0017130F">
              <w:t xml:space="preserve">– </w:t>
            </w:r>
            <w:r w:rsidRPr="006A22C9">
              <w:t>1.34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01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49 – 72 hours</w:t>
            </w:r>
          </w:p>
        </w:tc>
        <w:tc>
          <w:tcPr>
            <w:tcW w:w="2126" w:type="dxa"/>
          </w:tcPr>
          <w:p w:rsidR="0008792F" w:rsidRPr="006A22C9" w:rsidRDefault="0008792F" w:rsidP="0008792F">
            <w:r w:rsidRPr="006A22C9">
              <w:t xml:space="preserve">1.08 </w:t>
            </w:r>
            <w:r w:rsidR="0017130F">
              <w:t xml:space="preserve">– </w:t>
            </w:r>
            <w:r w:rsidRPr="006A22C9">
              <w:t>1.3</w:t>
            </w:r>
            <w:r>
              <w:t>6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21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73 – 99 hours</w:t>
            </w:r>
          </w:p>
        </w:tc>
        <w:tc>
          <w:tcPr>
            <w:tcW w:w="2126" w:type="dxa"/>
          </w:tcPr>
          <w:p w:rsidR="0008792F" w:rsidRPr="006A22C9" w:rsidRDefault="0008792F" w:rsidP="0008792F">
            <w:r w:rsidRPr="006A22C9">
              <w:t xml:space="preserve">1.12 </w:t>
            </w:r>
            <w:r w:rsidR="0017130F">
              <w:t xml:space="preserve">– </w:t>
            </w:r>
            <w:r w:rsidRPr="006A22C9">
              <w:t>1.4</w:t>
            </w:r>
            <w:r>
              <w:t>6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12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99 – 120 hours</w:t>
            </w:r>
          </w:p>
        </w:tc>
        <w:tc>
          <w:tcPr>
            <w:tcW w:w="2126" w:type="dxa"/>
          </w:tcPr>
          <w:p w:rsidR="0008792F" w:rsidRPr="006A22C9" w:rsidRDefault="0008792F" w:rsidP="0008792F">
            <w:r w:rsidRPr="006A22C9">
              <w:t xml:space="preserve">1.23 </w:t>
            </w:r>
            <w:r w:rsidR="0017130F">
              <w:t xml:space="preserve">– </w:t>
            </w:r>
            <w:r w:rsidRPr="006A22C9">
              <w:t>1.47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17130F">
        <w:trPr>
          <w:trHeight w:val="417"/>
        </w:trPr>
        <w:tc>
          <w:tcPr>
            <w:tcW w:w="1980" w:type="dxa"/>
            <w:vMerge/>
          </w:tcPr>
          <w:p w:rsidR="0008792F" w:rsidRDefault="0008792F" w:rsidP="0008792F"/>
        </w:tc>
        <w:tc>
          <w:tcPr>
            <w:tcW w:w="2126" w:type="dxa"/>
          </w:tcPr>
          <w:p w:rsidR="0008792F" w:rsidRDefault="0008792F" w:rsidP="0008792F">
            <w:r>
              <w:t>121 – 144 hours</w:t>
            </w:r>
          </w:p>
        </w:tc>
        <w:tc>
          <w:tcPr>
            <w:tcW w:w="2126" w:type="dxa"/>
          </w:tcPr>
          <w:p w:rsidR="0008792F" w:rsidRPr="006A22C9" w:rsidRDefault="0008792F" w:rsidP="0008792F">
            <w:r w:rsidRPr="006A22C9">
              <w:t xml:space="preserve">1.25 </w:t>
            </w:r>
            <w:r w:rsidR="0017130F">
              <w:t xml:space="preserve">– </w:t>
            </w:r>
            <w:r w:rsidRPr="006A22C9">
              <w:t>1.49</w:t>
            </w:r>
          </w:p>
        </w:tc>
        <w:tc>
          <w:tcPr>
            <w:tcW w:w="2804" w:type="dxa"/>
            <w:vMerge/>
          </w:tcPr>
          <w:p w:rsidR="0008792F" w:rsidRDefault="0008792F" w:rsidP="0008792F"/>
        </w:tc>
      </w:tr>
      <w:tr w:rsidR="0008792F" w:rsidTr="0054017C">
        <w:trPr>
          <w:trHeight w:val="1679"/>
        </w:trPr>
        <w:tc>
          <w:tcPr>
            <w:tcW w:w="1980" w:type="dxa"/>
          </w:tcPr>
          <w:p w:rsidR="0008792F" w:rsidRDefault="0008792F" w:rsidP="0008792F">
            <w:r>
              <w:t>Marwaha et al. [9]</w:t>
            </w:r>
          </w:p>
        </w:tc>
        <w:tc>
          <w:tcPr>
            <w:tcW w:w="2126" w:type="dxa"/>
          </w:tcPr>
          <w:p w:rsidR="0008792F" w:rsidRDefault="0008792F" w:rsidP="0008792F">
            <w:r>
              <w:t>6 – 17 years</w:t>
            </w:r>
          </w:p>
        </w:tc>
        <w:tc>
          <w:tcPr>
            <w:tcW w:w="2126" w:type="dxa"/>
          </w:tcPr>
          <w:p w:rsidR="0008792F" w:rsidRDefault="0008792F" w:rsidP="0017130F">
            <w:r>
              <w:t>1.11 – 1.20</w:t>
            </w:r>
          </w:p>
        </w:tc>
        <w:tc>
          <w:tcPr>
            <w:tcW w:w="2804" w:type="dxa"/>
          </w:tcPr>
          <w:p w:rsidR="0008792F" w:rsidRDefault="0008792F" w:rsidP="0008792F">
            <w:r>
              <w:t>Direct approach in Indian school children.</w:t>
            </w:r>
          </w:p>
          <w:p w:rsidR="0008792F" w:rsidRDefault="0008792F" w:rsidP="0008792F">
            <w:r>
              <w:t>Serum sample collection did not appear to have been performed under anaerobic conditions</w:t>
            </w:r>
          </w:p>
        </w:tc>
      </w:tr>
      <w:tr w:rsidR="00047B9A" w:rsidTr="0017130F">
        <w:trPr>
          <w:trHeight w:val="501"/>
        </w:trPr>
        <w:tc>
          <w:tcPr>
            <w:tcW w:w="1980" w:type="dxa"/>
            <w:vMerge w:val="restart"/>
          </w:tcPr>
          <w:p w:rsidR="00047B9A" w:rsidRDefault="00047B9A" w:rsidP="0008792F">
            <w:r>
              <w:t>Soldin et al. [10]</w:t>
            </w:r>
          </w:p>
        </w:tc>
        <w:tc>
          <w:tcPr>
            <w:tcW w:w="2126" w:type="dxa"/>
            <w:vAlign w:val="center"/>
          </w:tcPr>
          <w:p w:rsidR="00047B9A" w:rsidRDefault="00047B9A" w:rsidP="00047B9A">
            <w:r>
              <w:t>0 – 1 month</w:t>
            </w:r>
          </w:p>
        </w:tc>
        <w:tc>
          <w:tcPr>
            <w:tcW w:w="2126" w:type="dxa"/>
            <w:vAlign w:val="center"/>
          </w:tcPr>
          <w:p w:rsidR="00047B9A" w:rsidRDefault="00047B9A" w:rsidP="00047B9A">
            <w:r>
              <w:t xml:space="preserve">1.0 – 1.5 </w:t>
            </w:r>
          </w:p>
        </w:tc>
        <w:tc>
          <w:tcPr>
            <w:tcW w:w="2804" w:type="dxa"/>
            <w:vMerge w:val="restart"/>
          </w:tcPr>
          <w:p w:rsidR="00047B9A" w:rsidRDefault="00047B9A" w:rsidP="0008792F">
            <w:r>
              <w:t>Indirect approach</w:t>
            </w:r>
          </w:p>
          <w:p w:rsidR="00047B9A" w:rsidRDefault="00047B9A" w:rsidP="0008792F">
            <w:r>
              <w:t>(2.5 – 97.5</w:t>
            </w:r>
            <w:r w:rsidRPr="00047B9A">
              <w:rPr>
                <w:vertAlign w:val="superscript"/>
              </w:rPr>
              <w:t>th</w:t>
            </w:r>
            <w:r>
              <w:t xml:space="preserve"> percentile) following application of exclusion criteria</w:t>
            </w:r>
          </w:p>
        </w:tc>
      </w:tr>
      <w:tr w:rsidR="00047B9A" w:rsidTr="0017130F">
        <w:trPr>
          <w:trHeight w:val="501"/>
        </w:trPr>
        <w:tc>
          <w:tcPr>
            <w:tcW w:w="1980" w:type="dxa"/>
            <w:vMerge/>
          </w:tcPr>
          <w:p w:rsidR="00047B9A" w:rsidRDefault="00047B9A" w:rsidP="0008792F"/>
        </w:tc>
        <w:tc>
          <w:tcPr>
            <w:tcW w:w="2126" w:type="dxa"/>
            <w:vAlign w:val="center"/>
          </w:tcPr>
          <w:p w:rsidR="00047B9A" w:rsidRDefault="00047B9A" w:rsidP="00047B9A">
            <w:r>
              <w:t>1 – 6 months</w:t>
            </w:r>
          </w:p>
        </w:tc>
        <w:tc>
          <w:tcPr>
            <w:tcW w:w="2126" w:type="dxa"/>
            <w:vAlign w:val="center"/>
          </w:tcPr>
          <w:p w:rsidR="00047B9A" w:rsidRDefault="00047B9A" w:rsidP="00047B9A">
            <w:r>
              <w:t>0.95 – 1.5</w:t>
            </w:r>
          </w:p>
        </w:tc>
        <w:tc>
          <w:tcPr>
            <w:tcW w:w="2804" w:type="dxa"/>
            <w:vMerge/>
          </w:tcPr>
          <w:p w:rsidR="00047B9A" w:rsidRDefault="00047B9A" w:rsidP="0008792F"/>
        </w:tc>
      </w:tr>
    </w:tbl>
    <w:p w:rsidR="007F2F66" w:rsidRDefault="007F2F66" w:rsidP="007F2F66"/>
    <w:p w:rsidR="00790310" w:rsidRDefault="00790310"/>
    <w:sectPr w:rsidR="00790310" w:rsidSect="00D41ECE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41" w:rsidRDefault="00EA0341">
      <w:r>
        <w:separator/>
      </w:r>
    </w:p>
  </w:endnote>
  <w:endnote w:type="continuationSeparator" w:id="0">
    <w:p w:rsidR="00EA0341" w:rsidRDefault="00EA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41" w:rsidRDefault="00EA0341">
      <w:r>
        <w:separator/>
      </w:r>
    </w:p>
  </w:footnote>
  <w:footnote w:type="continuationSeparator" w:id="0">
    <w:p w:rsidR="00EA0341" w:rsidRDefault="00EA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AF7"/>
    <w:multiLevelType w:val="hybridMultilevel"/>
    <w:tmpl w:val="C1822B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B24F2"/>
    <w:multiLevelType w:val="hybridMultilevel"/>
    <w:tmpl w:val="5820152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24B2A"/>
    <w:multiLevelType w:val="hybridMultilevel"/>
    <w:tmpl w:val="BD363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335CA"/>
    <w:multiLevelType w:val="hybridMultilevel"/>
    <w:tmpl w:val="265625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66CD7"/>
    <w:multiLevelType w:val="hybridMultilevel"/>
    <w:tmpl w:val="33A0CE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B2B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09"/>
    <w:rsid w:val="00027890"/>
    <w:rsid w:val="000303E2"/>
    <w:rsid w:val="00032DE6"/>
    <w:rsid w:val="000343C7"/>
    <w:rsid w:val="00045389"/>
    <w:rsid w:val="000458A8"/>
    <w:rsid w:val="00047B9A"/>
    <w:rsid w:val="00067271"/>
    <w:rsid w:val="000730BB"/>
    <w:rsid w:val="0008792F"/>
    <w:rsid w:val="0009740E"/>
    <w:rsid w:val="000A6F01"/>
    <w:rsid w:val="000B088C"/>
    <w:rsid w:val="000C0785"/>
    <w:rsid w:val="000C270B"/>
    <w:rsid w:val="000D681C"/>
    <w:rsid w:val="001153BF"/>
    <w:rsid w:val="001409CD"/>
    <w:rsid w:val="001630C4"/>
    <w:rsid w:val="00165E32"/>
    <w:rsid w:val="00167CF6"/>
    <w:rsid w:val="0017130F"/>
    <w:rsid w:val="0018688B"/>
    <w:rsid w:val="001B0533"/>
    <w:rsid w:val="001B509C"/>
    <w:rsid w:val="001C0EA7"/>
    <w:rsid w:val="001E0735"/>
    <w:rsid w:val="001E3509"/>
    <w:rsid w:val="001E7003"/>
    <w:rsid w:val="001F1490"/>
    <w:rsid w:val="00214AFB"/>
    <w:rsid w:val="00235FF7"/>
    <w:rsid w:val="00240257"/>
    <w:rsid w:val="00250D78"/>
    <w:rsid w:val="0026131B"/>
    <w:rsid w:val="00295E0F"/>
    <w:rsid w:val="00296B65"/>
    <w:rsid w:val="00297F4E"/>
    <w:rsid w:val="002A1B59"/>
    <w:rsid w:val="002B7F07"/>
    <w:rsid w:val="002C7668"/>
    <w:rsid w:val="003019B4"/>
    <w:rsid w:val="0031309B"/>
    <w:rsid w:val="00325C7F"/>
    <w:rsid w:val="00342AB4"/>
    <w:rsid w:val="00352A1C"/>
    <w:rsid w:val="00355059"/>
    <w:rsid w:val="003640CD"/>
    <w:rsid w:val="00367139"/>
    <w:rsid w:val="00383A7F"/>
    <w:rsid w:val="0038464F"/>
    <w:rsid w:val="003A068A"/>
    <w:rsid w:val="003A42EA"/>
    <w:rsid w:val="003A4317"/>
    <w:rsid w:val="003B0053"/>
    <w:rsid w:val="003C346F"/>
    <w:rsid w:val="003D178E"/>
    <w:rsid w:val="003E5A8E"/>
    <w:rsid w:val="003E711A"/>
    <w:rsid w:val="00404064"/>
    <w:rsid w:val="00430B7C"/>
    <w:rsid w:val="004444B2"/>
    <w:rsid w:val="004509B9"/>
    <w:rsid w:val="00463188"/>
    <w:rsid w:val="004679DC"/>
    <w:rsid w:val="00480239"/>
    <w:rsid w:val="004E73E9"/>
    <w:rsid w:val="00506EB4"/>
    <w:rsid w:val="005116FC"/>
    <w:rsid w:val="0052476F"/>
    <w:rsid w:val="0052618F"/>
    <w:rsid w:val="005271BB"/>
    <w:rsid w:val="005273E1"/>
    <w:rsid w:val="0054017C"/>
    <w:rsid w:val="00541F28"/>
    <w:rsid w:val="00546A88"/>
    <w:rsid w:val="00564AB3"/>
    <w:rsid w:val="00566FAF"/>
    <w:rsid w:val="00571F37"/>
    <w:rsid w:val="00580D29"/>
    <w:rsid w:val="005C300E"/>
    <w:rsid w:val="005E2102"/>
    <w:rsid w:val="005E5D97"/>
    <w:rsid w:val="00606E49"/>
    <w:rsid w:val="00620A6C"/>
    <w:rsid w:val="00621570"/>
    <w:rsid w:val="00623227"/>
    <w:rsid w:val="006242DA"/>
    <w:rsid w:val="00631BE1"/>
    <w:rsid w:val="0068146A"/>
    <w:rsid w:val="00682EE2"/>
    <w:rsid w:val="0069497E"/>
    <w:rsid w:val="006B0B43"/>
    <w:rsid w:val="006D2045"/>
    <w:rsid w:val="006E189C"/>
    <w:rsid w:val="006F3652"/>
    <w:rsid w:val="0071236D"/>
    <w:rsid w:val="0074383F"/>
    <w:rsid w:val="0075492B"/>
    <w:rsid w:val="00764784"/>
    <w:rsid w:val="00780120"/>
    <w:rsid w:val="00781D62"/>
    <w:rsid w:val="0078487E"/>
    <w:rsid w:val="00790310"/>
    <w:rsid w:val="00794C9C"/>
    <w:rsid w:val="007C0A24"/>
    <w:rsid w:val="007C123F"/>
    <w:rsid w:val="007F2F66"/>
    <w:rsid w:val="00805014"/>
    <w:rsid w:val="00811D98"/>
    <w:rsid w:val="00824F66"/>
    <w:rsid w:val="008345AA"/>
    <w:rsid w:val="00837399"/>
    <w:rsid w:val="008426D6"/>
    <w:rsid w:val="00852A50"/>
    <w:rsid w:val="00855CA1"/>
    <w:rsid w:val="008711A0"/>
    <w:rsid w:val="00882CCF"/>
    <w:rsid w:val="0089004A"/>
    <w:rsid w:val="00891848"/>
    <w:rsid w:val="008A5BD4"/>
    <w:rsid w:val="008B478D"/>
    <w:rsid w:val="008D2F1B"/>
    <w:rsid w:val="008D6046"/>
    <w:rsid w:val="008F7547"/>
    <w:rsid w:val="00911C0D"/>
    <w:rsid w:val="0091276D"/>
    <w:rsid w:val="00913A8C"/>
    <w:rsid w:val="00920CCB"/>
    <w:rsid w:val="00927B58"/>
    <w:rsid w:val="00933C35"/>
    <w:rsid w:val="00937441"/>
    <w:rsid w:val="009465E7"/>
    <w:rsid w:val="0095713D"/>
    <w:rsid w:val="00966716"/>
    <w:rsid w:val="009A4D13"/>
    <w:rsid w:val="009A5C46"/>
    <w:rsid w:val="009D3F15"/>
    <w:rsid w:val="009E1FE0"/>
    <w:rsid w:val="00A05619"/>
    <w:rsid w:val="00A13E66"/>
    <w:rsid w:val="00A27D33"/>
    <w:rsid w:val="00A362A6"/>
    <w:rsid w:val="00A53361"/>
    <w:rsid w:val="00A5567B"/>
    <w:rsid w:val="00A65AF3"/>
    <w:rsid w:val="00A7686D"/>
    <w:rsid w:val="00A80A98"/>
    <w:rsid w:val="00A97908"/>
    <w:rsid w:val="00AB1298"/>
    <w:rsid w:val="00AC6E0C"/>
    <w:rsid w:val="00AE00EE"/>
    <w:rsid w:val="00B05D43"/>
    <w:rsid w:val="00B30577"/>
    <w:rsid w:val="00B8154C"/>
    <w:rsid w:val="00B81BF3"/>
    <w:rsid w:val="00B974A0"/>
    <w:rsid w:val="00BA1DC3"/>
    <w:rsid w:val="00BB6AC3"/>
    <w:rsid w:val="00BC2AEB"/>
    <w:rsid w:val="00BF1D57"/>
    <w:rsid w:val="00BF733D"/>
    <w:rsid w:val="00C442BD"/>
    <w:rsid w:val="00C52692"/>
    <w:rsid w:val="00C57A56"/>
    <w:rsid w:val="00C70E29"/>
    <w:rsid w:val="00C71872"/>
    <w:rsid w:val="00C72EB7"/>
    <w:rsid w:val="00CA2FD8"/>
    <w:rsid w:val="00CA46E0"/>
    <w:rsid w:val="00CA5A28"/>
    <w:rsid w:val="00CA6F0A"/>
    <w:rsid w:val="00CB0BEA"/>
    <w:rsid w:val="00CB13EF"/>
    <w:rsid w:val="00CC0261"/>
    <w:rsid w:val="00CC08A9"/>
    <w:rsid w:val="00CC36F3"/>
    <w:rsid w:val="00D06655"/>
    <w:rsid w:val="00D10B87"/>
    <w:rsid w:val="00D2214B"/>
    <w:rsid w:val="00D36DE3"/>
    <w:rsid w:val="00D41ECE"/>
    <w:rsid w:val="00D4312D"/>
    <w:rsid w:val="00D569F5"/>
    <w:rsid w:val="00D62FA0"/>
    <w:rsid w:val="00D7661F"/>
    <w:rsid w:val="00D970B8"/>
    <w:rsid w:val="00DB60EF"/>
    <w:rsid w:val="00DC4728"/>
    <w:rsid w:val="00DC5D50"/>
    <w:rsid w:val="00DF68ED"/>
    <w:rsid w:val="00E05689"/>
    <w:rsid w:val="00E1404D"/>
    <w:rsid w:val="00E176AA"/>
    <w:rsid w:val="00E45119"/>
    <w:rsid w:val="00E45497"/>
    <w:rsid w:val="00E510B1"/>
    <w:rsid w:val="00E55161"/>
    <w:rsid w:val="00E66A33"/>
    <w:rsid w:val="00E70819"/>
    <w:rsid w:val="00E732D6"/>
    <w:rsid w:val="00E93F11"/>
    <w:rsid w:val="00EA0341"/>
    <w:rsid w:val="00EA08B3"/>
    <w:rsid w:val="00EA144F"/>
    <w:rsid w:val="00EA5AA4"/>
    <w:rsid w:val="00EC4419"/>
    <w:rsid w:val="00EE31FC"/>
    <w:rsid w:val="00F06378"/>
    <w:rsid w:val="00F1191A"/>
    <w:rsid w:val="00F31BBB"/>
    <w:rsid w:val="00F336B0"/>
    <w:rsid w:val="00F42759"/>
    <w:rsid w:val="00F54E5B"/>
    <w:rsid w:val="00F6196D"/>
    <w:rsid w:val="00F71C78"/>
    <w:rsid w:val="00F74F66"/>
    <w:rsid w:val="00F76D03"/>
    <w:rsid w:val="00F9174B"/>
    <w:rsid w:val="00FA0C61"/>
    <w:rsid w:val="00FC763C"/>
    <w:rsid w:val="00FD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4BC5B7-2EA0-4F00-B78B-21DDB9E3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6521"/>
      </w:tabs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6521"/>
      </w:tabs>
      <w:jc w:val="right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843"/>
        <w:tab w:val="left" w:pos="4678"/>
        <w:tab w:val="left" w:pos="6946"/>
      </w:tabs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843"/>
        <w:tab w:val="left" w:pos="4678"/>
        <w:tab w:val="left" w:pos="6946"/>
      </w:tabs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671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4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5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13DB-AAE6-4CD9-A19A-B58B095B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B33BCFD8.dotm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CHW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jason.chung</dc:creator>
  <cp:lastModifiedBy>Jason Chung (SCHN)</cp:lastModifiedBy>
  <cp:revision>6</cp:revision>
  <dcterms:created xsi:type="dcterms:W3CDTF">2021-01-21T23:12:00Z</dcterms:created>
  <dcterms:modified xsi:type="dcterms:W3CDTF">2021-01-21T23:29:00Z</dcterms:modified>
</cp:coreProperties>
</file>