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17" w:rsidRPr="006F6017" w:rsidRDefault="006F6017" w:rsidP="007816B0">
      <w:pPr>
        <w:spacing w:line="480" w:lineRule="auto"/>
        <w:rPr>
          <w:rFonts w:eastAsia="Calibri" w:cstheme="minorHAnsi"/>
          <w:b/>
          <w:bCs/>
          <w:sz w:val="24"/>
          <w:szCs w:val="24"/>
        </w:rPr>
      </w:pPr>
      <w:r w:rsidRPr="006F6017">
        <w:rPr>
          <w:rFonts w:eastAsia="Calibri" w:cstheme="minorHAnsi"/>
          <w:b/>
          <w:bCs/>
          <w:sz w:val="24"/>
          <w:szCs w:val="24"/>
          <w:u w:val="single"/>
        </w:rPr>
        <w:t>Supplementary Material</w:t>
      </w:r>
      <w:r w:rsidRPr="006F6017">
        <w:rPr>
          <w:rFonts w:eastAsia="Calibri" w:cstheme="minorHAnsi"/>
          <w:b/>
          <w:bCs/>
          <w:sz w:val="24"/>
          <w:szCs w:val="24"/>
        </w:rPr>
        <w:t xml:space="preserve"> </w:t>
      </w:r>
      <w:hyperlink r:id="rId4" w:history="1">
        <w:r w:rsidRPr="006F6017">
          <w:rPr>
            <w:rStyle w:val="Hyperlink"/>
            <w:rFonts w:cstheme="minorHAnsi"/>
            <w:b/>
            <w:sz w:val="24"/>
            <w:szCs w:val="24"/>
            <w:u w:val="none"/>
            <w:lang w:val="de-DE"/>
          </w:rPr>
          <w:t>https://doi.org/10.1515/cclm-2020-1882</w:t>
        </w:r>
      </w:hyperlink>
    </w:p>
    <w:p w:rsidR="006F6017" w:rsidRDefault="006F6017" w:rsidP="007816B0">
      <w:pPr>
        <w:spacing w:line="48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Legends to Figurs and Tables </w:t>
      </w:r>
    </w:p>
    <w:p w:rsidR="006F6017" w:rsidRDefault="006F6017" w:rsidP="007816B0">
      <w:pPr>
        <w:spacing w:line="480" w:lineRule="auto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:rsidR="007816B0" w:rsidRDefault="007816B0" w:rsidP="007816B0">
      <w:pPr>
        <w:spacing w:line="48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Figure S1: MDRD eGFR (with African-American coefficient) vs iohexol mGFR.</w:t>
      </w:r>
    </w:p>
    <w:p w:rsidR="007816B0" w:rsidRDefault="007816B0" w:rsidP="007816B0">
      <w:pPr>
        <w:spacing w:line="48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Figure S2: CKD-EPI eGFR (with African-American coefficient) vs iohexol mGFR.</w:t>
      </w:r>
    </w:p>
    <w:p w:rsidR="007816B0" w:rsidRDefault="007816B0" w:rsidP="007816B0">
      <w:pPr>
        <w:spacing w:line="48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Figure S3: Revised Lund-Malmö eGFR vs iohexol mGFR.</w:t>
      </w:r>
    </w:p>
    <w:p w:rsidR="007816B0" w:rsidRDefault="007816B0" w:rsidP="007816B0">
      <w:pPr>
        <w:spacing w:line="48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Table S1: Accuracy within 30% of mGFR (P30) according to CKD stage, including revised Lund-Malmö equation.</w:t>
      </w:r>
    </w:p>
    <w:p w:rsidR="007816B0" w:rsidRDefault="007816B0" w:rsidP="007816B0">
      <w:pPr>
        <w:spacing w:line="48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Table S2: Samples correctly classified according to KDIGO GFR staging.</w:t>
      </w:r>
    </w:p>
    <w:p w:rsidR="000B3C07" w:rsidRDefault="006F6017"/>
    <w:sectPr w:rsidR="000B3C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B0"/>
    <w:rsid w:val="004743E6"/>
    <w:rsid w:val="006F6017"/>
    <w:rsid w:val="007816B0"/>
    <w:rsid w:val="00BC1D6A"/>
    <w:rsid w:val="00C1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4584"/>
  <w15:chartTrackingRefBased/>
  <w15:docId w15:val="{907D5A6F-B76A-423B-9653-5B029474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16B0"/>
    <w:pPr>
      <w:spacing w:after="160" w:line="259" w:lineRule="auto"/>
    </w:pPr>
    <w:rPr>
      <w:lang w:val="en-Z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F60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515/cclm-2020-18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Jahnke, Heike</dc:creator>
  <cp:keywords/>
  <dc:description/>
  <cp:lastModifiedBy>Jahnke, Heike</cp:lastModifiedBy>
  <cp:revision>1</cp:revision>
  <dcterms:created xsi:type="dcterms:W3CDTF">2021-03-04T14:28:00Z</dcterms:created>
  <dcterms:modified xsi:type="dcterms:W3CDTF">2021-03-04T14:50:00Z</dcterms:modified>
</cp:coreProperties>
</file>