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432" w:rsidRPr="00462B13" w:rsidRDefault="00395432" w:rsidP="00395432">
      <w:pPr>
        <w:pStyle w:val="Listenabsatz"/>
        <w:spacing w:before="120" w:after="120" w:line="480" w:lineRule="auto"/>
        <w:ind w:left="357"/>
        <w:rPr>
          <w:sz w:val="24"/>
          <w:lang w:val="en-US"/>
        </w:rPr>
      </w:pPr>
      <w:r>
        <w:rPr>
          <w:sz w:val="24"/>
          <w:lang w:val="en-US"/>
        </w:rPr>
        <w:t>Table S</w:t>
      </w:r>
      <w:r w:rsidRPr="00462B13">
        <w:rPr>
          <w:sz w:val="24"/>
          <w:lang w:val="en-US"/>
        </w:rPr>
        <w:t>1: Main biological data (except for monocytes and their subpopulation) of the entire population and of t</w:t>
      </w:r>
      <w:r>
        <w:rPr>
          <w:sz w:val="24"/>
          <w:lang w:val="en-US"/>
        </w:rPr>
        <w:t>he different groups of patients.</w:t>
      </w:r>
    </w:p>
    <w:tbl>
      <w:tblPr>
        <w:tblStyle w:val="Tabellenraster"/>
        <w:tblpPr w:leftFromText="141" w:rightFromText="141" w:vertAnchor="text" w:horzAnchor="margin" w:tblpY="43"/>
        <w:tblW w:w="9351" w:type="dxa"/>
        <w:tblLook w:val="04A0" w:firstRow="1" w:lastRow="0" w:firstColumn="1" w:lastColumn="0" w:noHBand="0" w:noVBand="1"/>
      </w:tblPr>
      <w:tblGrid>
        <w:gridCol w:w="1838"/>
        <w:gridCol w:w="1701"/>
        <w:gridCol w:w="1560"/>
        <w:gridCol w:w="1417"/>
        <w:gridCol w:w="1417"/>
        <w:gridCol w:w="1418"/>
      </w:tblGrid>
      <w:tr w:rsidR="00395432" w:rsidRPr="00462B13" w:rsidTr="001B5424">
        <w:tc>
          <w:tcPr>
            <w:tcW w:w="1838" w:type="dxa"/>
          </w:tcPr>
          <w:p w:rsidR="00395432" w:rsidRPr="00462B13" w:rsidRDefault="00395432" w:rsidP="001B5424">
            <w:pPr>
              <w:pStyle w:val="Listenabsatz"/>
              <w:spacing w:line="480" w:lineRule="auto"/>
              <w:ind w:left="0"/>
              <w:rPr>
                <w:sz w:val="24"/>
                <w:lang w:val="en-US"/>
              </w:rPr>
            </w:pPr>
          </w:p>
        </w:tc>
        <w:tc>
          <w:tcPr>
            <w:tcW w:w="1701" w:type="dxa"/>
            <w:vAlign w:val="center"/>
          </w:tcPr>
          <w:p w:rsidR="00395432" w:rsidRPr="00462B13" w:rsidRDefault="00395432" w:rsidP="001B5424">
            <w:pPr>
              <w:pStyle w:val="Listenabsatz"/>
              <w:spacing w:line="480" w:lineRule="auto"/>
              <w:ind w:left="0"/>
              <w:jc w:val="center"/>
              <w:rPr>
                <w:lang w:val="en-US"/>
              </w:rPr>
            </w:pPr>
            <w:r w:rsidRPr="00462B13">
              <w:rPr>
                <w:lang w:val="en-US"/>
              </w:rPr>
              <w:t>All</w:t>
            </w:r>
          </w:p>
        </w:tc>
        <w:tc>
          <w:tcPr>
            <w:tcW w:w="1560" w:type="dxa"/>
            <w:vAlign w:val="center"/>
          </w:tcPr>
          <w:p w:rsidR="00395432" w:rsidRPr="00462B13" w:rsidRDefault="00395432" w:rsidP="001B5424">
            <w:pPr>
              <w:pStyle w:val="Listenabsatz"/>
              <w:spacing w:line="480" w:lineRule="auto"/>
              <w:ind w:left="0"/>
              <w:jc w:val="center"/>
              <w:rPr>
                <w:lang w:val="en-US"/>
              </w:rPr>
            </w:pPr>
            <w:r w:rsidRPr="00462B13">
              <w:rPr>
                <w:lang w:val="en-US"/>
              </w:rPr>
              <w:t>Home</w:t>
            </w:r>
          </w:p>
        </w:tc>
        <w:tc>
          <w:tcPr>
            <w:tcW w:w="1417" w:type="dxa"/>
            <w:vAlign w:val="center"/>
          </w:tcPr>
          <w:p w:rsidR="00395432" w:rsidRPr="00462B13" w:rsidRDefault="00395432" w:rsidP="001B5424">
            <w:pPr>
              <w:pStyle w:val="Listenabsatz"/>
              <w:spacing w:line="360" w:lineRule="auto"/>
              <w:ind w:left="0"/>
              <w:jc w:val="center"/>
              <w:rPr>
                <w:lang w:val="en-US"/>
              </w:rPr>
            </w:pPr>
            <w:r w:rsidRPr="00462B13">
              <w:rPr>
                <w:lang w:val="en-US"/>
              </w:rPr>
              <w:t>CoU</w:t>
            </w:r>
          </w:p>
        </w:tc>
        <w:tc>
          <w:tcPr>
            <w:tcW w:w="1417" w:type="dxa"/>
            <w:vAlign w:val="center"/>
          </w:tcPr>
          <w:p w:rsidR="00395432" w:rsidRPr="00462B13" w:rsidRDefault="00395432" w:rsidP="001B5424">
            <w:pPr>
              <w:pStyle w:val="Listenabsatz"/>
              <w:spacing w:line="360" w:lineRule="auto"/>
              <w:ind w:left="0"/>
              <w:jc w:val="center"/>
              <w:rPr>
                <w:lang w:val="en-US"/>
              </w:rPr>
            </w:pPr>
            <w:r w:rsidRPr="00462B13">
              <w:rPr>
                <w:lang w:val="en-US"/>
              </w:rPr>
              <w:t>CoU then ICU</w:t>
            </w:r>
          </w:p>
        </w:tc>
        <w:tc>
          <w:tcPr>
            <w:tcW w:w="1418" w:type="dxa"/>
            <w:vAlign w:val="center"/>
          </w:tcPr>
          <w:p w:rsidR="00395432" w:rsidRPr="00462B13" w:rsidRDefault="00395432" w:rsidP="001B5424">
            <w:pPr>
              <w:pStyle w:val="Listenabsatz"/>
              <w:spacing w:line="480" w:lineRule="auto"/>
              <w:ind w:left="0"/>
              <w:jc w:val="center"/>
              <w:rPr>
                <w:lang w:val="en-US"/>
              </w:rPr>
            </w:pPr>
            <w:r w:rsidRPr="00462B13">
              <w:rPr>
                <w:lang w:val="en-US"/>
              </w:rPr>
              <w:t>ICU</w:t>
            </w:r>
          </w:p>
        </w:tc>
      </w:tr>
      <w:tr w:rsidR="00395432" w:rsidRPr="00462B13" w:rsidTr="001B5424">
        <w:tc>
          <w:tcPr>
            <w:tcW w:w="1838" w:type="dxa"/>
            <w:vAlign w:val="center"/>
          </w:tcPr>
          <w:p w:rsidR="00395432" w:rsidRPr="00462B13" w:rsidRDefault="00395432" w:rsidP="001B5424">
            <w:pPr>
              <w:pStyle w:val="Listenabsatz"/>
              <w:spacing w:line="360" w:lineRule="auto"/>
              <w:ind w:left="0"/>
              <w:rPr>
                <w:sz w:val="24"/>
                <w:lang w:val="en-US"/>
              </w:rPr>
            </w:pPr>
            <w:r w:rsidRPr="00462B13">
              <w:rPr>
                <w:sz w:val="24"/>
                <w:lang w:val="en-US"/>
              </w:rPr>
              <w:t>n</w:t>
            </w:r>
          </w:p>
        </w:tc>
        <w:tc>
          <w:tcPr>
            <w:tcW w:w="1701"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390</w:t>
            </w:r>
          </w:p>
        </w:tc>
        <w:tc>
          <w:tcPr>
            <w:tcW w:w="1560"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70</w:t>
            </w:r>
          </w:p>
        </w:tc>
        <w:tc>
          <w:tcPr>
            <w:tcW w:w="1417"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265</w:t>
            </w:r>
          </w:p>
        </w:tc>
        <w:tc>
          <w:tcPr>
            <w:tcW w:w="1417"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20</w:t>
            </w:r>
          </w:p>
        </w:tc>
        <w:tc>
          <w:tcPr>
            <w:tcW w:w="1418"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35</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lang w:val="en-US"/>
              </w:rPr>
            </w:pPr>
            <w:r w:rsidRPr="00462B13">
              <w:rPr>
                <w:sz w:val="20"/>
                <w:lang w:val="en-US"/>
              </w:rPr>
              <w:t xml:space="preserve">WBC,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p w:rsidR="00395432" w:rsidRPr="00462B13" w:rsidRDefault="00395432" w:rsidP="001B5424">
            <w:pPr>
              <w:pStyle w:val="Listenabsatz"/>
              <w:spacing w:line="276" w:lineRule="auto"/>
              <w:ind w:left="0"/>
              <w:rPr>
                <w:sz w:val="24"/>
                <w:lang w:val="en-US"/>
              </w:rPr>
            </w:pPr>
            <w:r w:rsidRPr="00462B13">
              <w:rPr>
                <w:sz w:val="18"/>
                <w:szCs w:val="20"/>
                <w:lang w:val="en-US"/>
              </w:rPr>
              <w:t>[4.0 – 11.0]</w:t>
            </w:r>
          </w:p>
        </w:tc>
        <w:tc>
          <w:tcPr>
            <w:tcW w:w="1701" w:type="dxa"/>
            <w:vAlign w:val="center"/>
          </w:tcPr>
          <w:p w:rsidR="00395432" w:rsidRPr="00462B13" w:rsidRDefault="00395432" w:rsidP="001B5424">
            <w:pPr>
              <w:pStyle w:val="Listenabsatz"/>
              <w:spacing w:line="276" w:lineRule="auto"/>
              <w:ind w:left="0"/>
              <w:jc w:val="center"/>
              <w:rPr>
                <w:lang w:val="en-US"/>
              </w:rPr>
            </w:pPr>
            <w:r w:rsidRPr="00462B13">
              <w:rPr>
                <w:sz w:val="20"/>
                <w:lang w:val="en-US"/>
              </w:rPr>
              <w:t>6.5</w:t>
            </w:r>
            <w:r w:rsidRPr="00462B13">
              <w:rPr>
                <w:lang w:val="en-US"/>
              </w:rPr>
              <w:t xml:space="preserve"> </w:t>
            </w:r>
          </w:p>
          <w:p w:rsidR="00395432" w:rsidRPr="00462B13" w:rsidRDefault="00395432" w:rsidP="001B5424">
            <w:pPr>
              <w:pStyle w:val="Listenabsatz"/>
              <w:spacing w:line="276" w:lineRule="auto"/>
              <w:ind w:left="0"/>
              <w:jc w:val="center"/>
              <w:rPr>
                <w:lang w:val="en-US"/>
              </w:rPr>
            </w:pPr>
            <w:r w:rsidRPr="00462B13">
              <w:rPr>
                <w:sz w:val="18"/>
                <w:lang w:val="en-US"/>
              </w:rPr>
              <w:t>[1.2 – 22.0]</w:t>
            </w:r>
          </w:p>
        </w:tc>
        <w:tc>
          <w:tcPr>
            <w:tcW w:w="1560"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5.2 </w:t>
            </w:r>
          </w:p>
          <w:p w:rsidR="00395432" w:rsidRPr="00462B13" w:rsidRDefault="00395432" w:rsidP="001B5424">
            <w:pPr>
              <w:pStyle w:val="Listenabsatz"/>
              <w:spacing w:line="276" w:lineRule="auto"/>
              <w:ind w:left="0"/>
              <w:jc w:val="center"/>
              <w:rPr>
                <w:lang w:val="en-US"/>
              </w:rPr>
            </w:pPr>
            <w:r w:rsidRPr="00462B13">
              <w:rPr>
                <w:sz w:val="18"/>
                <w:lang w:val="en-US"/>
              </w:rPr>
              <w:t>[1.2 -12.8]</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6.7</w:t>
            </w:r>
            <w:r w:rsidRPr="00462B13">
              <w:rPr>
                <w:sz w:val="24"/>
                <w:vertAlign w:val="superscript"/>
                <w:lang w:val="en-US"/>
              </w:rPr>
              <w:t xml:space="preserve"> c</w:t>
            </w:r>
          </w:p>
          <w:p w:rsidR="00395432" w:rsidRPr="00462B13" w:rsidRDefault="00395432" w:rsidP="001B5424">
            <w:pPr>
              <w:pStyle w:val="Listenabsatz"/>
              <w:spacing w:line="276" w:lineRule="auto"/>
              <w:ind w:left="0"/>
              <w:jc w:val="center"/>
              <w:rPr>
                <w:sz w:val="20"/>
                <w:lang w:val="en-US"/>
              </w:rPr>
            </w:pPr>
            <w:r w:rsidRPr="00462B13">
              <w:rPr>
                <w:sz w:val="18"/>
                <w:lang w:val="en-US"/>
              </w:rPr>
              <w:t>[1.3 – 22.0]</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5.2 </w:t>
            </w:r>
            <w:r w:rsidRPr="00462B13">
              <w:rPr>
                <w:sz w:val="20"/>
                <w:vertAlign w:val="superscript"/>
                <w:lang w:val="en-US"/>
              </w:rPr>
              <w:t>d</w:t>
            </w:r>
          </w:p>
          <w:p w:rsidR="00395432" w:rsidRPr="00462B13" w:rsidRDefault="00395432" w:rsidP="001B5424">
            <w:pPr>
              <w:pStyle w:val="Listenabsatz"/>
              <w:spacing w:line="276" w:lineRule="auto"/>
              <w:ind w:left="0"/>
              <w:jc w:val="center"/>
              <w:rPr>
                <w:sz w:val="20"/>
                <w:lang w:val="en-US"/>
              </w:rPr>
            </w:pPr>
            <w:r w:rsidRPr="00462B13">
              <w:rPr>
                <w:sz w:val="18"/>
                <w:lang w:val="en-US"/>
              </w:rPr>
              <w:t>[2.5 – 11.1]</w:t>
            </w:r>
          </w:p>
        </w:tc>
        <w:tc>
          <w:tcPr>
            <w:tcW w:w="1418" w:type="dxa"/>
            <w:vAlign w:val="center"/>
          </w:tcPr>
          <w:p w:rsidR="00395432" w:rsidRPr="00462B13" w:rsidRDefault="00395432" w:rsidP="001B5424">
            <w:pPr>
              <w:pStyle w:val="Listenabsatz"/>
              <w:spacing w:line="276" w:lineRule="auto"/>
              <w:ind w:left="0"/>
              <w:jc w:val="center"/>
              <w:rPr>
                <w:sz w:val="18"/>
                <w:lang w:val="en-US"/>
              </w:rPr>
            </w:pPr>
            <w:r w:rsidRPr="00462B13">
              <w:rPr>
                <w:sz w:val="20"/>
                <w:lang w:val="en-US"/>
              </w:rPr>
              <w:t>9.3</w:t>
            </w:r>
            <w:r w:rsidRPr="00462B13">
              <w:rPr>
                <w:sz w:val="24"/>
                <w:vertAlign w:val="superscript"/>
                <w:lang w:val="en-US"/>
              </w:rPr>
              <w:t xml:space="preserve"> c</w:t>
            </w:r>
            <w:r w:rsidRPr="00462B13">
              <w:rPr>
                <w:sz w:val="18"/>
                <w:vertAlign w:val="superscript"/>
                <w:lang w:val="en-US"/>
              </w:rPr>
              <w:t xml:space="preserve">, </w:t>
            </w:r>
            <w:r w:rsidRPr="00462B13">
              <w:rPr>
                <w:sz w:val="24"/>
                <w:vertAlign w:val="superscript"/>
                <w:lang w:val="en-US"/>
              </w:rPr>
              <w:t>f</w:t>
            </w:r>
          </w:p>
          <w:p w:rsidR="00395432" w:rsidRPr="00462B13" w:rsidRDefault="00395432" w:rsidP="001B5424">
            <w:pPr>
              <w:pStyle w:val="Listenabsatz"/>
              <w:spacing w:line="276" w:lineRule="auto"/>
              <w:ind w:left="0"/>
              <w:jc w:val="center"/>
              <w:rPr>
                <w:sz w:val="20"/>
                <w:lang w:val="en-US"/>
              </w:rPr>
            </w:pPr>
            <w:r w:rsidRPr="00462B13">
              <w:rPr>
                <w:sz w:val="18"/>
                <w:lang w:val="en-US"/>
              </w:rPr>
              <w:t>[1.7 -20.6]</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lang w:val="en-US"/>
              </w:rPr>
            </w:pPr>
            <w:r w:rsidRPr="00462B13">
              <w:rPr>
                <w:sz w:val="20"/>
                <w:lang w:val="en-US"/>
              </w:rPr>
              <w:t xml:space="preserve">PMN,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p w:rsidR="00395432" w:rsidRPr="00462B13" w:rsidRDefault="00395432" w:rsidP="001B5424">
            <w:pPr>
              <w:pStyle w:val="Listenabsatz"/>
              <w:spacing w:line="276" w:lineRule="auto"/>
              <w:ind w:left="0"/>
              <w:rPr>
                <w:sz w:val="18"/>
                <w:szCs w:val="20"/>
                <w:lang w:val="en-US"/>
              </w:rPr>
            </w:pPr>
            <w:r w:rsidRPr="00462B13">
              <w:rPr>
                <w:sz w:val="18"/>
                <w:szCs w:val="20"/>
                <w:lang w:val="en-US"/>
              </w:rPr>
              <w:t>[1.5 – 7.5]</w:t>
            </w:r>
          </w:p>
          <w:p w:rsidR="00395432" w:rsidRPr="00462B13" w:rsidRDefault="00395432" w:rsidP="001B5424">
            <w:pPr>
              <w:pStyle w:val="Listenabsatz"/>
              <w:spacing w:line="276" w:lineRule="auto"/>
              <w:ind w:left="0"/>
              <w:rPr>
                <w:sz w:val="24"/>
                <w:lang w:val="en-US"/>
              </w:rPr>
            </w:pPr>
            <w:r w:rsidRPr="00462B13">
              <w:rPr>
                <w:sz w:val="18"/>
                <w:lang w:val="en-US"/>
              </w:rPr>
              <w:t>&gt; 7.5 G/L (%)</w:t>
            </w:r>
          </w:p>
        </w:tc>
        <w:tc>
          <w:tcPr>
            <w:tcW w:w="1701"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4.7 </w:t>
            </w:r>
          </w:p>
          <w:p w:rsidR="00395432" w:rsidRPr="00462B13" w:rsidRDefault="00395432" w:rsidP="001B5424">
            <w:pPr>
              <w:pStyle w:val="Listenabsatz"/>
              <w:spacing w:line="276" w:lineRule="auto"/>
              <w:ind w:left="0"/>
              <w:jc w:val="center"/>
              <w:rPr>
                <w:sz w:val="18"/>
                <w:lang w:val="en-US"/>
              </w:rPr>
            </w:pPr>
            <w:r w:rsidRPr="00462B13">
              <w:rPr>
                <w:sz w:val="18"/>
                <w:lang w:val="en-US"/>
              </w:rPr>
              <w:t>[0.3 – 16.6]</w:t>
            </w:r>
          </w:p>
          <w:p w:rsidR="00395432" w:rsidRPr="00462B13" w:rsidRDefault="00395432" w:rsidP="001B5424">
            <w:pPr>
              <w:pStyle w:val="Listenabsatz"/>
              <w:spacing w:line="276" w:lineRule="auto"/>
              <w:ind w:left="0"/>
              <w:jc w:val="center"/>
              <w:rPr>
                <w:sz w:val="20"/>
                <w:lang w:val="en-US"/>
              </w:rPr>
            </w:pPr>
            <w:r w:rsidRPr="00462B13">
              <w:rPr>
                <w:sz w:val="18"/>
                <w:lang w:val="en-US"/>
              </w:rPr>
              <w:t>(21.8)</w:t>
            </w:r>
          </w:p>
        </w:tc>
        <w:tc>
          <w:tcPr>
            <w:tcW w:w="1560"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lang w:val="en-US"/>
              </w:rPr>
              <w:t>3.4</w:t>
            </w:r>
            <w:r w:rsidRPr="00462B13">
              <w:rPr>
                <w:sz w:val="20"/>
                <w:szCs w:val="20"/>
                <w:lang w:val="en-US"/>
              </w:rPr>
              <w:t xml:space="preserve"> </w:t>
            </w:r>
          </w:p>
          <w:p w:rsidR="00395432" w:rsidRPr="00462B13" w:rsidRDefault="00395432" w:rsidP="001B5424">
            <w:pPr>
              <w:pStyle w:val="Listenabsatz"/>
              <w:spacing w:line="276" w:lineRule="auto"/>
              <w:ind w:left="0"/>
              <w:jc w:val="center"/>
              <w:rPr>
                <w:sz w:val="18"/>
                <w:szCs w:val="20"/>
                <w:lang w:val="en-US"/>
              </w:rPr>
            </w:pPr>
            <w:r w:rsidRPr="00462B13">
              <w:rPr>
                <w:sz w:val="18"/>
                <w:szCs w:val="20"/>
                <w:lang w:val="en-US"/>
              </w:rPr>
              <w:t>[0.3 – 10. 5]</w:t>
            </w:r>
          </w:p>
          <w:p w:rsidR="00395432" w:rsidRPr="00462B13" w:rsidRDefault="00395432" w:rsidP="001B5424">
            <w:pPr>
              <w:pStyle w:val="Listenabsatz"/>
              <w:spacing w:line="276" w:lineRule="auto"/>
              <w:ind w:left="0"/>
              <w:jc w:val="center"/>
              <w:rPr>
                <w:sz w:val="20"/>
                <w:szCs w:val="20"/>
                <w:lang w:val="en-US"/>
              </w:rPr>
            </w:pPr>
            <w:r w:rsidRPr="00462B13">
              <w:rPr>
                <w:sz w:val="18"/>
                <w:szCs w:val="20"/>
                <w:lang w:val="en-US"/>
              </w:rPr>
              <w:t>(10.0)</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4.9</w:t>
            </w:r>
            <w:r w:rsidRPr="00462B13">
              <w:rPr>
                <w:sz w:val="24"/>
                <w:vertAlign w:val="superscript"/>
                <w:lang w:val="en-US"/>
              </w:rPr>
              <w:t xml:space="preserve"> c</w:t>
            </w:r>
          </w:p>
          <w:p w:rsidR="00395432" w:rsidRPr="00462B13" w:rsidRDefault="00395432" w:rsidP="001B5424">
            <w:pPr>
              <w:pStyle w:val="Listenabsatz"/>
              <w:spacing w:line="276" w:lineRule="auto"/>
              <w:ind w:left="0"/>
              <w:jc w:val="center"/>
              <w:rPr>
                <w:sz w:val="18"/>
                <w:lang w:val="en-US"/>
              </w:rPr>
            </w:pPr>
            <w:r w:rsidRPr="00462B13">
              <w:rPr>
                <w:sz w:val="18"/>
                <w:lang w:val="en-US"/>
              </w:rPr>
              <w:t>[0.8 – 16.6]</w:t>
            </w:r>
          </w:p>
          <w:p w:rsidR="00395432" w:rsidRPr="00462B13" w:rsidRDefault="00395432" w:rsidP="001B5424">
            <w:pPr>
              <w:pStyle w:val="Listenabsatz"/>
              <w:spacing w:line="276" w:lineRule="auto"/>
              <w:ind w:left="0"/>
              <w:jc w:val="center"/>
              <w:rPr>
                <w:lang w:val="en-US"/>
              </w:rPr>
            </w:pPr>
            <w:r w:rsidRPr="00462B13">
              <w:rPr>
                <w:sz w:val="18"/>
                <w:lang w:val="en-US"/>
              </w:rPr>
              <w:t>(21.5)</w:t>
            </w:r>
            <w:r w:rsidRPr="00462B13">
              <w:rPr>
                <w:sz w:val="20"/>
                <w:vertAlign w:val="superscript"/>
                <w:lang w:val="en-US"/>
              </w:rPr>
              <w:t xml:space="preserve"> a</w:t>
            </w:r>
          </w:p>
        </w:tc>
        <w:tc>
          <w:tcPr>
            <w:tcW w:w="1417" w:type="dxa"/>
            <w:vAlign w:val="center"/>
          </w:tcPr>
          <w:p w:rsidR="00395432" w:rsidRPr="00462B13" w:rsidRDefault="00395432" w:rsidP="001B5424">
            <w:pPr>
              <w:pStyle w:val="Listenabsatz"/>
              <w:spacing w:line="276" w:lineRule="auto"/>
              <w:ind w:left="0"/>
              <w:jc w:val="center"/>
              <w:rPr>
                <w:lang w:val="en-US"/>
              </w:rPr>
            </w:pPr>
            <w:r w:rsidRPr="00462B13">
              <w:rPr>
                <w:sz w:val="20"/>
                <w:lang w:val="en-US"/>
              </w:rPr>
              <w:t>4</w:t>
            </w:r>
            <w:r w:rsidRPr="00462B13">
              <w:rPr>
                <w:lang w:val="en-US"/>
              </w:rPr>
              <w:t xml:space="preserve"> </w:t>
            </w:r>
          </w:p>
          <w:p w:rsidR="00395432" w:rsidRPr="00462B13" w:rsidRDefault="00395432" w:rsidP="001B5424">
            <w:pPr>
              <w:pStyle w:val="Listenabsatz"/>
              <w:spacing w:line="276" w:lineRule="auto"/>
              <w:ind w:left="0"/>
              <w:jc w:val="center"/>
              <w:rPr>
                <w:sz w:val="18"/>
                <w:lang w:val="en-US"/>
              </w:rPr>
            </w:pPr>
            <w:r w:rsidRPr="00462B13">
              <w:rPr>
                <w:sz w:val="18"/>
                <w:lang w:val="en-US"/>
              </w:rPr>
              <w:t>[1.7 – 7.9]</w:t>
            </w:r>
          </w:p>
          <w:p w:rsidR="00395432" w:rsidRPr="00462B13" w:rsidRDefault="00395432" w:rsidP="001B5424">
            <w:pPr>
              <w:pStyle w:val="Listenabsatz"/>
              <w:spacing w:line="276" w:lineRule="auto"/>
              <w:ind w:left="0"/>
              <w:jc w:val="center"/>
              <w:rPr>
                <w:lang w:val="en-US"/>
              </w:rPr>
            </w:pPr>
            <w:r w:rsidRPr="00462B13">
              <w:rPr>
                <w:sz w:val="18"/>
                <w:lang w:val="en-US"/>
              </w:rPr>
              <w:t>(5.0)</w:t>
            </w:r>
          </w:p>
        </w:tc>
        <w:tc>
          <w:tcPr>
            <w:tcW w:w="1418"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lang w:val="en-US"/>
              </w:rPr>
              <w:t>8.</w:t>
            </w:r>
            <w:r w:rsidRPr="00462B13">
              <w:rPr>
                <w:sz w:val="18"/>
                <w:szCs w:val="18"/>
                <w:lang w:val="en-US"/>
              </w:rPr>
              <w:t>4</w:t>
            </w:r>
            <w:r w:rsidRPr="00462B13">
              <w:rPr>
                <w:sz w:val="24"/>
                <w:vertAlign w:val="superscript"/>
                <w:lang w:val="en-US"/>
              </w:rPr>
              <w:t xml:space="preserve"> c</w:t>
            </w:r>
            <w:r w:rsidRPr="00462B13">
              <w:rPr>
                <w:sz w:val="18"/>
                <w:szCs w:val="18"/>
                <w:vertAlign w:val="superscript"/>
                <w:lang w:val="en-US"/>
              </w:rPr>
              <w:t>,</w:t>
            </w:r>
            <w:r w:rsidRPr="00462B13">
              <w:rPr>
                <w:sz w:val="24"/>
                <w:vertAlign w:val="superscript"/>
                <w:lang w:val="en-US"/>
              </w:rPr>
              <w:t xml:space="preserve"> f</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[0.8 – 16.1]</w:t>
            </w:r>
          </w:p>
          <w:p w:rsidR="00395432" w:rsidRPr="00462B13" w:rsidRDefault="00395432" w:rsidP="001B5424">
            <w:pPr>
              <w:pStyle w:val="Listenabsatz"/>
              <w:spacing w:line="276" w:lineRule="auto"/>
              <w:ind w:left="0"/>
              <w:jc w:val="center"/>
              <w:rPr>
                <w:lang w:val="en-US"/>
              </w:rPr>
            </w:pPr>
            <w:r w:rsidRPr="00462B13">
              <w:rPr>
                <w:sz w:val="18"/>
                <w:szCs w:val="18"/>
                <w:lang w:val="en-US"/>
              </w:rPr>
              <w:t>(60.0)</w:t>
            </w:r>
            <w:r w:rsidRPr="00462B13">
              <w:rPr>
                <w:sz w:val="24"/>
                <w:vertAlign w:val="superscript"/>
                <w:lang w:val="en-US"/>
              </w:rPr>
              <w:t xml:space="preserve"> c</w:t>
            </w:r>
            <w:r w:rsidRPr="00462B13">
              <w:rPr>
                <w:sz w:val="18"/>
                <w:szCs w:val="18"/>
                <w:vertAlign w:val="superscript"/>
                <w:lang w:val="en-US"/>
              </w:rPr>
              <w:t>,</w:t>
            </w:r>
            <w:r w:rsidRPr="00462B13">
              <w:rPr>
                <w:sz w:val="24"/>
                <w:vertAlign w:val="superscript"/>
                <w:lang w:val="en-US"/>
              </w:rPr>
              <w:t xml:space="preserve"> f</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lang w:val="en-US"/>
              </w:rPr>
            </w:pPr>
            <w:r w:rsidRPr="00462B13">
              <w:rPr>
                <w:sz w:val="20"/>
                <w:lang w:val="en-US"/>
              </w:rPr>
              <w:t xml:space="preserve">tot-Ly,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p w:rsidR="00395432" w:rsidRPr="00462B13" w:rsidRDefault="00395432" w:rsidP="001B5424">
            <w:pPr>
              <w:pStyle w:val="Listenabsatz"/>
              <w:spacing w:line="276" w:lineRule="auto"/>
              <w:ind w:left="0"/>
              <w:rPr>
                <w:sz w:val="18"/>
                <w:lang w:val="en-US"/>
              </w:rPr>
            </w:pPr>
            <w:r w:rsidRPr="00462B13">
              <w:rPr>
                <w:sz w:val="18"/>
                <w:lang w:val="en-US"/>
              </w:rPr>
              <w:t>[1,00 – 4,00]</w:t>
            </w:r>
          </w:p>
          <w:p w:rsidR="00395432" w:rsidRPr="00462B13" w:rsidRDefault="00395432" w:rsidP="001B5424">
            <w:pPr>
              <w:pStyle w:val="Listenabsatz"/>
              <w:spacing w:line="276" w:lineRule="auto"/>
              <w:ind w:left="0"/>
              <w:rPr>
                <w:sz w:val="24"/>
                <w:lang w:val="en-US"/>
              </w:rPr>
            </w:pPr>
            <w:r w:rsidRPr="00462B13">
              <w:rPr>
                <w:sz w:val="18"/>
                <w:lang w:val="en-US"/>
              </w:rPr>
              <w:t>&lt; 1,00 G/L (%)</w:t>
            </w:r>
          </w:p>
        </w:tc>
        <w:tc>
          <w:tcPr>
            <w:tcW w:w="1701"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0.96 </w:t>
            </w:r>
          </w:p>
          <w:p w:rsidR="00395432" w:rsidRPr="00462B13" w:rsidRDefault="00395432" w:rsidP="001B5424">
            <w:pPr>
              <w:pStyle w:val="Listenabsatz"/>
              <w:spacing w:line="276" w:lineRule="auto"/>
              <w:ind w:left="0"/>
              <w:jc w:val="center"/>
              <w:rPr>
                <w:sz w:val="18"/>
                <w:lang w:val="en-US"/>
              </w:rPr>
            </w:pPr>
            <w:r w:rsidRPr="00462B13">
              <w:rPr>
                <w:sz w:val="18"/>
                <w:lang w:val="en-US"/>
              </w:rPr>
              <w:t>[0.07 -12.10]</w:t>
            </w:r>
          </w:p>
          <w:p w:rsidR="00395432" w:rsidRPr="00462B13" w:rsidRDefault="00395432" w:rsidP="001B5424">
            <w:pPr>
              <w:pStyle w:val="Listenabsatz"/>
              <w:spacing w:line="276" w:lineRule="auto"/>
              <w:ind w:left="0"/>
              <w:jc w:val="center"/>
              <w:rPr>
                <w:lang w:val="en-US"/>
              </w:rPr>
            </w:pPr>
            <w:r w:rsidRPr="00462B13">
              <w:rPr>
                <w:sz w:val="18"/>
                <w:lang w:val="en-US"/>
              </w:rPr>
              <w:t>(51.3)</w:t>
            </w:r>
          </w:p>
        </w:tc>
        <w:tc>
          <w:tcPr>
            <w:tcW w:w="1560"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1.10</w:t>
            </w:r>
          </w:p>
          <w:p w:rsidR="00395432" w:rsidRPr="00462B13" w:rsidRDefault="00395432" w:rsidP="001B5424">
            <w:pPr>
              <w:pStyle w:val="Listenabsatz"/>
              <w:spacing w:line="276" w:lineRule="auto"/>
              <w:ind w:left="0"/>
              <w:jc w:val="center"/>
              <w:rPr>
                <w:sz w:val="20"/>
                <w:lang w:val="en-US"/>
              </w:rPr>
            </w:pPr>
            <w:r w:rsidRPr="00462B13">
              <w:rPr>
                <w:sz w:val="20"/>
                <w:lang w:val="en-US"/>
              </w:rPr>
              <w:t>[0.07 – 3.14]</w:t>
            </w:r>
          </w:p>
          <w:p w:rsidR="00395432" w:rsidRPr="00462B13" w:rsidRDefault="00395432" w:rsidP="001B5424">
            <w:pPr>
              <w:pStyle w:val="Listenabsatz"/>
              <w:spacing w:line="276" w:lineRule="auto"/>
              <w:ind w:left="0"/>
              <w:jc w:val="center"/>
              <w:rPr>
                <w:lang w:val="en-US"/>
              </w:rPr>
            </w:pPr>
            <w:r w:rsidRPr="00462B13">
              <w:rPr>
                <w:sz w:val="20"/>
                <w:lang w:val="en-US"/>
              </w:rPr>
              <w:t>(37.1)</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0.96</w:t>
            </w:r>
          </w:p>
          <w:p w:rsidR="00395432" w:rsidRPr="00462B13" w:rsidRDefault="00395432" w:rsidP="001B5424">
            <w:pPr>
              <w:pStyle w:val="Listenabsatz"/>
              <w:spacing w:line="276" w:lineRule="auto"/>
              <w:ind w:left="0"/>
              <w:jc w:val="center"/>
              <w:rPr>
                <w:sz w:val="18"/>
                <w:lang w:val="en-US"/>
              </w:rPr>
            </w:pPr>
            <w:r w:rsidRPr="00462B13">
              <w:rPr>
                <w:sz w:val="18"/>
                <w:lang w:val="en-US"/>
              </w:rPr>
              <w:t>[0.07 – 12.10]</w:t>
            </w:r>
          </w:p>
          <w:p w:rsidR="00395432" w:rsidRPr="00462B13" w:rsidRDefault="00395432" w:rsidP="001B5424">
            <w:pPr>
              <w:pStyle w:val="Listenabsatz"/>
              <w:spacing w:line="276" w:lineRule="auto"/>
              <w:ind w:left="0"/>
              <w:jc w:val="center"/>
              <w:rPr>
                <w:lang w:val="en-US"/>
              </w:rPr>
            </w:pPr>
            <w:r w:rsidRPr="00462B13">
              <w:rPr>
                <w:sz w:val="18"/>
                <w:lang w:val="en-US"/>
              </w:rPr>
              <w:t>(50.9)</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0.81</w:t>
            </w:r>
            <w:r w:rsidRPr="00462B13">
              <w:rPr>
                <w:sz w:val="20"/>
                <w:vertAlign w:val="superscript"/>
                <w:lang w:val="en-US"/>
              </w:rPr>
              <w:t>a</w:t>
            </w:r>
          </w:p>
          <w:p w:rsidR="00395432" w:rsidRPr="00462B13" w:rsidRDefault="00395432" w:rsidP="001B5424">
            <w:pPr>
              <w:pStyle w:val="Listenabsatz"/>
              <w:spacing w:line="276" w:lineRule="auto"/>
              <w:ind w:left="0"/>
              <w:jc w:val="center"/>
              <w:rPr>
                <w:sz w:val="18"/>
                <w:lang w:val="en-US"/>
              </w:rPr>
            </w:pPr>
            <w:r w:rsidRPr="00462B13">
              <w:rPr>
                <w:sz w:val="18"/>
                <w:lang w:val="en-US"/>
              </w:rPr>
              <w:t>[0.33 – 1.58]</w:t>
            </w:r>
          </w:p>
          <w:p w:rsidR="00395432" w:rsidRPr="00462B13" w:rsidRDefault="00395432" w:rsidP="001B5424">
            <w:pPr>
              <w:pStyle w:val="Listenabsatz"/>
              <w:spacing w:line="276" w:lineRule="auto"/>
              <w:ind w:left="0"/>
              <w:jc w:val="center"/>
              <w:rPr>
                <w:lang w:val="en-US"/>
              </w:rPr>
            </w:pPr>
            <w:r w:rsidRPr="00462B13">
              <w:rPr>
                <w:sz w:val="18"/>
                <w:lang w:val="en-US"/>
              </w:rPr>
              <w:t>(70.0)</w:t>
            </w:r>
            <w:r w:rsidRPr="00462B13">
              <w:rPr>
                <w:sz w:val="20"/>
                <w:vertAlign w:val="superscript"/>
                <w:lang w:val="en-US"/>
              </w:rPr>
              <w:t xml:space="preserve"> a</w:t>
            </w:r>
          </w:p>
        </w:tc>
        <w:tc>
          <w:tcPr>
            <w:tcW w:w="1418"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0.76</w:t>
            </w:r>
            <w:r w:rsidRPr="00462B13">
              <w:rPr>
                <w:sz w:val="24"/>
                <w:vertAlign w:val="superscript"/>
                <w:lang w:val="en-US"/>
              </w:rPr>
              <w:t xml:space="preserve"> c</w:t>
            </w:r>
            <w:r w:rsidRPr="00462B13">
              <w:rPr>
                <w:sz w:val="20"/>
                <w:vertAlign w:val="superscript"/>
                <w:lang w:val="en-US"/>
              </w:rPr>
              <w:t>,</w:t>
            </w:r>
            <w:r w:rsidRPr="00462B13">
              <w:rPr>
                <w:sz w:val="24"/>
                <w:vertAlign w:val="superscript"/>
                <w:lang w:val="en-US"/>
              </w:rPr>
              <w:t xml:space="preserve"> e</w:t>
            </w:r>
          </w:p>
          <w:p w:rsidR="00395432" w:rsidRPr="00462B13" w:rsidRDefault="00395432" w:rsidP="001B5424">
            <w:pPr>
              <w:pStyle w:val="Listenabsatz"/>
              <w:spacing w:line="276" w:lineRule="auto"/>
              <w:ind w:left="0"/>
              <w:jc w:val="center"/>
              <w:rPr>
                <w:sz w:val="18"/>
                <w:lang w:val="en-US"/>
              </w:rPr>
            </w:pPr>
            <w:r w:rsidRPr="00462B13">
              <w:rPr>
                <w:sz w:val="18"/>
                <w:lang w:val="en-US"/>
              </w:rPr>
              <w:t>[0.20 – 4.06]</w:t>
            </w:r>
          </w:p>
          <w:p w:rsidR="00395432" w:rsidRPr="00462B13" w:rsidRDefault="00395432" w:rsidP="001B5424">
            <w:pPr>
              <w:pStyle w:val="Listenabsatz"/>
              <w:spacing w:line="276" w:lineRule="auto"/>
              <w:ind w:left="0"/>
              <w:jc w:val="center"/>
              <w:rPr>
                <w:lang w:val="en-US"/>
              </w:rPr>
            </w:pPr>
            <w:r w:rsidRPr="00462B13">
              <w:rPr>
                <w:sz w:val="18"/>
                <w:lang w:val="en-US"/>
              </w:rPr>
              <w:t>(65.7)</w:t>
            </w:r>
            <w:r w:rsidRPr="00462B13">
              <w:rPr>
                <w:sz w:val="20"/>
                <w:vertAlign w:val="superscript"/>
                <w:lang w:val="en-US"/>
              </w:rPr>
              <w:t xml:space="preserve"> a</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lang w:val="en-US"/>
              </w:rPr>
            </w:pPr>
            <w:r w:rsidRPr="00462B13">
              <w:rPr>
                <w:lang w:val="en-US"/>
              </w:rPr>
              <w:t>B</w:t>
            </w:r>
            <w:r w:rsidRPr="00462B13">
              <w:rPr>
                <w:sz w:val="20"/>
                <w:lang w:val="en-US"/>
              </w:rPr>
              <w:t>-Ly,</w:t>
            </w:r>
            <w:r>
              <w:rPr>
                <w:bCs/>
                <w:iCs/>
                <w:sz w:val="20"/>
                <w:szCs w:val="20"/>
                <w:lang w:val="en-US"/>
              </w:rPr>
              <w:t xml:space="preserve">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p w:rsidR="00395432" w:rsidRPr="00462B13" w:rsidRDefault="00395432" w:rsidP="001B5424">
            <w:pPr>
              <w:pStyle w:val="Listenabsatz"/>
              <w:spacing w:line="276" w:lineRule="auto"/>
              <w:ind w:left="0"/>
              <w:rPr>
                <w:sz w:val="20"/>
                <w:lang w:val="en-US"/>
              </w:rPr>
            </w:pPr>
            <w:r w:rsidRPr="00462B13">
              <w:rPr>
                <w:sz w:val="18"/>
                <w:lang w:val="en-US"/>
              </w:rPr>
              <w:t>[0.10 -0.40]</w:t>
            </w:r>
          </w:p>
          <w:p w:rsidR="00395432" w:rsidRPr="00462B13" w:rsidRDefault="00395432" w:rsidP="001B5424">
            <w:pPr>
              <w:pStyle w:val="Listenabsatz"/>
              <w:spacing w:line="276" w:lineRule="auto"/>
              <w:ind w:left="0"/>
              <w:rPr>
                <w:sz w:val="24"/>
                <w:lang w:val="en-US"/>
              </w:rPr>
            </w:pPr>
            <w:r w:rsidRPr="00462B13">
              <w:rPr>
                <w:sz w:val="18"/>
                <w:lang w:val="en-US"/>
              </w:rPr>
              <w:t>&lt; 0.10 G/L (%)</w:t>
            </w:r>
          </w:p>
        </w:tc>
        <w:tc>
          <w:tcPr>
            <w:tcW w:w="1701"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0.10</w:t>
            </w:r>
          </w:p>
          <w:p w:rsidR="00395432" w:rsidRPr="00462B13" w:rsidRDefault="00395432" w:rsidP="001B5424">
            <w:pPr>
              <w:pStyle w:val="Listenabsatz"/>
              <w:spacing w:line="276" w:lineRule="auto"/>
              <w:ind w:left="0"/>
              <w:jc w:val="center"/>
              <w:rPr>
                <w:sz w:val="18"/>
                <w:lang w:val="en-US"/>
              </w:rPr>
            </w:pPr>
            <w:r w:rsidRPr="00462B13">
              <w:rPr>
                <w:sz w:val="18"/>
                <w:lang w:val="en-US"/>
              </w:rPr>
              <w:t>[&lt; 0.01 – 11.2]</w:t>
            </w:r>
          </w:p>
          <w:p w:rsidR="00395432" w:rsidRPr="00462B13" w:rsidRDefault="00395432" w:rsidP="001B5424">
            <w:pPr>
              <w:pStyle w:val="Listenabsatz"/>
              <w:spacing w:line="276" w:lineRule="auto"/>
              <w:ind w:left="0"/>
              <w:jc w:val="center"/>
              <w:rPr>
                <w:lang w:val="en-US"/>
              </w:rPr>
            </w:pPr>
            <w:r w:rsidRPr="00462B13">
              <w:rPr>
                <w:sz w:val="18"/>
                <w:lang w:val="en-US"/>
              </w:rPr>
              <w:t>(51.3)</w:t>
            </w:r>
          </w:p>
        </w:tc>
        <w:tc>
          <w:tcPr>
            <w:tcW w:w="1560"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0.10</w:t>
            </w:r>
          </w:p>
          <w:p w:rsidR="00395432" w:rsidRPr="00462B13" w:rsidRDefault="00395432" w:rsidP="001B5424">
            <w:pPr>
              <w:pStyle w:val="Listenabsatz"/>
              <w:spacing w:line="276" w:lineRule="auto"/>
              <w:ind w:left="0"/>
              <w:jc w:val="center"/>
              <w:rPr>
                <w:sz w:val="18"/>
                <w:lang w:val="en-US"/>
              </w:rPr>
            </w:pPr>
            <w:r w:rsidRPr="00462B13">
              <w:rPr>
                <w:sz w:val="18"/>
                <w:lang w:val="en-US"/>
              </w:rPr>
              <w:t>[0.02 – 0.41]</w:t>
            </w:r>
          </w:p>
          <w:p w:rsidR="00395432" w:rsidRPr="00462B13" w:rsidRDefault="00395432" w:rsidP="001B5424">
            <w:pPr>
              <w:pStyle w:val="Listenabsatz"/>
              <w:spacing w:line="276" w:lineRule="auto"/>
              <w:ind w:left="0"/>
              <w:jc w:val="center"/>
              <w:rPr>
                <w:lang w:val="en-US"/>
              </w:rPr>
            </w:pPr>
            <w:r w:rsidRPr="00462B13">
              <w:rPr>
                <w:sz w:val="18"/>
                <w:lang w:val="en-US"/>
              </w:rPr>
              <w:t>(51.4)</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0.09</w:t>
            </w:r>
          </w:p>
          <w:p w:rsidR="00395432" w:rsidRPr="00462B13" w:rsidRDefault="00395432" w:rsidP="001B5424">
            <w:pPr>
              <w:pStyle w:val="Listenabsatz"/>
              <w:spacing w:line="276" w:lineRule="auto"/>
              <w:ind w:left="0"/>
              <w:jc w:val="center"/>
              <w:rPr>
                <w:sz w:val="18"/>
                <w:lang w:val="en-US"/>
              </w:rPr>
            </w:pPr>
            <w:r w:rsidRPr="00462B13">
              <w:rPr>
                <w:sz w:val="18"/>
                <w:lang w:val="en-US"/>
              </w:rPr>
              <w:t>[&lt; 0.01 – 11.2]</w:t>
            </w:r>
          </w:p>
          <w:p w:rsidR="00395432" w:rsidRPr="00462B13" w:rsidRDefault="00395432" w:rsidP="001B5424">
            <w:pPr>
              <w:pStyle w:val="Listenabsatz"/>
              <w:spacing w:line="276" w:lineRule="auto"/>
              <w:ind w:left="0"/>
              <w:jc w:val="center"/>
              <w:rPr>
                <w:sz w:val="18"/>
                <w:lang w:val="en-US"/>
              </w:rPr>
            </w:pPr>
            <w:r w:rsidRPr="00462B13">
              <w:rPr>
                <w:sz w:val="18"/>
                <w:lang w:val="en-US"/>
              </w:rPr>
              <w:t>(50.6)</w:t>
            </w:r>
          </w:p>
        </w:tc>
        <w:tc>
          <w:tcPr>
            <w:tcW w:w="1417"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0.11</w:t>
            </w:r>
          </w:p>
          <w:p w:rsidR="00395432" w:rsidRPr="00462B13" w:rsidRDefault="00395432" w:rsidP="001B5424">
            <w:pPr>
              <w:pStyle w:val="Listenabsatz"/>
              <w:spacing w:line="276" w:lineRule="auto"/>
              <w:ind w:left="0"/>
              <w:jc w:val="center"/>
              <w:rPr>
                <w:sz w:val="18"/>
                <w:lang w:val="en-US"/>
              </w:rPr>
            </w:pPr>
            <w:r w:rsidRPr="00462B13">
              <w:rPr>
                <w:sz w:val="18"/>
                <w:lang w:val="en-US"/>
              </w:rPr>
              <w:t>[0.01 – 0.28]</w:t>
            </w:r>
          </w:p>
          <w:p w:rsidR="00395432" w:rsidRPr="00462B13" w:rsidRDefault="00395432" w:rsidP="001B5424">
            <w:pPr>
              <w:pStyle w:val="Listenabsatz"/>
              <w:spacing w:line="276" w:lineRule="auto"/>
              <w:ind w:left="0"/>
              <w:jc w:val="center"/>
              <w:rPr>
                <w:lang w:val="en-US"/>
              </w:rPr>
            </w:pPr>
            <w:r w:rsidRPr="00462B13">
              <w:rPr>
                <w:sz w:val="18"/>
                <w:lang w:val="en-US"/>
              </w:rPr>
              <w:t>(30.0)</w:t>
            </w:r>
          </w:p>
        </w:tc>
        <w:tc>
          <w:tcPr>
            <w:tcW w:w="1418"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0.13</w:t>
            </w:r>
          </w:p>
          <w:p w:rsidR="00395432" w:rsidRPr="00462B13" w:rsidRDefault="00395432" w:rsidP="001B5424">
            <w:pPr>
              <w:pStyle w:val="Listenabsatz"/>
              <w:spacing w:line="276" w:lineRule="auto"/>
              <w:ind w:left="0"/>
              <w:jc w:val="center"/>
              <w:rPr>
                <w:sz w:val="18"/>
                <w:lang w:val="en-US"/>
              </w:rPr>
            </w:pPr>
            <w:r w:rsidRPr="00462B13">
              <w:rPr>
                <w:sz w:val="18"/>
                <w:lang w:val="en-US"/>
              </w:rPr>
              <w:t>[0.02 – 0.88]</w:t>
            </w:r>
          </w:p>
          <w:p w:rsidR="00395432" w:rsidRPr="00462B13" w:rsidRDefault="00395432" w:rsidP="001B5424">
            <w:pPr>
              <w:pStyle w:val="Listenabsatz"/>
              <w:spacing w:line="276" w:lineRule="auto"/>
              <w:ind w:left="0"/>
              <w:jc w:val="center"/>
              <w:rPr>
                <w:lang w:val="en-US"/>
              </w:rPr>
            </w:pPr>
            <w:r w:rsidRPr="00462B13">
              <w:rPr>
                <w:sz w:val="18"/>
                <w:lang w:val="en-US"/>
              </w:rPr>
              <w:t>(37.1)</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rPr>
            </w:pPr>
            <w:r w:rsidRPr="00462B13">
              <w:rPr>
                <w:sz w:val="20"/>
              </w:rPr>
              <w:t>T-Ly,</w:t>
            </w:r>
            <w:r>
              <w:rPr>
                <w:bCs/>
                <w:iCs/>
                <w:sz w:val="20"/>
                <w:szCs w:val="20"/>
                <w:lang w:val="en-US"/>
              </w:rPr>
              <w:t xml:space="preserve">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rPr>
              <w:t>/L</w:t>
            </w:r>
          </w:p>
          <w:p w:rsidR="00395432" w:rsidRPr="00462B13" w:rsidRDefault="00395432" w:rsidP="001B5424">
            <w:pPr>
              <w:pStyle w:val="Listenabsatz"/>
              <w:spacing w:line="276" w:lineRule="auto"/>
              <w:ind w:left="0"/>
              <w:rPr>
                <w:sz w:val="18"/>
                <w:szCs w:val="20"/>
              </w:rPr>
            </w:pPr>
            <w:r w:rsidRPr="00462B13">
              <w:rPr>
                <w:sz w:val="18"/>
                <w:szCs w:val="20"/>
              </w:rPr>
              <w:t>[0.90 – 2.35]</w:t>
            </w:r>
          </w:p>
          <w:p w:rsidR="00395432" w:rsidRPr="00462B13" w:rsidRDefault="00395432" w:rsidP="001B5424">
            <w:pPr>
              <w:pStyle w:val="Listenabsatz"/>
              <w:spacing w:line="276" w:lineRule="auto"/>
              <w:ind w:left="0"/>
              <w:rPr>
                <w:sz w:val="24"/>
              </w:rPr>
            </w:pPr>
            <w:r w:rsidRPr="00462B13">
              <w:rPr>
                <w:sz w:val="18"/>
              </w:rPr>
              <w:t>&lt; 0.90 G/L (%)</w:t>
            </w:r>
          </w:p>
        </w:tc>
        <w:tc>
          <w:tcPr>
            <w:tcW w:w="1701"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0.83</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[0.17 – 3.19]</w:t>
            </w:r>
          </w:p>
          <w:p w:rsidR="00395432" w:rsidRPr="00462B13" w:rsidRDefault="00395432" w:rsidP="001B5424">
            <w:pPr>
              <w:pStyle w:val="Listenabsatz"/>
              <w:spacing w:line="276" w:lineRule="auto"/>
              <w:ind w:left="0"/>
              <w:jc w:val="center"/>
              <w:rPr>
                <w:lang w:val="en-US"/>
              </w:rPr>
            </w:pPr>
            <w:r w:rsidRPr="00462B13">
              <w:rPr>
                <w:sz w:val="18"/>
                <w:szCs w:val="18"/>
                <w:lang w:val="en-US"/>
              </w:rPr>
              <w:t>(54.1)</w:t>
            </w:r>
          </w:p>
        </w:tc>
        <w:tc>
          <w:tcPr>
            <w:tcW w:w="1560"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1.02</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[0.19 – 3.04]</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(34.3)</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0.83</w:t>
            </w:r>
            <w:r w:rsidRPr="00462B13">
              <w:rPr>
                <w:sz w:val="24"/>
                <w:vertAlign w:val="superscript"/>
                <w:lang w:val="en-US"/>
              </w:rPr>
              <w:t xml:space="preserve"> b</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[0.2 – 2.69]</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(54.7)</w:t>
            </w:r>
            <w:r w:rsidRPr="00462B13">
              <w:rPr>
                <w:sz w:val="24"/>
                <w:vertAlign w:val="superscript"/>
                <w:lang w:val="en-US"/>
              </w:rPr>
              <w:t xml:space="preserve"> b</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0.66</w:t>
            </w:r>
            <w:r w:rsidRPr="00462B13">
              <w:rPr>
                <w:sz w:val="24"/>
                <w:vertAlign w:val="superscript"/>
                <w:lang w:val="en-US"/>
              </w:rPr>
              <w:t xml:space="preserve"> b</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[0,.28 – 1.38]</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(75.0)</w:t>
            </w:r>
            <w:r w:rsidRPr="00462B13">
              <w:rPr>
                <w:sz w:val="24"/>
                <w:vertAlign w:val="superscript"/>
                <w:lang w:val="en-US"/>
              </w:rPr>
              <w:t xml:space="preserve"> b</w:t>
            </w:r>
          </w:p>
        </w:tc>
        <w:tc>
          <w:tcPr>
            <w:tcW w:w="1418"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0.56</w:t>
            </w:r>
            <w:r w:rsidRPr="00462B13">
              <w:rPr>
                <w:sz w:val="24"/>
                <w:vertAlign w:val="superscript"/>
                <w:lang w:val="en-US"/>
              </w:rPr>
              <w:t xml:space="preserve"> c</w:t>
            </w:r>
            <w:r w:rsidRPr="00462B13">
              <w:rPr>
                <w:sz w:val="20"/>
                <w:szCs w:val="20"/>
                <w:vertAlign w:val="superscript"/>
                <w:lang w:val="en-US"/>
              </w:rPr>
              <w:t>,</w:t>
            </w:r>
            <w:r w:rsidRPr="00462B13">
              <w:rPr>
                <w:sz w:val="24"/>
                <w:vertAlign w:val="superscript"/>
                <w:lang w:val="en-US"/>
              </w:rPr>
              <w:t xml:space="preserve"> f</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[0.17 – 3.19]</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(77.1)</w:t>
            </w:r>
            <w:r w:rsidRPr="00462B13">
              <w:rPr>
                <w:sz w:val="24"/>
                <w:vertAlign w:val="superscript"/>
                <w:lang w:val="en-US"/>
              </w:rPr>
              <w:t xml:space="preserve"> c </w:t>
            </w:r>
            <w:r w:rsidRPr="00462B13">
              <w:rPr>
                <w:sz w:val="18"/>
                <w:szCs w:val="18"/>
                <w:vertAlign w:val="superscript"/>
                <w:lang w:val="en-US"/>
              </w:rPr>
              <w:t>,</w:t>
            </w:r>
            <w:r w:rsidRPr="00462B13">
              <w:rPr>
                <w:sz w:val="18"/>
                <w:szCs w:val="18"/>
                <w:lang w:val="en-US"/>
              </w:rPr>
              <w:t>°</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rPr>
            </w:pPr>
            <w:r w:rsidRPr="00462B13">
              <w:rPr>
                <w:sz w:val="20"/>
              </w:rPr>
              <w:t>ncT-Ly,</w:t>
            </w:r>
            <w:r>
              <w:rPr>
                <w:bCs/>
                <w:iCs/>
                <w:sz w:val="20"/>
                <w:szCs w:val="20"/>
                <w:lang w:val="en-US"/>
              </w:rPr>
              <w:t xml:space="preserve">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rPr>
              <w:t>/L</w:t>
            </w:r>
          </w:p>
          <w:p w:rsidR="00395432" w:rsidRPr="00462B13" w:rsidRDefault="00395432" w:rsidP="001B5424">
            <w:pPr>
              <w:pStyle w:val="Listenabsatz"/>
              <w:spacing w:line="276" w:lineRule="auto"/>
              <w:ind w:left="0"/>
              <w:rPr>
                <w:sz w:val="18"/>
                <w:szCs w:val="20"/>
              </w:rPr>
            </w:pPr>
            <w:r w:rsidRPr="00462B13">
              <w:rPr>
                <w:sz w:val="18"/>
                <w:szCs w:val="20"/>
              </w:rPr>
              <w:t>[0.78 – 1.96]</w:t>
            </w:r>
          </w:p>
          <w:p w:rsidR="00395432" w:rsidRPr="00462B13" w:rsidRDefault="00395432" w:rsidP="001B5424">
            <w:pPr>
              <w:pStyle w:val="Listenabsatz"/>
              <w:spacing w:line="276" w:lineRule="auto"/>
              <w:ind w:left="0"/>
              <w:rPr>
                <w:sz w:val="24"/>
              </w:rPr>
            </w:pPr>
            <w:r w:rsidRPr="00462B13">
              <w:rPr>
                <w:sz w:val="18"/>
              </w:rPr>
              <w:t>&lt; 0.78 G/L (%)</w:t>
            </w:r>
          </w:p>
        </w:tc>
        <w:tc>
          <w:tcPr>
            <w:tcW w:w="1701"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0.65</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 – 2.99]</w:t>
            </w:r>
          </w:p>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(63.6)</w:t>
            </w:r>
          </w:p>
        </w:tc>
        <w:tc>
          <w:tcPr>
            <w:tcW w:w="1560"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0.88</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[0.12 – 2.81]</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(37.1)</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0.64</w:t>
            </w:r>
            <w:r w:rsidRPr="00462B13">
              <w:rPr>
                <w:sz w:val="24"/>
                <w:vertAlign w:val="superscript"/>
                <w:lang w:val="en-US"/>
              </w:rPr>
              <w:t xml:space="preserve"> c</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[0.11 – 2.24]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(64.9)</w:t>
            </w:r>
            <w:r w:rsidRPr="00462B13">
              <w:rPr>
                <w:sz w:val="24"/>
                <w:vertAlign w:val="superscript"/>
                <w:lang w:val="en-US"/>
              </w:rPr>
              <w:t xml:space="preserve"> c</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0.53</w:t>
            </w:r>
            <w:r w:rsidRPr="00462B13">
              <w:rPr>
                <w:sz w:val="24"/>
                <w:vertAlign w:val="superscript"/>
                <w:lang w:val="en-US"/>
              </w:rPr>
              <w:t xml:space="preserve"> c</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[0.16 – 1.03]</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(80.0)</w:t>
            </w:r>
            <w:r w:rsidRPr="00462B13">
              <w:rPr>
                <w:sz w:val="24"/>
                <w:vertAlign w:val="superscript"/>
                <w:lang w:val="en-US"/>
              </w:rPr>
              <w:t xml:space="preserve"> b</w:t>
            </w:r>
          </w:p>
        </w:tc>
        <w:tc>
          <w:tcPr>
            <w:tcW w:w="1418"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0.50</w:t>
            </w:r>
            <w:r w:rsidRPr="00462B13">
              <w:rPr>
                <w:sz w:val="24"/>
                <w:vertAlign w:val="superscript"/>
                <w:lang w:val="en-US"/>
              </w:rPr>
              <w:t xml:space="preserve"> c</w:t>
            </w:r>
            <w:r w:rsidRPr="00462B13">
              <w:rPr>
                <w:sz w:val="20"/>
                <w:szCs w:val="20"/>
                <w:vertAlign w:val="superscript"/>
                <w:lang w:val="en-US"/>
              </w:rPr>
              <w:t>,</w:t>
            </w:r>
            <w:r w:rsidRPr="00462B13">
              <w:rPr>
                <w:sz w:val="24"/>
                <w:vertAlign w:val="superscript"/>
                <w:lang w:val="en-US"/>
              </w:rPr>
              <w:t xml:space="preserve"> e</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 – 2.99]</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(88.6)</w:t>
            </w:r>
            <w:r w:rsidRPr="00462B13">
              <w:rPr>
                <w:sz w:val="24"/>
                <w:vertAlign w:val="superscript"/>
                <w:lang w:val="en-US"/>
              </w:rPr>
              <w:t xml:space="preserve"> c</w:t>
            </w:r>
            <w:r w:rsidRPr="00462B13">
              <w:rPr>
                <w:sz w:val="18"/>
                <w:szCs w:val="18"/>
                <w:vertAlign w:val="superscript"/>
                <w:lang w:val="en-US"/>
              </w:rPr>
              <w:t>,</w:t>
            </w:r>
            <w:r w:rsidRPr="00462B13">
              <w:rPr>
                <w:sz w:val="24"/>
                <w:vertAlign w:val="superscript"/>
                <w:lang w:val="en-US"/>
              </w:rPr>
              <w:t xml:space="preserve"> e</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18"/>
                <w:szCs w:val="20"/>
                <w:lang w:val="en-US"/>
              </w:rPr>
            </w:pPr>
            <w:r w:rsidRPr="00462B13">
              <w:rPr>
                <w:sz w:val="20"/>
                <w:lang w:val="en-US"/>
              </w:rPr>
              <w:t>cNK-Ly</w:t>
            </w:r>
            <w:r w:rsidRPr="00462B13">
              <w:rPr>
                <w:sz w:val="20"/>
              </w:rPr>
              <w:t>,</w:t>
            </w:r>
            <w:r>
              <w:rPr>
                <w:bCs/>
                <w:iCs/>
                <w:sz w:val="20"/>
                <w:szCs w:val="20"/>
                <w:lang w:val="en-US"/>
              </w:rPr>
              <w:t xml:space="preserve">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rPr>
              <w:t>/L</w:t>
            </w:r>
          </w:p>
          <w:p w:rsidR="00395432" w:rsidRPr="00462B13" w:rsidRDefault="00395432" w:rsidP="001B5424">
            <w:pPr>
              <w:pStyle w:val="Listenabsatz"/>
              <w:spacing w:line="276" w:lineRule="auto"/>
              <w:ind w:left="0"/>
              <w:rPr>
                <w:sz w:val="18"/>
                <w:szCs w:val="20"/>
                <w:lang w:val="en-US"/>
              </w:rPr>
            </w:pPr>
            <w:r w:rsidRPr="00462B13">
              <w:rPr>
                <w:sz w:val="18"/>
                <w:szCs w:val="20"/>
                <w:lang w:val="en-US"/>
              </w:rPr>
              <w:t>[0.11 -0.42]</w:t>
            </w:r>
          </w:p>
          <w:p w:rsidR="00395432" w:rsidRPr="00462B13" w:rsidRDefault="00395432" w:rsidP="001B5424">
            <w:pPr>
              <w:pStyle w:val="Listenabsatz"/>
              <w:spacing w:line="276" w:lineRule="auto"/>
              <w:ind w:left="0"/>
              <w:rPr>
                <w:sz w:val="18"/>
                <w:szCs w:val="18"/>
                <w:lang w:val="en-US"/>
              </w:rPr>
            </w:pPr>
            <w:r w:rsidRPr="00462B13">
              <w:rPr>
                <w:sz w:val="18"/>
                <w:szCs w:val="18"/>
                <w:lang w:val="en-US"/>
              </w:rPr>
              <w:t>&lt; 0.11 G/L</w:t>
            </w:r>
          </w:p>
        </w:tc>
        <w:tc>
          <w:tcPr>
            <w:tcW w:w="1701"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0.15</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0.91]</w:t>
            </w:r>
          </w:p>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(35.9)</w:t>
            </w:r>
          </w:p>
        </w:tc>
        <w:tc>
          <w:tcPr>
            <w:tcW w:w="1560"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0.13</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[0.03 – 0.84]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(30.0)</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0.17</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0.91]</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(32.5)</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0.15</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0.35]</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(40.0)</w:t>
            </w:r>
          </w:p>
        </w:tc>
        <w:tc>
          <w:tcPr>
            <w:tcW w:w="1418"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0.08</w:t>
            </w:r>
            <w:r w:rsidRPr="00462B13">
              <w:rPr>
                <w:sz w:val="24"/>
                <w:vertAlign w:val="superscript"/>
                <w:lang w:val="en-US"/>
              </w:rPr>
              <w:t xml:space="preserve"> b</w:t>
            </w:r>
            <w:r w:rsidRPr="00462B13" w:rsidDel="00371C1E">
              <w:rPr>
                <w:sz w:val="20"/>
                <w:szCs w:val="20"/>
                <w:lang w:val="en-US"/>
              </w:rPr>
              <w:t xml:space="preserve"> </w:t>
            </w:r>
            <w:r w:rsidRPr="00462B13">
              <w:rPr>
                <w:sz w:val="24"/>
                <w:vertAlign w:val="superscript"/>
                <w:lang w:val="en-US"/>
              </w:rPr>
              <w:t xml:space="preserve"> f</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0.33]</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(62.9)</w:t>
            </w:r>
            <w:r w:rsidRPr="00462B13">
              <w:rPr>
                <w:sz w:val="24"/>
                <w:vertAlign w:val="superscript"/>
                <w:lang w:val="en-US"/>
              </w:rPr>
              <w:t xml:space="preserve"> b</w:t>
            </w:r>
            <w:r w:rsidRPr="00462B13">
              <w:rPr>
                <w:sz w:val="18"/>
                <w:szCs w:val="18"/>
                <w:vertAlign w:val="superscript"/>
                <w:lang w:val="en-US"/>
              </w:rPr>
              <w:t>,</w:t>
            </w:r>
            <w:r w:rsidRPr="00462B13">
              <w:rPr>
                <w:sz w:val="24"/>
                <w:vertAlign w:val="superscript"/>
                <w:lang w:val="en-US"/>
              </w:rPr>
              <w:t xml:space="preserve"> f</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lang w:val="en-US"/>
              </w:rPr>
            </w:pPr>
            <w:r w:rsidRPr="00462B13">
              <w:rPr>
                <w:sz w:val="20"/>
                <w:lang w:val="en-US"/>
              </w:rPr>
              <w:t xml:space="preserve">CRP, mg/L </w:t>
            </w:r>
            <w:r w:rsidRPr="00462B13">
              <w:rPr>
                <w:sz w:val="16"/>
                <w:lang w:val="en-US"/>
              </w:rPr>
              <w:t>(n)</w:t>
            </w:r>
          </w:p>
          <w:p w:rsidR="00395432" w:rsidRPr="00462B13" w:rsidRDefault="00395432" w:rsidP="001B5424">
            <w:pPr>
              <w:pStyle w:val="Listenabsatz"/>
              <w:spacing w:line="276" w:lineRule="auto"/>
              <w:ind w:left="0"/>
              <w:rPr>
                <w:sz w:val="20"/>
                <w:lang w:val="en-US"/>
              </w:rPr>
            </w:pPr>
            <w:r w:rsidRPr="00462B13">
              <w:rPr>
                <w:sz w:val="18"/>
                <w:szCs w:val="20"/>
                <w:lang w:val="en-US"/>
              </w:rPr>
              <w:t>[&lt; 5]</w:t>
            </w:r>
          </w:p>
        </w:tc>
        <w:tc>
          <w:tcPr>
            <w:tcW w:w="1701"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78 </w:t>
            </w:r>
            <w:r w:rsidRPr="00462B13">
              <w:rPr>
                <w:sz w:val="16"/>
                <w:szCs w:val="16"/>
                <w:lang w:val="en-US"/>
              </w:rPr>
              <w:t>(344)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[&lt; 5 – 479]</w:t>
            </w:r>
          </w:p>
        </w:tc>
        <w:tc>
          <w:tcPr>
            <w:tcW w:w="1560" w:type="dxa"/>
            <w:vAlign w:val="center"/>
          </w:tcPr>
          <w:p w:rsidR="00395432" w:rsidRPr="00462B13" w:rsidRDefault="00395432" w:rsidP="001B5424">
            <w:pPr>
              <w:pStyle w:val="Listenabsatz"/>
              <w:spacing w:line="276" w:lineRule="auto"/>
              <w:ind w:left="0"/>
              <w:jc w:val="center"/>
              <w:rPr>
                <w:sz w:val="16"/>
                <w:szCs w:val="16"/>
                <w:lang w:val="en-US"/>
              </w:rPr>
            </w:pPr>
            <w:r w:rsidRPr="00462B13">
              <w:rPr>
                <w:sz w:val="20"/>
                <w:szCs w:val="20"/>
                <w:lang w:val="en-US"/>
              </w:rPr>
              <w:t xml:space="preserve">11 </w:t>
            </w:r>
            <w:r w:rsidRPr="00462B13">
              <w:rPr>
                <w:sz w:val="16"/>
                <w:szCs w:val="16"/>
                <w:lang w:val="en-US"/>
              </w:rPr>
              <w:t>(63)</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[&lt; 5 – 182]</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84</w:t>
            </w:r>
            <w:r w:rsidRPr="00462B13">
              <w:rPr>
                <w:sz w:val="24"/>
                <w:vertAlign w:val="superscript"/>
                <w:lang w:val="en-US"/>
              </w:rPr>
              <w:t xml:space="preserve"> c</w:t>
            </w:r>
            <w:r w:rsidRPr="00462B13">
              <w:rPr>
                <w:sz w:val="20"/>
                <w:szCs w:val="20"/>
                <w:lang w:val="en-US"/>
              </w:rPr>
              <w:t xml:space="preserve"> </w:t>
            </w:r>
            <w:r w:rsidRPr="00462B13">
              <w:rPr>
                <w:sz w:val="16"/>
                <w:szCs w:val="16"/>
                <w:lang w:val="en-US"/>
              </w:rPr>
              <w:t>(231)</w:t>
            </w:r>
            <w:r w:rsidRPr="00462B13" w:rsidDel="009C0EC3">
              <w:rPr>
                <w:sz w:val="16"/>
                <w:szCs w:val="16"/>
                <w:lang w:val="en-US"/>
              </w:rPr>
              <w:t xml:space="preserve"> </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[&lt; 5 – 428]</w:t>
            </w:r>
          </w:p>
        </w:tc>
        <w:tc>
          <w:tcPr>
            <w:tcW w:w="1417" w:type="dxa"/>
            <w:vAlign w:val="center"/>
          </w:tcPr>
          <w:p w:rsidR="00395432" w:rsidRPr="00462B13" w:rsidRDefault="00395432" w:rsidP="001B5424">
            <w:pPr>
              <w:pStyle w:val="Listenabsatz"/>
              <w:spacing w:line="276" w:lineRule="auto"/>
              <w:ind w:left="0"/>
              <w:jc w:val="center"/>
              <w:rPr>
                <w:sz w:val="16"/>
                <w:szCs w:val="16"/>
                <w:lang w:val="en-US"/>
              </w:rPr>
            </w:pPr>
            <w:r w:rsidRPr="00462B13">
              <w:rPr>
                <w:sz w:val="20"/>
                <w:szCs w:val="20"/>
                <w:lang w:val="en-US"/>
              </w:rPr>
              <w:t>91</w:t>
            </w:r>
            <w:r w:rsidRPr="00462B13">
              <w:rPr>
                <w:sz w:val="24"/>
                <w:vertAlign w:val="superscript"/>
                <w:lang w:val="en-US"/>
              </w:rPr>
              <w:t xml:space="preserve"> c</w:t>
            </w:r>
            <w:r w:rsidRPr="00462B13">
              <w:rPr>
                <w:sz w:val="16"/>
                <w:szCs w:val="16"/>
                <w:lang w:val="en-US"/>
              </w:rPr>
              <w:t xml:space="preserve"> (19)</w:t>
            </w:r>
            <w:r w:rsidRPr="00462B13" w:rsidDel="009C0EC3">
              <w:rPr>
                <w:sz w:val="16"/>
                <w:szCs w:val="16"/>
                <w:lang w:val="en-US"/>
              </w:rPr>
              <w:t xml:space="preserve"> </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[8 – 409]</w:t>
            </w:r>
          </w:p>
        </w:tc>
        <w:tc>
          <w:tcPr>
            <w:tcW w:w="1418" w:type="dxa"/>
            <w:vAlign w:val="center"/>
          </w:tcPr>
          <w:p w:rsidR="00395432" w:rsidRPr="00462B13" w:rsidRDefault="00395432" w:rsidP="001B5424">
            <w:pPr>
              <w:pStyle w:val="Listenabsatz"/>
              <w:spacing w:line="276" w:lineRule="auto"/>
              <w:ind w:left="0"/>
              <w:jc w:val="center"/>
              <w:rPr>
                <w:sz w:val="16"/>
                <w:szCs w:val="16"/>
                <w:lang w:val="en-US"/>
              </w:rPr>
            </w:pPr>
            <w:r w:rsidRPr="00462B13">
              <w:rPr>
                <w:sz w:val="20"/>
                <w:szCs w:val="20"/>
                <w:lang w:val="en-US"/>
              </w:rPr>
              <w:t xml:space="preserve">189 </w:t>
            </w:r>
            <w:r w:rsidRPr="00462B13">
              <w:rPr>
                <w:sz w:val="16"/>
                <w:szCs w:val="16"/>
                <w:lang w:val="en-US"/>
              </w:rPr>
              <w:t>(31)</w:t>
            </w:r>
            <w:r w:rsidRPr="00462B13">
              <w:rPr>
                <w:sz w:val="24"/>
                <w:vertAlign w:val="superscript"/>
                <w:lang w:val="en-US"/>
              </w:rPr>
              <w:t xml:space="preserve"> c</w:t>
            </w:r>
            <w:r w:rsidRPr="00462B13">
              <w:rPr>
                <w:sz w:val="20"/>
                <w:szCs w:val="20"/>
                <w:vertAlign w:val="superscript"/>
                <w:lang w:val="en-US"/>
              </w:rPr>
              <w:t>,</w:t>
            </w:r>
            <w:r w:rsidRPr="00462B13">
              <w:rPr>
                <w:sz w:val="24"/>
                <w:vertAlign w:val="superscript"/>
                <w:lang w:val="en-US"/>
              </w:rPr>
              <w:t xml:space="preserve"> f</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[15 – 479]</w:t>
            </w:r>
          </w:p>
        </w:tc>
      </w:tr>
      <w:tr w:rsidR="00395432" w:rsidRPr="00462B13" w:rsidTr="001B5424">
        <w:tc>
          <w:tcPr>
            <w:tcW w:w="1838" w:type="dxa"/>
            <w:vAlign w:val="center"/>
          </w:tcPr>
          <w:p w:rsidR="00395432" w:rsidRPr="00462B13" w:rsidRDefault="00395432" w:rsidP="001B5424">
            <w:pPr>
              <w:pStyle w:val="Listenabsatz"/>
              <w:spacing w:line="276" w:lineRule="auto"/>
              <w:ind w:left="0"/>
              <w:rPr>
                <w:sz w:val="20"/>
              </w:rPr>
            </w:pPr>
            <w:r w:rsidRPr="00462B13">
              <w:rPr>
                <w:sz w:val="20"/>
              </w:rPr>
              <w:t xml:space="preserve">D-Dimers, mg/L </w:t>
            </w:r>
            <w:r w:rsidRPr="00462B13">
              <w:rPr>
                <w:sz w:val="16"/>
              </w:rPr>
              <w:t>(n)</w:t>
            </w:r>
          </w:p>
          <w:p w:rsidR="00395432" w:rsidRPr="00462B13" w:rsidRDefault="00395432" w:rsidP="001B5424">
            <w:pPr>
              <w:pStyle w:val="Listenabsatz"/>
              <w:spacing w:line="276" w:lineRule="auto"/>
              <w:ind w:left="0"/>
              <w:rPr>
                <w:sz w:val="20"/>
              </w:rPr>
            </w:pPr>
            <w:r w:rsidRPr="00462B13">
              <w:rPr>
                <w:sz w:val="18"/>
                <w:szCs w:val="20"/>
              </w:rPr>
              <w:t>[&lt; 0.50]</w:t>
            </w:r>
          </w:p>
        </w:tc>
        <w:tc>
          <w:tcPr>
            <w:tcW w:w="1701"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0.78 </w:t>
            </w:r>
            <w:r w:rsidRPr="00462B13">
              <w:rPr>
                <w:sz w:val="16"/>
                <w:szCs w:val="16"/>
                <w:lang w:val="en-US"/>
              </w:rPr>
              <w:t>(173)</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[&lt; 0.12 – 98.47]</w:t>
            </w:r>
          </w:p>
        </w:tc>
        <w:tc>
          <w:tcPr>
            <w:tcW w:w="1560"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0.37 </w:t>
            </w:r>
            <w:r w:rsidRPr="00462B13">
              <w:rPr>
                <w:sz w:val="16"/>
                <w:szCs w:val="16"/>
                <w:lang w:val="en-US"/>
              </w:rPr>
              <w:t>(34)</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[&lt; 0.12 – 2.83]</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0.81</w:t>
            </w:r>
            <w:r w:rsidRPr="00462B13">
              <w:rPr>
                <w:sz w:val="24"/>
                <w:vertAlign w:val="superscript"/>
                <w:lang w:val="en-US"/>
              </w:rPr>
              <w:t xml:space="preserve"> c</w:t>
            </w:r>
            <w:r w:rsidRPr="00462B13">
              <w:rPr>
                <w:sz w:val="20"/>
                <w:szCs w:val="20"/>
                <w:lang w:val="en-US"/>
              </w:rPr>
              <w:t xml:space="preserve"> </w:t>
            </w:r>
            <w:r w:rsidRPr="00462B13">
              <w:rPr>
                <w:sz w:val="16"/>
                <w:szCs w:val="16"/>
                <w:lang w:val="en-US"/>
              </w:rPr>
              <w:t>(108)</w:t>
            </w:r>
            <w:r w:rsidRPr="00462B13" w:rsidDel="009C0EC3">
              <w:rPr>
                <w:sz w:val="16"/>
                <w:szCs w:val="16"/>
                <w:lang w:val="en-US"/>
              </w:rPr>
              <w:t xml:space="preserve"> </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[&lt; 0.12 – 42.88]</w:t>
            </w:r>
          </w:p>
        </w:tc>
        <w:tc>
          <w:tcPr>
            <w:tcW w:w="1417"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1.01 </w:t>
            </w:r>
            <w:r w:rsidRPr="00462B13">
              <w:rPr>
                <w:sz w:val="16"/>
                <w:szCs w:val="16"/>
                <w:lang w:val="en-US"/>
              </w:rPr>
              <w:t>(11)</w:t>
            </w:r>
            <w:r w:rsidRPr="00462B13">
              <w:rPr>
                <w:sz w:val="24"/>
                <w:vertAlign w:val="superscript"/>
                <w:lang w:val="en-US"/>
              </w:rPr>
              <w:t xml:space="preserve"> b</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[0.27 – 20.9]</w:t>
            </w:r>
          </w:p>
        </w:tc>
        <w:tc>
          <w:tcPr>
            <w:tcW w:w="1418"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11.00 </w:t>
            </w:r>
            <w:r w:rsidRPr="00462B13">
              <w:rPr>
                <w:sz w:val="16"/>
                <w:szCs w:val="16"/>
                <w:lang w:val="en-US"/>
              </w:rPr>
              <w:t>(20)</w:t>
            </w:r>
            <w:r w:rsidRPr="00462B13">
              <w:rPr>
                <w:sz w:val="24"/>
                <w:vertAlign w:val="superscript"/>
                <w:lang w:val="en-US"/>
              </w:rPr>
              <w:t xml:space="preserve"> c</w:t>
            </w:r>
            <w:r w:rsidRPr="00462B13">
              <w:rPr>
                <w:sz w:val="20"/>
                <w:szCs w:val="20"/>
                <w:vertAlign w:val="superscript"/>
                <w:lang w:val="en-US"/>
              </w:rPr>
              <w:t>,</w:t>
            </w:r>
            <w:r w:rsidRPr="00462B13">
              <w:rPr>
                <w:sz w:val="24"/>
                <w:vertAlign w:val="superscript"/>
                <w:lang w:val="en-US"/>
              </w:rPr>
              <w:t xml:space="preserve"> f</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[0.34 – 98.47]</w:t>
            </w:r>
          </w:p>
        </w:tc>
      </w:tr>
    </w:tbl>
    <w:p w:rsidR="00395432" w:rsidRPr="00462B13" w:rsidRDefault="00395432" w:rsidP="00395432">
      <w:pPr>
        <w:pStyle w:val="Listenabsatz"/>
        <w:spacing w:before="120" w:after="120" w:line="360" w:lineRule="auto"/>
        <w:ind w:left="0"/>
        <w:jc w:val="both"/>
        <w:rPr>
          <w:sz w:val="24"/>
          <w:lang w:val="en-US"/>
        </w:rPr>
      </w:pPr>
      <w:r w:rsidRPr="00462B13">
        <w:rPr>
          <w:sz w:val="24"/>
          <w:lang w:val="en-US"/>
        </w:rPr>
        <w:t>Lymphocyte subpopulations were determined using CytoDiff™ analysis. Results are expressed in median and [range]. When values were missing, the number between brackets next to the median indicate the number (n) of patients for whom the information was available. The number between brackets, under the range, indicates the frequency (in percentage) of patients for whom the threshold, indicated in the left column, was reached.</w:t>
      </w:r>
      <w:r>
        <w:rPr>
          <w:sz w:val="24"/>
          <w:lang w:val="en-US"/>
        </w:rPr>
        <w:t xml:space="preserve"> </w:t>
      </w:r>
      <w:r w:rsidRPr="00462B13">
        <w:rPr>
          <w:sz w:val="24"/>
          <w:lang w:val="en-US"/>
        </w:rPr>
        <w:t>CoU, hospitalization in conventional units; cNK-Ly, cytotoxic/Natural Killer lymphocytes; CRP, C-</w:t>
      </w:r>
      <w:r w:rsidRPr="00462B13">
        <w:rPr>
          <w:sz w:val="24"/>
          <w:lang w:val="en-US"/>
        </w:rPr>
        <w:lastRenderedPageBreak/>
        <w:t>reactive protein; ICU, intensive care unit; Ly, lymphocytes ; ncT-Ly, non cytotoxic T-Ly; PMN, polymorphonuclear cells; tot-, total; WBC, white blood cells</w:t>
      </w:r>
      <w:r>
        <w:rPr>
          <w:sz w:val="24"/>
          <w:lang w:val="en-US"/>
        </w:rPr>
        <w:t xml:space="preserve">. </w:t>
      </w:r>
      <w:r w:rsidRPr="00462B13">
        <w:rPr>
          <w:sz w:val="24"/>
          <w:vertAlign w:val="superscript"/>
          <w:lang w:val="en-US"/>
        </w:rPr>
        <w:t xml:space="preserve">a </w:t>
      </w:r>
      <w:r w:rsidRPr="00462B13">
        <w:rPr>
          <w:sz w:val="24"/>
          <w:lang w:val="en-US"/>
        </w:rPr>
        <w:t xml:space="preserve">p &lt; 0.05; </w:t>
      </w:r>
      <w:r w:rsidRPr="00462B13">
        <w:rPr>
          <w:sz w:val="24"/>
          <w:vertAlign w:val="superscript"/>
          <w:lang w:val="en-US"/>
        </w:rPr>
        <w:t>b</w:t>
      </w:r>
      <w:r w:rsidRPr="00462B13">
        <w:rPr>
          <w:sz w:val="24"/>
          <w:lang w:val="en-US"/>
        </w:rPr>
        <w:t xml:space="preserve"> p &lt; 0.01; </w:t>
      </w:r>
      <w:r w:rsidRPr="00462B13">
        <w:rPr>
          <w:sz w:val="24"/>
          <w:vertAlign w:val="superscript"/>
          <w:lang w:val="en-US"/>
        </w:rPr>
        <w:t xml:space="preserve">c </w:t>
      </w:r>
      <w:r w:rsidRPr="00462B13">
        <w:rPr>
          <w:sz w:val="24"/>
          <w:lang w:val="en-US"/>
        </w:rPr>
        <w:t xml:space="preserve">p &lt; 0.001 </w:t>
      </w:r>
      <w:r>
        <w:rPr>
          <w:sz w:val="24"/>
          <w:lang w:val="en-US"/>
        </w:rPr>
        <w:t>vs.</w:t>
      </w:r>
      <w:r w:rsidRPr="00462B13">
        <w:rPr>
          <w:i/>
          <w:sz w:val="24"/>
          <w:lang w:val="en-US"/>
        </w:rPr>
        <w:t xml:space="preserve"> “</w:t>
      </w:r>
      <w:r w:rsidRPr="00462B13">
        <w:rPr>
          <w:sz w:val="24"/>
          <w:lang w:val="en-US"/>
        </w:rPr>
        <w:t xml:space="preserve">Home” group; </w:t>
      </w:r>
      <w:r w:rsidRPr="00462B13">
        <w:rPr>
          <w:sz w:val="24"/>
          <w:vertAlign w:val="superscript"/>
          <w:lang w:val="en-US"/>
        </w:rPr>
        <w:t>d</w:t>
      </w:r>
      <w:r w:rsidRPr="00462B13">
        <w:rPr>
          <w:sz w:val="24"/>
          <w:lang w:val="en-US"/>
        </w:rPr>
        <w:t xml:space="preserve"> p &lt; 0.05; </w:t>
      </w:r>
      <w:r w:rsidRPr="00462B13">
        <w:rPr>
          <w:sz w:val="24"/>
          <w:vertAlign w:val="superscript"/>
          <w:lang w:val="en-US"/>
        </w:rPr>
        <w:t>e</w:t>
      </w:r>
      <w:r w:rsidRPr="00462B13">
        <w:rPr>
          <w:sz w:val="24"/>
          <w:lang w:val="en-US"/>
        </w:rPr>
        <w:t xml:space="preserve"> p &lt; 0.01 </w:t>
      </w:r>
      <w:r w:rsidRPr="00462B13">
        <w:rPr>
          <w:i/>
          <w:sz w:val="24"/>
          <w:lang w:val="en-US"/>
        </w:rPr>
        <w:t>;</w:t>
      </w:r>
      <w:r w:rsidRPr="00462B13">
        <w:rPr>
          <w:sz w:val="24"/>
          <w:lang w:val="en-US"/>
        </w:rPr>
        <w:t xml:space="preserve"> </w:t>
      </w:r>
      <w:r w:rsidRPr="00462B13">
        <w:rPr>
          <w:sz w:val="24"/>
          <w:vertAlign w:val="superscript"/>
          <w:lang w:val="en-US"/>
        </w:rPr>
        <w:t xml:space="preserve">f </w:t>
      </w:r>
      <w:r w:rsidRPr="00462B13">
        <w:rPr>
          <w:sz w:val="24"/>
          <w:lang w:val="en-US"/>
        </w:rPr>
        <w:t xml:space="preserve">p &lt; 0.001 </w:t>
      </w:r>
      <w:r>
        <w:rPr>
          <w:sz w:val="24"/>
          <w:lang w:val="en-US"/>
        </w:rPr>
        <w:t>vs.</w:t>
      </w:r>
      <w:r w:rsidRPr="00462B13">
        <w:rPr>
          <w:sz w:val="24"/>
          <w:lang w:val="en-US"/>
        </w:rPr>
        <w:t xml:space="preserve"> CoU group</w:t>
      </w:r>
      <w:r>
        <w:rPr>
          <w:sz w:val="24"/>
          <w:lang w:val="en-US"/>
        </w:rPr>
        <w:t>.</w:t>
      </w:r>
      <w:r w:rsidRPr="00462B13">
        <w:rPr>
          <w:sz w:val="24"/>
          <w:lang w:val="en-US"/>
        </w:rPr>
        <w:br w:type="page"/>
      </w:r>
    </w:p>
    <w:p w:rsidR="00395432" w:rsidRPr="00462B13" w:rsidRDefault="00395432" w:rsidP="00395432">
      <w:pPr>
        <w:pStyle w:val="Listenabsatz"/>
        <w:spacing w:before="120" w:after="120" w:line="480" w:lineRule="auto"/>
        <w:ind w:left="357"/>
        <w:rPr>
          <w:sz w:val="24"/>
          <w:lang w:val="en-US"/>
        </w:rPr>
      </w:pPr>
      <w:r w:rsidRPr="00462B13">
        <w:rPr>
          <w:sz w:val="24"/>
          <w:lang w:val="en-US"/>
        </w:rPr>
        <w:lastRenderedPageBreak/>
        <w:t xml:space="preserve"> Table </w:t>
      </w:r>
      <w:r>
        <w:rPr>
          <w:sz w:val="24"/>
          <w:lang w:val="en-US"/>
        </w:rPr>
        <w:t>S</w:t>
      </w:r>
      <w:r w:rsidRPr="00462B13">
        <w:rPr>
          <w:sz w:val="24"/>
          <w:lang w:val="en-US"/>
        </w:rPr>
        <w:t>2: Comparisons of biological data of survivors and non-survivors</w:t>
      </w:r>
      <w:r>
        <w:rPr>
          <w:sz w:val="24"/>
          <w:lang w:val="en-US"/>
        </w:rPr>
        <w:t>.</w:t>
      </w:r>
    </w:p>
    <w:tbl>
      <w:tblPr>
        <w:tblStyle w:val="Tabellenraster"/>
        <w:tblpPr w:leftFromText="141" w:rightFromText="141" w:vertAnchor="text" w:horzAnchor="page" w:tblpX="1784" w:tblpY="740"/>
        <w:tblW w:w="8642" w:type="dxa"/>
        <w:tblLook w:val="04A0" w:firstRow="1" w:lastRow="0" w:firstColumn="1" w:lastColumn="0" w:noHBand="0" w:noVBand="1"/>
      </w:tblPr>
      <w:tblGrid>
        <w:gridCol w:w="2972"/>
        <w:gridCol w:w="1843"/>
        <w:gridCol w:w="1559"/>
        <w:gridCol w:w="992"/>
        <w:gridCol w:w="1276"/>
      </w:tblGrid>
      <w:tr w:rsidR="00395432" w:rsidRPr="00462B13" w:rsidTr="001B5424">
        <w:tc>
          <w:tcPr>
            <w:tcW w:w="2972" w:type="dxa"/>
          </w:tcPr>
          <w:p w:rsidR="00395432" w:rsidRPr="00462B13" w:rsidRDefault="00395432" w:rsidP="001B5424">
            <w:pPr>
              <w:pStyle w:val="Listenabsatz"/>
              <w:spacing w:line="480" w:lineRule="auto"/>
              <w:ind w:left="0"/>
              <w:rPr>
                <w:sz w:val="24"/>
                <w:lang w:val="en-US"/>
              </w:rPr>
            </w:pPr>
          </w:p>
        </w:tc>
        <w:tc>
          <w:tcPr>
            <w:tcW w:w="1843" w:type="dxa"/>
            <w:vAlign w:val="center"/>
          </w:tcPr>
          <w:p w:rsidR="00395432" w:rsidRPr="00462B13" w:rsidRDefault="00395432" w:rsidP="001B5424">
            <w:pPr>
              <w:pStyle w:val="Listenabsatz"/>
              <w:ind w:left="0"/>
              <w:jc w:val="center"/>
              <w:rPr>
                <w:lang w:val="en-US"/>
              </w:rPr>
            </w:pPr>
            <w:r w:rsidRPr="00462B13">
              <w:rPr>
                <w:lang w:val="en-US"/>
              </w:rPr>
              <w:t>Survivors</w:t>
            </w:r>
          </w:p>
        </w:tc>
        <w:tc>
          <w:tcPr>
            <w:tcW w:w="1559" w:type="dxa"/>
            <w:vAlign w:val="center"/>
          </w:tcPr>
          <w:p w:rsidR="00395432" w:rsidRPr="00462B13" w:rsidRDefault="00395432" w:rsidP="001B5424">
            <w:pPr>
              <w:pStyle w:val="Listenabsatz"/>
              <w:ind w:left="0"/>
              <w:jc w:val="center"/>
              <w:rPr>
                <w:lang w:val="en-US"/>
              </w:rPr>
            </w:pPr>
            <w:r w:rsidRPr="00462B13">
              <w:rPr>
                <w:lang w:val="en-US"/>
              </w:rPr>
              <w:t>Non-survivors</w:t>
            </w:r>
          </w:p>
        </w:tc>
        <w:tc>
          <w:tcPr>
            <w:tcW w:w="992" w:type="dxa"/>
            <w:vAlign w:val="center"/>
          </w:tcPr>
          <w:p w:rsidR="00395432" w:rsidRPr="00462B13" w:rsidRDefault="00395432" w:rsidP="001B5424">
            <w:pPr>
              <w:pStyle w:val="Listenabsatz"/>
              <w:spacing w:line="360" w:lineRule="auto"/>
              <w:ind w:left="0"/>
              <w:jc w:val="center"/>
              <w:rPr>
                <w:lang w:val="en-US"/>
              </w:rPr>
            </w:pPr>
            <w:r w:rsidRPr="00462B13">
              <w:rPr>
                <w:lang w:val="en-US"/>
              </w:rPr>
              <w:t>p</w:t>
            </w:r>
          </w:p>
        </w:tc>
        <w:tc>
          <w:tcPr>
            <w:tcW w:w="1276" w:type="dxa"/>
            <w:vAlign w:val="center"/>
          </w:tcPr>
          <w:p w:rsidR="00395432" w:rsidRPr="00462B13" w:rsidRDefault="00395432" w:rsidP="001B5424">
            <w:pPr>
              <w:pStyle w:val="Listenabsatz"/>
              <w:spacing w:line="360" w:lineRule="auto"/>
              <w:ind w:left="0"/>
              <w:jc w:val="center"/>
              <w:rPr>
                <w:lang w:val="en-US"/>
              </w:rPr>
            </w:pPr>
            <w:r w:rsidRPr="00462B13">
              <w:rPr>
                <w:lang w:val="en-US"/>
              </w:rPr>
              <w:t>AUC</w:t>
            </w:r>
          </w:p>
        </w:tc>
      </w:tr>
      <w:tr w:rsidR="00395432" w:rsidRPr="00462B13" w:rsidTr="001B5424">
        <w:tc>
          <w:tcPr>
            <w:tcW w:w="2972" w:type="dxa"/>
            <w:vAlign w:val="center"/>
          </w:tcPr>
          <w:p w:rsidR="00395432" w:rsidRPr="00462B13" w:rsidRDefault="00395432" w:rsidP="001B5424">
            <w:pPr>
              <w:pStyle w:val="Listenabsatz"/>
              <w:spacing w:line="360" w:lineRule="auto"/>
              <w:ind w:left="0"/>
              <w:rPr>
                <w:sz w:val="24"/>
                <w:lang w:val="en-US"/>
              </w:rPr>
            </w:pPr>
            <w:r w:rsidRPr="00462B13">
              <w:rPr>
                <w:sz w:val="24"/>
                <w:lang w:val="en-US"/>
              </w:rPr>
              <w:t>n</w:t>
            </w:r>
          </w:p>
        </w:tc>
        <w:tc>
          <w:tcPr>
            <w:tcW w:w="1843"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289</w:t>
            </w:r>
          </w:p>
        </w:tc>
        <w:tc>
          <w:tcPr>
            <w:tcW w:w="1559" w:type="dxa"/>
            <w:vAlign w:val="center"/>
          </w:tcPr>
          <w:p w:rsidR="00395432" w:rsidRPr="00462B13" w:rsidRDefault="00395432" w:rsidP="001B5424">
            <w:pPr>
              <w:pStyle w:val="Listenabsatz"/>
              <w:spacing w:line="360" w:lineRule="auto"/>
              <w:ind w:left="0"/>
              <w:jc w:val="center"/>
              <w:rPr>
                <w:sz w:val="20"/>
                <w:lang w:val="en-US"/>
              </w:rPr>
            </w:pPr>
            <w:r w:rsidRPr="00462B13">
              <w:rPr>
                <w:sz w:val="20"/>
                <w:lang w:val="en-US"/>
              </w:rPr>
              <w:t>54</w:t>
            </w:r>
          </w:p>
        </w:tc>
        <w:tc>
          <w:tcPr>
            <w:tcW w:w="992" w:type="dxa"/>
            <w:vAlign w:val="center"/>
          </w:tcPr>
          <w:p w:rsidR="00395432" w:rsidRPr="00462B13" w:rsidRDefault="00395432" w:rsidP="001B5424">
            <w:pPr>
              <w:pStyle w:val="Listenabsatz"/>
              <w:spacing w:line="360" w:lineRule="auto"/>
              <w:ind w:left="0"/>
              <w:jc w:val="center"/>
              <w:rPr>
                <w:sz w:val="20"/>
                <w:lang w:val="en-US"/>
              </w:rPr>
            </w:pPr>
          </w:p>
        </w:tc>
        <w:tc>
          <w:tcPr>
            <w:tcW w:w="1276" w:type="dxa"/>
            <w:vAlign w:val="center"/>
          </w:tcPr>
          <w:p w:rsidR="00395432" w:rsidRPr="00462B13" w:rsidRDefault="00395432" w:rsidP="001B5424">
            <w:pPr>
              <w:pStyle w:val="Listenabsatz"/>
              <w:spacing w:line="360" w:lineRule="auto"/>
              <w:ind w:left="0"/>
              <w:jc w:val="center"/>
              <w:rPr>
                <w:sz w:val="20"/>
                <w:lang w:val="en-US"/>
              </w:rPr>
            </w:pP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sz w:val="20"/>
                <w:lang w:val="en-US"/>
              </w:rPr>
              <w:t xml:space="preserve">WBC,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lang w:val="en-US"/>
              </w:rPr>
            </w:pPr>
            <w:r w:rsidRPr="00462B13">
              <w:rPr>
                <w:sz w:val="20"/>
                <w:lang w:val="en-US"/>
              </w:rPr>
              <w:t>6.4</w:t>
            </w:r>
            <w:r w:rsidRPr="00462B13">
              <w:rPr>
                <w:lang w:val="en-US"/>
              </w:rPr>
              <w:t xml:space="preserve"> </w:t>
            </w:r>
          </w:p>
          <w:p w:rsidR="00395432" w:rsidRPr="00462B13" w:rsidRDefault="00395432" w:rsidP="001B5424">
            <w:pPr>
              <w:pStyle w:val="Listenabsatz"/>
              <w:spacing w:line="276" w:lineRule="auto"/>
              <w:ind w:left="0"/>
              <w:jc w:val="center"/>
              <w:rPr>
                <w:lang w:val="en-US"/>
              </w:rPr>
            </w:pPr>
            <w:r w:rsidRPr="00462B13">
              <w:rPr>
                <w:sz w:val="18"/>
                <w:lang w:val="en-US"/>
              </w:rPr>
              <w:t>[1.2 – 22.4]</w:t>
            </w:r>
          </w:p>
        </w:tc>
        <w:tc>
          <w:tcPr>
            <w:tcW w:w="1559"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7.8 </w:t>
            </w:r>
          </w:p>
          <w:p w:rsidR="00395432" w:rsidRPr="00462B13" w:rsidRDefault="00395432" w:rsidP="001B5424">
            <w:pPr>
              <w:pStyle w:val="Listenabsatz"/>
              <w:spacing w:line="276" w:lineRule="auto"/>
              <w:ind w:left="0"/>
              <w:jc w:val="center"/>
              <w:rPr>
                <w:lang w:val="en-US"/>
              </w:rPr>
            </w:pPr>
            <w:r w:rsidRPr="00462B13">
              <w:rPr>
                <w:sz w:val="18"/>
                <w:lang w:val="en-US"/>
              </w:rPr>
              <w:t>[1.3 -20.6]</w:t>
            </w:r>
          </w:p>
        </w:tc>
        <w:tc>
          <w:tcPr>
            <w:tcW w:w="992"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ns</w:t>
            </w:r>
          </w:p>
        </w:tc>
        <w:tc>
          <w:tcPr>
            <w:tcW w:w="1276"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nc</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sz w:val="20"/>
                <w:lang w:val="en-US"/>
              </w:rPr>
              <w:t xml:space="preserve">PMN,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r w:rsidRPr="00462B13">
              <w:rPr>
                <w:sz w:val="24"/>
                <w:lang w:val="en-US"/>
              </w:rPr>
              <w:t xml:space="preserve"> </w:t>
            </w:r>
          </w:p>
        </w:tc>
        <w:tc>
          <w:tcPr>
            <w:tcW w:w="1843"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4.6 </w:t>
            </w:r>
          </w:p>
          <w:p w:rsidR="00395432" w:rsidRPr="00462B13" w:rsidRDefault="00395432" w:rsidP="001B5424">
            <w:pPr>
              <w:pStyle w:val="Listenabsatz"/>
              <w:spacing w:line="276" w:lineRule="auto"/>
              <w:ind w:left="0"/>
              <w:jc w:val="center"/>
              <w:rPr>
                <w:sz w:val="20"/>
                <w:lang w:val="en-US"/>
              </w:rPr>
            </w:pPr>
            <w:r w:rsidRPr="00462B13">
              <w:rPr>
                <w:sz w:val="18"/>
                <w:lang w:val="en-US"/>
              </w:rPr>
              <w:t>[0.3 – 16.6]</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lang w:val="en-US"/>
              </w:rPr>
              <w:t>6.3</w:t>
            </w:r>
          </w:p>
          <w:p w:rsidR="00395432" w:rsidRPr="00462B13" w:rsidRDefault="00395432" w:rsidP="001B5424">
            <w:pPr>
              <w:pStyle w:val="Listenabsatz"/>
              <w:spacing w:line="276" w:lineRule="auto"/>
              <w:ind w:left="0"/>
              <w:jc w:val="center"/>
              <w:rPr>
                <w:sz w:val="20"/>
                <w:szCs w:val="20"/>
                <w:lang w:val="en-US"/>
              </w:rPr>
            </w:pPr>
            <w:r w:rsidRPr="00462B13">
              <w:rPr>
                <w:sz w:val="18"/>
                <w:szCs w:val="20"/>
                <w:lang w:val="en-US"/>
              </w:rPr>
              <w:t>[0.8 – 15. 5]</w:t>
            </w:r>
          </w:p>
        </w:tc>
        <w:tc>
          <w:tcPr>
            <w:tcW w:w="992" w:type="dxa"/>
            <w:vAlign w:val="center"/>
          </w:tcPr>
          <w:p w:rsidR="00395432" w:rsidRPr="00462B13" w:rsidRDefault="00395432" w:rsidP="001B5424">
            <w:pPr>
              <w:pStyle w:val="Listenabsatz"/>
              <w:spacing w:line="276" w:lineRule="auto"/>
              <w:ind w:left="0"/>
              <w:jc w:val="center"/>
              <w:rPr>
                <w:lang w:val="en-US"/>
              </w:rPr>
            </w:pPr>
            <w:r w:rsidRPr="00462B13">
              <w:rPr>
                <w:sz w:val="20"/>
                <w:lang w:val="en-US"/>
              </w:rPr>
              <w:t>0.017</w:t>
            </w:r>
          </w:p>
        </w:tc>
        <w:tc>
          <w:tcPr>
            <w:tcW w:w="1276" w:type="dxa"/>
            <w:vAlign w:val="center"/>
          </w:tcPr>
          <w:p w:rsidR="00395432" w:rsidRPr="00462B13" w:rsidRDefault="00395432" w:rsidP="001B5424">
            <w:pPr>
              <w:pStyle w:val="Listenabsatz"/>
              <w:spacing w:line="276" w:lineRule="auto"/>
              <w:ind w:left="0"/>
              <w:jc w:val="center"/>
              <w:rPr>
                <w:lang w:val="en-US"/>
              </w:rPr>
            </w:pPr>
            <w:r w:rsidRPr="00462B13">
              <w:rPr>
                <w:sz w:val="20"/>
                <w:szCs w:val="20"/>
                <w:lang w:val="en-US"/>
              </w:rPr>
              <w:t>0.610</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sz w:val="20"/>
                <w:lang w:val="en-US"/>
              </w:rPr>
              <w:t xml:space="preserve">tot-Ly,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 xml:space="preserve">0.98 </w:t>
            </w:r>
          </w:p>
          <w:p w:rsidR="00395432" w:rsidRPr="00462B13" w:rsidRDefault="00395432" w:rsidP="001B5424">
            <w:pPr>
              <w:pStyle w:val="Listenabsatz"/>
              <w:spacing w:line="276" w:lineRule="auto"/>
              <w:ind w:left="0"/>
              <w:jc w:val="center"/>
              <w:rPr>
                <w:lang w:val="en-US"/>
              </w:rPr>
            </w:pPr>
            <w:r w:rsidRPr="00462B13">
              <w:rPr>
                <w:sz w:val="18"/>
                <w:lang w:val="en-US"/>
              </w:rPr>
              <w:t>[0.07 -12.1]</w:t>
            </w:r>
          </w:p>
        </w:tc>
        <w:tc>
          <w:tcPr>
            <w:tcW w:w="1559"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0.67</w:t>
            </w:r>
          </w:p>
          <w:p w:rsidR="00395432" w:rsidRPr="00462B13" w:rsidRDefault="00395432" w:rsidP="001B5424">
            <w:pPr>
              <w:pStyle w:val="Listenabsatz"/>
              <w:spacing w:line="276" w:lineRule="auto"/>
              <w:ind w:left="0"/>
              <w:jc w:val="center"/>
              <w:rPr>
                <w:lang w:val="en-US"/>
              </w:rPr>
            </w:pPr>
            <w:r w:rsidRPr="00462B13">
              <w:rPr>
                <w:sz w:val="20"/>
                <w:lang w:val="en-US"/>
              </w:rPr>
              <w:t>[0.07 – 1.63]</w:t>
            </w:r>
          </w:p>
        </w:tc>
        <w:tc>
          <w:tcPr>
            <w:tcW w:w="992" w:type="dxa"/>
            <w:vAlign w:val="center"/>
          </w:tcPr>
          <w:p w:rsidR="00395432" w:rsidRPr="00462B13" w:rsidRDefault="00395432" w:rsidP="001B5424">
            <w:pPr>
              <w:pStyle w:val="Listenabsatz"/>
              <w:spacing w:line="276" w:lineRule="auto"/>
              <w:ind w:left="0"/>
              <w:jc w:val="center"/>
              <w:rPr>
                <w:lang w:val="en-US"/>
              </w:rPr>
            </w:pPr>
            <w:r w:rsidRPr="00462B13">
              <w:rPr>
                <w:sz w:val="20"/>
                <w:szCs w:val="20"/>
                <w:lang w:val="en-US"/>
              </w:rPr>
              <w:t>&lt; 0.001</w:t>
            </w:r>
          </w:p>
        </w:tc>
        <w:tc>
          <w:tcPr>
            <w:tcW w:w="1276" w:type="dxa"/>
            <w:vAlign w:val="center"/>
          </w:tcPr>
          <w:p w:rsidR="00395432" w:rsidRPr="00462B13" w:rsidRDefault="00395432" w:rsidP="001B5424">
            <w:pPr>
              <w:pStyle w:val="Listenabsatz"/>
              <w:spacing w:line="276" w:lineRule="auto"/>
              <w:ind w:left="0"/>
              <w:jc w:val="center"/>
              <w:rPr>
                <w:lang w:val="en-US"/>
              </w:rPr>
            </w:pPr>
            <w:r w:rsidRPr="00462B13">
              <w:rPr>
                <w:sz w:val="20"/>
                <w:szCs w:val="20"/>
                <w:lang w:val="en-US"/>
              </w:rPr>
              <w:t>0.677</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lang w:val="en-US"/>
              </w:rPr>
              <w:t>B</w:t>
            </w:r>
            <w:r w:rsidRPr="00462B13">
              <w:rPr>
                <w:sz w:val="20"/>
                <w:lang w:val="en-US"/>
              </w:rPr>
              <w:t xml:space="preserve">-Ly,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0.10</w:t>
            </w:r>
          </w:p>
          <w:p w:rsidR="00395432" w:rsidRPr="00462B13" w:rsidRDefault="00395432" w:rsidP="001B5424">
            <w:pPr>
              <w:pStyle w:val="Listenabsatz"/>
              <w:spacing w:line="276" w:lineRule="auto"/>
              <w:ind w:left="0"/>
              <w:jc w:val="center"/>
              <w:rPr>
                <w:lang w:val="en-US"/>
              </w:rPr>
            </w:pPr>
            <w:r w:rsidRPr="00462B13">
              <w:rPr>
                <w:sz w:val="18"/>
                <w:lang w:val="en-US"/>
              </w:rPr>
              <w:t>[&lt; 0.01 – 11.20]</w:t>
            </w:r>
          </w:p>
        </w:tc>
        <w:tc>
          <w:tcPr>
            <w:tcW w:w="1559" w:type="dxa"/>
            <w:vAlign w:val="center"/>
          </w:tcPr>
          <w:p w:rsidR="00395432" w:rsidRPr="00462B13" w:rsidRDefault="00395432" w:rsidP="001B5424">
            <w:pPr>
              <w:pStyle w:val="Listenabsatz"/>
              <w:spacing w:line="276" w:lineRule="auto"/>
              <w:ind w:left="0"/>
              <w:jc w:val="center"/>
              <w:rPr>
                <w:sz w:val="20"/>
                <w:lang w:val="en-US"/>
              </w:rPr>
            </w:pPr>
            <w:r w:rsidRPr="00462B13">
              <w:rPr>
                <w:sz w:val="20"/>
                <w:lang w:val="en-US"/>
              </w:rPr>
              <w:t>0.08</w:t>
            </w:r>
          </w:p>
          <w:p w:rsidR="00395432" w:rsidRPr="00462B13" w:rsidRDefault="00395432" w:rsidP="001B5424">
            <w:pPr>
              <w:pStyle w:val="Listenabsatz"/>
              <w:spacing w:line="276" w:lineRule="auto"/>
              <w:ind w:left="0"/>
              <w:jc w:val="center"/>
              <w:rPr>
                <w:lang w:val="en-US"/>
              </w:rPr>
            </w:pPr>
            <w:r w:rsidRPr="00462B13">
              <w:rPr>
                <w:sz w:val="18"/>
                <w:lang w:val="en-US"/>
              </w:rPr>
              <w:t>[0.02 – 0.62]</w:t>
            </w:r>
          </w:p>
        </w:tc>
        <w:tc>
          <w:tcPr>
            <w:tcW w:w="992" w:type="dxa"/>
            <w:vAlign w:val="center"/>
          </w:tcPr>
          <w:p w:rsidR="00395432" w:rsidRPr="00462B13" w:rsidRDefault="00395432" w:rsidP="001B5424">
            <w:pPr>
              <w:pStyle w:val="Listenabsatz"/>
              <w:spacing w:line="276" w:lineRule="auto"/>
              <w:ind w:left="0"/>
              <w:jc w:val="center"/>
              <w:rPr>
                <w:sz w:val="18"/>
                <w:lang w:val="en-US"/>
              </w:rPr>
            </w:pPr>
            <w:r w:rsidRPr="00462B13">
              <w:rPr>
                <w:sz w:val="20"/>
                <w:lang w:val="en-US"/>
              </w:rPr>
              <w:t>0.017</w:t>
            </w:r>
          </w:p>
        </w:tc>
        <w:tc>
          <w:tcPr>
            <w:tcW w:w="1276" w:type="dxa"/>
            <w:vAlign w:val="center"/>
          </w:tcPr>
          <w:p w:rsidR="00395432" w:rsidRPr="00462B13" w:rsidRDefault="00395432" w:rsidP="001B5424">
            <w:pPr>
              <w:pStyle w:val="Listenabsatz"/>
              <w:spacing w:line="276" w:lineRule="auto"/>
              <w:ind w:left="0"/>
              <w:jc w:val="center"/>
              <w:rPr>
                <w:lang w:val="en-US"/>
              </w:rPr>
            </w:pPr>
            <w:r w:rsidRPr="00462B13">
              <w:rPr>
                <w:sz w:val="20"/>
                <w:szCs w:val="20"/>
                <w:lang w:val="en-US"/>
              </w:rPr>
              <w:t>0.608</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sz w:val="20"/>
                <w:lang w:val="en-US"/>
              </w:rPr>
              <w:t xml:space="preserve">T-Ly,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0.84</w:t>
            </w:r>
          </w:p>
          <w:p w:rsidR="00395432" w:rsidRPr="00462B13" w:rsidRDefault="00395432" w:rsidP="001B5424">
            <w:pPr>
              <w:pStyle w:val="Listenabsatz"/>
              <w:spacing w:line="276" w:lineRule="auto"/>
              <w:ind w:left="0"/>
              <w:jc w:val="center"/>
              <w:rPr>
                <w:lang w:val="en-US"/>
              </w:rPr>
            </w:pPr>
            <w:r w:rsidRPr="00462B13">
              <w:rPr>
                <w:sz w:val="18"/>
                <w:szCs w:val="18"/>
                <w:lang w:val="en-US"/>
              </w:rPr>
              <w:t>[0.17 – 3.19]</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0.60</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[0.18 – 1.55]</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&lt; 0.001</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0.674</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rPr>
            </w:pPr>
            <w:r w:rsidRPr="00462B13">
              <w:rPr>
                <w:sz w:val="20"/>
              </w:rPr>
              <w:t>ncT-Ly</w:t>
            </w:r>
            <w:r w:rsidRPr="00462B13">
              <w:rPr>
                <w:sz w:val="20"/>
                <w:lang w:val="en-US"/>
              </w:rPr>
              <w:t xml:space="preserve">,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0.66</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[0.1 – 2.99]</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0.44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[0.15 – 1.16]</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&lt; 0.001</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0.686</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18"/>
                <w:szCs w:val="18"/>
                <w:lang w:val="en-US"/>
              </w:rPr>
            </w:pPr>
            <w:r w:rsidRPr="00462B13">
              <w:rPr>
                <w:sz w:val="20"/>
                <w:lang w:val="en-US"/>
              </w:rPr>
              <w:t xml:space="preserve">cNK-Ly,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0.14</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[0.02 – 0.91]</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0.12</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0.71]</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ns</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nc</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sz w:val="20"/>
                <w:lang w:val="en-US"/>
              </w:rPr>
              <w:t xml:space="preserve">tot-Mono,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0.44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[0.02 – 7.00]</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0.37</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[0.01 – 1.64]</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0.015</w:t>
            </w:r>
          </w:p>
        </w:tc>
        <w:tc>
          <w:tcPr>
            <w:tcW w:w="1276"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0.610</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lang w:val="en-US"/>
              </w:rPr>
            </w:pPr>
            <w:r w:rsidRPr="00462B13">
              <w:rPr>
                <w:lang w:val="en-US"/>
              </w:rPr>
              <w:t>CD16</w:t>
            </w:r>
            <w:r w:rsidRPr="00462B13">
              <w:rPr>
                <w:sz w:val="24"/>
                <w:vertAlign w:val="superscript"/>
                <w:lang w:val="en-US"/>
              </w:rPr>
              <w:t>neg</w:t>
            </w:r>
            <w:r w:rsidRPr="00462B13">
              <w:rPr>
                <w:sz w:val="20"/>
              </w:rPr>
              <w:t xml:space="preserve"> Mono,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r w:rsidRPr="00462B13" w:rsidDel="003E70F9">
              <w:rPr>
                <w:sz w:val="20"/>
                <w:lang w:val="en-US"/>
              </w:rPr>
              <w:t xml:space="preserve"> </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0.38</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[0.01 – 6.89]</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0.34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[0.01 – 1.32]</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0.023</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0.603</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18"/>
                <w:szCs w:val="20"/>
                <w:lang w:val="en-US"/>
              </w:rPr>
            </w:pPr>
            <w:r w:rsidRPr="00462B13">
              <w:rPr>
                <w:lang w:val="en-US"/>
              </w:rPr>
              <w:t>CD16</w:t>
            </w:r>
            <w:r w:rsidRPr="00462B13">
              <w:rPr>
                <w:sz w:val="24"/>
                <w:vertAlign w:val="superscript"/>
                <w:lang w:val="en-US"/>
              </w:rPr>
              <w:t>pos</w:t>
            </w:r>
            <w:r w:rsidRPr="00462B13" w:rsidDel="003E70F9">
              <w:rPr>
                <w:sz w:val="20"/>
                <w:lang w:val="en-US"/>
              </w:rPr>
              <w:t xml:space="preserve"> </w:t>
            </w:r>
            <w:r w:rsidRPr="00462B13">
              <w:rPr>
                <w:sz w:val="20"/>
                <w:lang w:val="en-US"/>
              </w:rPr>
              <w:t xml:space="preserve">Mono, </w:t>
            </w:r>
            <w:r>
              <w:rPr>
                <w:rFonts w:cstheme="minorHAnsi"/>
                <w:bCs/>
                <w:iCs/>
                <w:sz w:val="20"/>
                <w:szCs w:val="20"/>
                <w:lang w:val="en-US"/>
              </w:rPr>
              <w:t>×</w:t>
            </w:r>
            <w:r w:rsidRPr="00462B13">
              <w:rPr>
                <w:bCs/>
                <w:iCs/>
                <w:sz w:val="20"/>
                <w:szCs w:val="20"/>
                <w:lang w:val="en-US"/>
              </w:rPr>
              <w:t>10</w:t>
            </w:r>
            <w:r w:rsidRPr="00462B13">
              <w:rPr>
                <w:bCs/>
                <w:iCs/>
                <w:sz w:val="20"/>
                <w:szCs w:val="20"/>
                <w:vertAlign w:val="superscript"/>
                <w:lang w:val="en-US"/>
              </w:rPr>
              <w:t>9</w:t>
            </w:r>
            <w:r w:rsidRPr="00462B13">
              <w:rPr>
                <w:sz w:val="20"/>
                <w:lang w:val="en-US"/>
              </w:rPr>
              <w:t>/L</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0.056</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[0.003- 0.548]</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0.038</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[0.002 – 0.329]</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18"/>
                <w:lang w:val="en-US"/>
              </w:rPr>
              <w:t>0.013</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0.613</w:t>
            </w:r>
          </w:p>
        </w:tc>
      </w:tr>
      <w:tr w:rsidR="00395432" w:rsidRPr="00462B13" w:rsidTr="001B5424">
        <w:tc>
          <w:tcPr>
            <w:tcW w:w="2972" w:type="dxa"/>
            <w:vAlign w:val="center"/>
          </w:tcPr>
          <w:p w:rsidR="00395432" w:rsidRPr="00462B13" w:rsidRDefault="00395432" w:rsidP="001B5424">
            <w:pPr>
              <w:pStyle w:val="Listenabsatz"/>
              <w:ind w:left="0"/>
              <w:rPr>
                <w:sz w:val="18"/>
                <w:szCs w:val="20"/>
                <w:lang w:val="en-US"/>
              </w:rPr>
            </w:pPr>
            <w:r w:rsidRPr="00462B13">
              <w:rPr>
                <w:sz w:val="20"/>
                <w:lang w:val="en-US"/>
              </w:rPr>
              <w:t>[CD16</w:t>
            </w:r>
            <w:r w:rsidRPr="00462B13">
              <w:rPr>
                <w:sz w:val="24"/>
                <w:vertAlign w:val="superscript"/>
                <w:lang w:val="en-US"/>
              </w:rPr>
              <w:t>pos</w:t>
            </w:r>
            <w:r w:rsidRPr="00462B13" w:rsidDel="00F777EC">
              <w:rPr>
                <w:sz w:val="20"/>
                <w:lang w:val="en-US"/>
              </w:rPr>
              <w:t xml:space="preserve"> </w:t>
            </w:r>
            <w:r w:rsidRPr="00462B13">
              <w:rPr>
                <w:sz w:val="20"/>
                <w:lang w:val="en-US"/>
              </w:rPr>
              <w:t>Mono/Tot-Mono]</w:t>
            </w:r>
          </w:p>
        </w:tc>
        <w:tc>
          <w:tcPr>
            <w:tcW w:w="1843" w:type="dxa"/>
            <w:vAlign w:val="center"/>
          </w:tcPr>
          <w:p w:rsidR="00395432" w:rsidRPr="00462B13" w:rsidRDefault="00395432" w:rsidP="001B5424">
            <w:pPr>
              <w:pStyle w:val="Listenabsatz"/>
              <w:ind w:left="0"/>
              <w:jc w:val="center"/>
              <w:rPr>
                <w:sz w:val="20"/>
                <w:szCs w:val="20"/>
                <w:lang w:val="en-US"/>
              </w:rPr>
            </w:pPr>
            <w:r w:rsidRPr="00462B13">
              <w:rPr>
                <w:sz w:val="20"/>
                <w:szCs w:val="20"/>
                <w:lang w:val="en-US"/>
              </w:rPr>
              <w:t>12.1</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[1 – 80.3]</w:t>
            </w:r>
          </w:p>
        </w:tc>
        <w:tc>
          <w:tcPr>
            <w:tcW w:w="1559" w:type="dxa"/>
            <w:vAlign w:val="center"/>
          </w:tcPr>
          <w:p w:rsidR="00395432" w:rsidRPr="00462B13" w:rsidRDefault="00395432" w:rsidP="001B5424">
            <w:pPr>
              <w:pStyle w:val="Listenabsatz"/>
              <w:ind w:left="0"/>
              <w:jc w:val="center"/>
              <w:rPr>
                <w:sz w:val="20"/>
                <w:szCs w:val="20"/>
              </w:rPr>
            </w:pPr>
            <w:r w:rsidRPr="00462B13">
              <w:rPr>
                <w:sz w:val="20"/>
                <w:szCs w:val="20"/>
              </w:rPr>
              <w:t>12.1</w:t>
            </w:r>
          </w:p>
          <w:p w:rsidR="00395432" w:rsidRPr="00462B13" w:rsidRDefault="00395432" w:rsidP="001B5424">
            <w:pPr>
              <w:pStyle w:val="Listenabsatz"/>
              <w:spacing w:line="276" w:lineRule="auto"/>
              <w:ind w:left="0"/>
              <w:jc w:val="center"/>
              <w:rPr>
                <w:sz w:val="18"/>
                <w:szCs w:val="18"/>
              </w:rPr>
            </w:pPr>
            <w:r w:rsidRPr="00462B13">
              <w:rPr>
                <w:sz w:val="18"/>
                <w:szCs w:val="18"/>
              </w:rPr>
              <w:t>[1.6 – 93.8]</w:t>
            </w:r>
          </w:p>
        </w:tc>
        <w:tc>
          <w:tcPr>
            <w:tcW w:w="992" w:type="dxa"/>
            <w:vAlign w:val="center"/>
          </w:tcPr>
          <w:p w:rsidR="00395432" w:rsidRPr="00462B13" w:rsidRDefault="00395432" w:rsidP="001B5424">
            <w:pPr>
              <w:pStyle w:val="Listenabsatz"/>
              <w:spacing w:line="276" w:lineRule="auto"/>
              <w:ind w:left="0"/>
              <w:jc w:val="center"/>
              <w:rPr>
                <w:sz w:val="18"/>
                <w:szCs w:val="18"/>
              </w:rPr>
            </w:pPr>
            <w:r w:rsidRPr="00462B13">
              <w:rPr>
                <w:sz w:val="20"/>
                <w:szCs w:val="20"/>
              </w:rPr>
              <w:t>ns</w:t>
            </w:r>
          </w:p>
        </w:tc>
        <w:tc>
          <w:tcPr>
            <w:tcW w:w="1276" w:type="dxa"/>
            <w:vAlign w:val="center"/>
          </w:tcPr>
          <w:p w:rsidR="00395432" w:rsidRPr="00462B13" w:rsidRDefault="00395432" w:rsidP="001B5424">
            <w:pPr>
              <w:pStyle w:val="Listenabsatz"/>
              <w:spacing w:line="276" w:lineRule="auto"/>
              <w:ind w:left="0"/>
              <w:jc w:val="center"/>
              <w:rPr>
                <w:sz w:val="18"/>
                <w:szCs w:val="18"/>
              </w:rPr>
            </w:pPr>
            <w:r w:rsidRPr="00462B13">
              <w:rPr>
                <w:sz w:val="20"/>
                <w:szCs w:val="20"/>
              </w:rPr>
              <w:t>nc</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4"/>
              </w:rPr>
            </w:pPr>
            <w:r w:rsidRPr="00462B13">
              <w:rPr>
                <w:sz w:val="20"/>
              </w:rPr>
              <w:t>[</w:t>
            </w:r>
            <w:r w:rsidRPr="00462B13">
              <w:rPr>
                <w:sz w:val="20"/>
                <w:szCs w:val="20"/>
                <w:lang w:val="en-US"/>
              </w:rPr>
              <w:t>CD16</w:t>
            </w:r>
            <w:r w:rsidRPr="00462B13">
              <w:rPr>
                <w:sz w:val="20"/>
                <w:szCs w:val="20"/>
                <w:vertAlign w:val="superscript"/>
                <w:lang w:val="en-US"/>
              </w:rPr>
              <w:t>neg</w:t>
            </w:r>
            <w:r w:rsidRPr="00462B13">
              <w:rPr>
                <w:sz w:val="20"/>
                <w:szCs w:val="20"/>
              </w:rPr>
              <w:t xml:space="preserve"> Mono</w:t>
            </w:r>
            <w:r w:rsidRPr="00462B13">
              <w:rPr>
                <w:sz w:val="20"/>
              </w:rPr>
              <w:t>/</w:t>
            </w:r>
            <w:r w:rsidRPr="00462B13">
              <w:rPr>
                <w:lang w:val="en-US"/>
              </w:rPr>
              <w:t>CD16</w:t>
            </w:r>
            <w:r w:rsidRPr="00462B13">
              <w:rPr>
                <w:sz w:val="24"/>
                <w:vertAlign w:val="superscript"/>
                <w:lang w:val="en-US"/>
              </w:rPr>
              <w:t>pos</w:t>
            </w:r>
            <w:r w:rsidRPr="00462B13">
              <w:rPr>
                <w:sz w:val="20"/>
              </w:rPr>
              <w:t xml:space="preserve"> Mono] </w:t>
            </w:r>
          </w:p>
        </w:tc>
        <w:tc>
          <w:tcPr>
            <w:tcW w:w="1843" w:type="dxa"/>
            <w:vAlign w:val="center"/>
          </w:tcPr>
          <w:p w:rsidR="00395432" w:rsidRPr="00462B13" w:rsidRDefault="00395432" w:rsidP="001B5424">
            <w:pPr>
              <w:pStyle w:val="Listenabsatz"/>
              <w:spacing w:line="276" w:lineRule="auto"/>
              <w:ind w:left="0"/>
              <w:jc w:val="center"/>
              <w:rPr>
                <w:sz w:val="20"/>
                <w:szCs w:val="20"/>
              </w:rPr>
            </w:pPr>
            <w:r w:rsidRPr="00462B13">
              <w:rPr>
                <w:sz w:val="20"/>
                <w:szCs w:val="20"/>
              </w:rPr>
              <w:t>7.3</w:t>
            </w:r>
          </w:p>
          <w:p w:rsidR="00395432" w:rsidRPr="00462B13" w:rsidRDefault="00395432" w:rsidP="001B5424">
            <w:pPr>
              <w:pStyle w:val="Listenabsatz"/>
              <w:spacing w:line="276" w:lineRule="auto"/>
              <w:ind w:left="0"/>
              <w:jc w:val="center"/>
              <w:rPr>
                <w:sz w:val="18"/>
                <w:szCs w:val="18"/>
              </w:rPr>
            </w:pPr>
            <w:r w:rsidRPr="00462B13">
              <w:rPr>
                <w:sz w:val="18"/>
                <w:szCs w:val="18"/>
              </w:rPr>
              <w:t>[0.3 – 89.8]</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7.5</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[1.1 – 58.3]</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ns</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nc</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18"/>
                <w:szCs w:val="20"/>
                <w:lang w:val="en-US"/>
              </w:rPr>
            </w:pPr>
            <w:r w:rsidRPr="00462B13">
              <w:rPr>
                <w:sz w:val="20"/>
                <w:lang w:val="en-US"/>
              </w:rPr>
              <w:t>[PMN/CD16</w:t>
            </w:r>
            <w:r w:rsidRPr="00462B13">
              <w:rPr>
                <w:sz w:val="24"/>
                <w:vertAlign w:val="superscript"/>
                <w:lang w:val="en-US"/>
              </w:rPr>
              <w:t>pos</w:t>
            </w:r>
            <w:r w:rsidRPr="00462B13">
              <w:rPr>
                <w:sz w:val="20"/>
                <w:lang w:val="en-US"/>
              </w:rPr>
              <w:t xml:space="preserve"> Mono] </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78</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[2 – 2,640]</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151</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[7.1 – 10,333]</w:t>
            </w:r>
          </w:p>
        </w:tc>
        <w:tc>
          <w:tcPr>
            <w:tcW w:w="992"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20"/>
                <w:lang w:val="en-US"/>
              </w:rPr>
              <w:t>0.004</w:t>
            </w:r>
          </w:p>
        </w:tc>
        <w:tc>
          <w:tcPr>
            <w:tcW w:w="1276" w:type="dxa"/>
            <w:vAlign w:val="center"/>
          </w:tcPr>
          <w:p w:rsidR="00395432" w:rsidRPr="00462B13" w:rsidRDefault="00395432" w:rsidP="001B5424">
            <w:pPr>
              <w:pStyle w:val="Listenabsatz"/>
              <w:spacing w:line="276" w:lineRule="auto"/>
              <w:ind w:left="0"/>
              <w:jc w:val="center"/>
              <w:rPr>
                <w:sz w:val="18"/>
                <w:szCs w:val="18"/>
                <w:lang w:val="en-US"/>
              </w:rPr>
            </w:pPr>
            <w:r w:rsidRPr="00462B13">
              <w:rPr>
                <w:sz w:val="20"/>
                <w:szCs w:val="18"/>
                <w:lang w:val="en-US"/>
              </w:rPr>
              <w:t>0.63</w:t>
            </w:r>
            <w:r w:rsidRPr="00462B13">
              <w:rPr>
                <w:sz w:val="20"/>
                <w:szCs w:val="20"/>
                <w:lang w:val="en-US"/>
              </w:rPr>
              <w:t>0</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0"/>
                <w:lang w:val="en-US"/>
              </w:rPr>
            </w:pPr>
            <w:r w:rsidRPr="00462B13">
              <w:rPr>
                <w:sz w:val="20"/>
                <w:lang w:val="en-US"/>
              </w:rPr>
              <w:t xml:space="preserve">CRP, mg/L </w:t>
            </w:r>
            <w:r w:rsidRPr="00462B13">
              <w:rPr>
                <w:sz w:val="16"/>
                <w:lang w:val="en-US"/>
              </w:rPr>
              <w:t>(n)</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79 </w:t>
            </w:r>
            <w:r w:rsidRPr="00462B13">
              <w:rPr>
                <w:sz w:val="16"/>
                <w:szCs w:val="16"/>
                <w:lang w:val="en-US"/>
              </w:rPr>
              <w:t>(224)</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[&lt; 5 – 479]</w:t>
            </w:r>
          </w:p>
        </w:tc>
        <w:tc>
          <w:tcPr>
            <w:tcW w:w="1559" w:type="dxa"/>
            <w:vAlign w:val="center"/>
          </w:tcPr>
          <w:p w:rsidR="00395432" w:rsidRPr="00462B13" w:rsidRDefault="00395432" w:rsidP="001B5424">
            <w:pPr>
              <w:pStyle w:val="Listenabsatz"/>
              <w:spacing w:line="276" w:lineRule="auto"/>
              <w:ind w:left="0"/>
              <w:jc w:val="center"/>
              <w:rPr>
                <w:sz w:val="16"/>
                <w:szCs w:val="16"/>
                <w:lang w:val="en-US"/>
              </w:rPr>
            </w:pPr>
            <w:r w:rsidRPr="00462B13">
              <w:rPr>
                <w:sz w:val="20"/>
                <w:szCs w:val="20"/>
                <w:lang w:val="en-US"/>
              </w:rPr>
              <w:t xml:space="preserve">124 </w:t>
            </w:r>
            <w:r w:rsidRPr="00462B13">
              <w:rPr>
                <w:sz w:val="16"/>
                <w:szCs w:val="16"/>
                <w:lang w:val="en-US"/>
              </w:rPr>
              <w:t>(46)</w:t>
            </w:r>
          </w:p>
          <w:p w:rsidR="00395432" w:rsidRPr="00462B13" w:rsidRDefault="00395432" w:rsidP="001B5424">
            <w:pPr>
              <w:pStyle w:val="Listenabsatz"/>
              <w:spacing w:line="276" w:lineRule="auto"/>
              <w:ind w:left="0"/>
              <w:jc w:val="center"/>
              <w:rPr>
                <w:sz w:val="18"/>
                <w:szCs w:val="18"/>
                <w:lang w:val="en-US"/>
              </w:rPr>
            </w:pPr>
            <w:r w:rsidRPr="00462B13">
              <w:rPr>
                <w:sz w:val="18"/>
                <w:szCs w:val="18"/>
                <w:lang w:val="en-US"/>
              </w:rPr>
              <w:t>[7.7 – 428]</w:t>
            </w:r>
          </w:p>
        </w:tc>
        <w:tc>
          <w:tcPr>
            <w:tcW w:w="992"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&lt; 0.001</w:t>
            </w:r>
          </w:p>
        </w:tc>
        <w:tc>
          <w:tcPr>
            <w:tcW w:w="1276"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0.668</w:t>
            </w:r>
          </w:p>
        </w:tc>
      </w:tr>
      <w:tr w:rsidR="00395432" w:rsidRPr="00462B13" w:rsidTr="001B5424">
        <w:tc>
          <w:tcPr>
            <w:tcW w:w="2972" w:type="dxa"/>
            <w:vAlign w:val="center"/>
          </w:tcPr>
          <w:p w:rsidR="00395432" w:rsidRPr="00462B13" w:rsidRDefault="00395432" w:rsidP="001B5424">
            <w:pPr>
              <w:pStyle w:val="Listenabsatz"/>
              <w:spacing w:line="276" w:lineRule="auto"/>
              <w:ind w:left="0"/>
              <w:rPr>
                <w:sz w:val="20"/>
              </w:rPr>
            </w:pPr>
            <w:r w:rsidRPr="00462B13">
              <w:rPr>
                <w:sz w:val="20"/>
              </w:rPr>
              <w:t xml:space="preserve">D-Dimers, mg/L </w:t>
            </w:r>
            <w:r w:rsidRPr="00462B13">
              <w:rPr>
                <w:sz w:val="16"/>
              </w:rPr>
              <w:t>(n)</w:t>
            </w:r>
          </w:p>
        </w:tc>
        <w:tc>
          <w:tcPr>
            <w:tcW w:w="1843"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0.80 </w:t>
            </w:r>
            <w:r w:rsidRPr="00462B13">
              <w:rPr>
                <w:sz w:val="16"/>
                <w:szCs w:val="16"/>
                <w:lang w:val="en-US"/>
              </w:rPr>
              <w:t>(117)</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[&lt; 0.12 – 98.47]</w:t>
            </w:r>
          </w:p>
        </w:tc>
        <w:tc>
          <w:tcPr>
            <w:tcW w:w="1559"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 xml:space="preserve">2.49 </w:t>
            </w:r>
            <w:r w:rsidRPr="00462B13">
              <w:rPr>
                <w:sz w:val="16"/>
                <w:szCs w:val="16"/>
                <w:lang w:val="en-US"/>
              </w:rPr>
              <w:t>(20)</w:t>
            </w:r>
          </w:p>
          <w:p w:rsidR="00395432" w:rsidRPr="00462B13" w:rsidRDefault="00395432" w:rsidP="001B5424">
            <w:pPr>
              <w:pStyle w:val="Listenabsatz"/>
              <w:spacing w:line="276" w:lineRule="auto"/>
              <w:ind w:left="0"/>
              <w:jc w:val="center"/>
              <w:rPr>
                <w:sz w:val="20"/>
                <w:szCs w:val="20"/>
                <w:lang w:val="en-US"/>
              </w:rPr>
            </w:pPr>
            <w:r w:rsidRPr="00462B13">
              <w:rPr>
                <w:sz w:val="18"/>
                <w:szCs w:val="18"/>
                <w:lang w:val="en-US"/>
              </w:rPr>
              <w:t>[0.27– 60.51]</w:t>
            </w:r>
          </w:p>
        </w:tc>
        <w:tc>
          <w:tcPr>
            <w:tcW w:w="992"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&lt; 0.001</w:t>
            </w:r>
          </w:p>
        </w:tc>
        <w:tc>
          <w:tcPr>
            <w:tcW w:w="1276" w:type="dxa"/>
            <w:vAlign w:val="center"/>
          </w:tcPr>
          <w:p w:rsidR="00395432" w:rsidRPr="00462B13" w:rsidRDefault="00395432" w:rsidP="001B5424">
            <w:pPr>
              <w:pStyle w:val="Listenabsatz"/>
              <w:spacing w:line="276" w:lineRule="auto"/>
              <w:ind w:left="0"/>
              <w:jc w:val="center"/>
              <w:rPr>
                <w:sz w:val="20"/>
                <w:szCs w:val="20"/>
                <w:lang w:val="en-US"/>
              </w:rPr>
            </w:pPr>
            <w:r w:rsidRPr="00462B13">
              <w:rPr>
                <w:sz w:val="20"/>
                <w:szCs w:val="20"/>
                <w:lang w:val="en-US"/>
              </w:rPr>
              <w:t>0.740</w:t>
            </w:r>
          </w:p>
        </w:tc>
      </w:tr>
    </w:tbl>
    <w:p w:rsidR="00395432" w:rsidRPr="00462B13" w:rsidRDefault="00395432" w:rsidP="00395432">
      <w:pPr>
        <w:pStyle w:val="Listenabsatz"/>
        <w:spacing w:before="120" w:after="120" w:line="480" w:lineRule="auto"/>
        <w:ind w:left="357"/>
        <w:rPr>
          <w:sz w:val="24"/>
          <w:lang w:val="en-US"/>
        </w:rPr>
      </w:pPr>
    </w:p>
    <w:p w:rsidR="00395432" w:rsidRPr="00462B13" w:rsidRDefault="00395432" w:rsidP="00395432">
      <w:pPr>
        <w:pStyle w:val="Listenabsatz"/>
        <w:spacing w:before="120" w:after="120" w:line="360" w:lineRule="auto"/>
        <w:ind w:left="357"/>
        <w:jc w:val="both"/>
        <w:rPr>
          <w:sz w:val="24"/>
          <w:lang w:val="en-US"/>
        </w:rPr>
      </w:pPr>
      <w:r w:rsidRPr="00462B13">
        <w:rPr>
          <w:sz w:val="24"/>
          <w:lang w:val="en-US"/>
        </w:rPr>
        <w:t>Numeric results are expressed in median and [range]. When values were missing, the number between brackets next to the median indicate the number (n) of patients for whom the information was available. cNK-Ly, cytotoxic/Natural Killer lymphocytes; CRP, C-reactive protein; Ly, lymphocytes; nc, not calculated; ncT-Ly, non cytotoxic T-Ly; ns, not significant; PMN, polymorphonuclear cells; tot-, total; WBC, white blood cells</w:t>
      </w:r>
      <w:r>
        <w:rPr>
          <w:sz w:val="24"/>
          <w:lang w:val="en-US"/>
        </w:rPr>
        <w:t>.</w:t>
      </w:r>
    </w:p>
    <w:p w:rsidR="000B3C07" w:rsidRDefault="00395432">
      <w:bookmarkStart w:id="0" w:name="_GoBack"/>
      <w:bookmarkEnd w:id="0"/>
    </w:p>
    <w:sectPr w:rsidR="000B3C07" w:rsidSect="00446DD1">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32"/>
    <w:rsid w:val="00395432"/>
    <w:rsid w:val="004743E6"/>
    <w:rsid w:val="00BC1D6A"/>
    <w:rsid w:val="00C15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74D9C-F76F-4EAF-ADFB-70FE5571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5432"/>
    <w:pPr>
      <w:spacing w:after="160" w:line="259" w:lineRule="auto"/>
    </w:pPr>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95432"/>
    <w:pPr>
      <w:ind w:left="720"/>
      <w:contextualSpacing/>
    </w:pPr>
  </w:style>
  <w:style w:type="table" w:styleId="Tabellenraster">
    <w:name w:val="Table Grid"/>
    <w:basedOn w:val="NormaleTabelle"/>
    <w:uiPriority w:val="39"/>
    <w:rsid w:val="00395432"/>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Jahnke, Heike</cp:lastModifiedBy>
  <cp:revision>1</cp:revision>
  <dcterms:created xsi:type="dcterms:W3CDTF">2021-02-08T08:13:00Z</dcterms:created>
  <dcterms:modified xsi:type="dcterms:W3CDTF">2021-02-08T08:14:00Z</dcterms:modified>
</cp:coreProperties>
</file>