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FE8" w:rsidRPr="00A20A4D" w:rsidRDefault="00D95FE8" w:rsidP="00D95FE8">
      <w:pPr>
        <w:pStyle w:val="berschrift1"/>
        <w:rPr>
          <w:rFonts w:ascii="Arial" w:hAnsi="Arial" w:cs="Arial"/>
          <w:u w:val="none"/>
        </w:rPr>
      </w:pPr>
      <w:r w:rsidRPr="00A20A4D">
        <w:rPr>
          <w:rFonts w:ascii="Arial" w:hAnsi="Arial" w:cs="Arial"/>
          <w:u w:val="none"/>
        </w:rPr>
        <w:t>Supplemental Table 1</w:t>
      </w:r>
      <w:r w:rsidR="000D2011" w:rsidRPr="00A20A4D">
        <w:rPr>
          <w:rFonts w:ascii="Arial" w:hAnsi="Arial" w:cs="Arial"/>
          <w:u w:val="none"/>
        </w:rPr>
        <w:t xml:space="preserve"> </w:t>
      </w:r>
      <w:r w:rsidR="000D2011" w:rsidRPr="00A20A4D">
        <w:rPr>
          <w:rFonts w:ascii="Arial" w:hAnsi="Arial" w:cs="Arial"/>
          <w:b w:val="0"/>
          <w:u w:val="none"/>
        </w:rPr>
        <w:t>Participating centers and respective analytical devices.</w:t>
      </w:r>
    </w:p>
    <w:tbl>
      <w:tblPr>
        <w:tblStyle w:val="Tabellenraster"/>
        <w:tblW w:w="13887" w:type="dxa"/>
        <w:tblLayout w:type="fixed"/>
        <w:tblCellMar>
          <w:left w:w="57" w:type="dxa"/>
          <w:right w:w="57" w:type="dxa"/>
        </w:tblCellMar>
        <w:tblLook w:val="04A0" w:firstRow="1" w:lastRow="0" w:firstColumn="1" w:lastColumn="0" w:noHBand="0" w:noVBand="1"/>
      </w:tblPr>
      <w:tblGrid>
        <w:gridCol w:w="755"/>
        <w:gridCol w:w="5006"/>
        <w:gridCol w:w="5716"/>
        <w:gridCol w:w="2410"/>
      </w:tblGrid>
      <w:tr w:rsidR="00D95FE8" w:rsidRPr="00A20A4D" w:rsidTr="0043747D">
        <w:trPr>
          <w:trHeight w:val="70"/>
        </w:trPr>
        <w:tc>
          <w:tcPr>
            <w:tcW w:w="755" w:type="dxa"/>
            <w:vAlign w:val="center"/>
          </w:tcPr>
          <w:p w:rsidR="00D95FE8" w:rsidRPr="00A20A4D" w:rsidRDefault="00D95FE8" w:rsidP="0043747D">
            <w:pPr>
              <w:keepNext/>
              <w:keepLines/>
              <w:spacing w:after="0" w:line="240" w:lineRule="auto"/>
              <w:outlineLvl w:val="2"/>
              <w:rPr>
                <w:rFonts w:ascii="Arial" w:eastAsia="Times New Roman" w:hAnsi="Arial" w:cs="Arial"/>
                <w:b/>
                <w:bCs/>
                <w:sz w:val="20"/>
                <w:szCs w:val="20"/>
              </w:rPr>
            </w:pPr>
            <w:r w:rsidRPr="00A20A4D">
              <w:rPr>
                <w:rFonts w:ascii="Arial" w:eastAsia="Times New Roman" w:hAnsi="Arial" w:cs="Arial"/>
                <w:b/>
                <w:bCs/>
                <w:sz w:val="20"/>
                <w:szCs w:val="20"/>
              </w:rPr>
              <w:t>Code</w:t>
            </w:r>
          </w:p>
        </w:tc>
        <w:tc>
          <w:tcPr>
            <w:tcW w:w="5006" w:type="dxa"/>
            <w:vAlign w:val="center"/>
          </w:tcPr>
          <w:p w:rsidR="00D95FE8" w:rsidRPr="00A20A4D" w:rsidRDefault="00D95FE8" w:rsidP="0043747D">
            <w:pPr>
              <w:keepNext/>
              <w:keepLines/>
              <w:spacing w:after="0" w:line="240" w:lineRule="auto"/>
              <w:outlineLvl w:val="2"/>
              <w:rPr>
                <w:rFonts w:ascii="Arial" w:eastAsia="Times New Roman" w:hAnsi="Arial" w:cs="Arial"/>
                <w:b/>
                <w:bCs/>
                <w:sz w:val="20"/>
                <w:szCs w:val="20"/>
              </w:rPr>
            </w:pPr>
            <w:r w:rsidRPr="00A20A4D">
              <w:rPr>
                <w:rFonts w:ascii="Arial" w:eastAsia="Times New Roman" w:hAnsi="Arial" w:cs="Arial"/>
                <w:b/>
                <w:bCs/>
                <w:sz w:val="20"/>
                <w:szCs w:val="20"/>
              </w:rPr>
              <w:t>Center (all in Germany)</w:t>
            </w:r>
          </w:p>
        </w:tc>
        <w:tc>
          <w:tcPr>
            <w:tcW w:w="5716" w:type="dxa"/>
            <w:shd w:val="clear" w:color="auto" w:fill="auto"/>
            <w:vAlign w:val="center"/>
          </w:tcPr>
          <w:p w:rsidR="00D95FE8" w:rsidRPr="00A20A4D" w:rsidRDefault="00D95FE8" w:rsidP="0043747D">
            <w:pPr>
              <w:keepNext/>
              <w:keepLines/>
              <w:spacing w:after="0" w:line="240" w:lineRule="auto"/>
              <w:outlineLvl w:val="2"/>
              <w:rPr>
                <w:rFonts w:ascii="Arial" w:eastAsia="Times New Roman" w:hAnsi="Arial" w:cs="Arial"/>
                <w:b/>
                <w:bCs/>
                <w:sz w:val="20"/>
                <w:szCs w:val="20"/>
              </w:rPr>
            </w:pPr>
            <w:r w:rsidRPr="00A20A4D">
              <w:rPr>
                <w:rFonts w:ascii="Arial" w:eastAsia="Times New Roman" w:hAnsi="Arial" w:cs="Arial"/>
                <w:b/>
                <w:bCs/>
                <w:sz w:val="20"/>
                <w:szCs w:val="20"/>
              </w:rPr>
              <w:t>Analytical device(s)</w:t>
            </w:r>
          </w:p>
        </w:tc>
        <w:tc>
          <w:tcPr>
            <w:tcW w:w="2410" w:type="dxa"/>
            <w:vAlign w:val="center"/>
          </w:tcPr>
          <w:p w:rsidR="00D95FE8" w:rsidRPr="00A20A4D" w:rsidRDefault="00D95FE8" w:rsidP="0043747D">
            <w:pPr>
              <w:keepNext/>
              <w:keepLines/>
              <w:spacing w:after="0" w:line="240" w:lineRule="auto"/>
              <w:outlineLvl w:val="2"/>
              <w:rPr>
                <w:rFonts w:ascii="Arial" w:eastAsia="Times New Roman" w:hAnsi="Arial" w:cs="Arial"/>
                <w:b/>
                <w:bCs/>
                <w:sz w:val="20"/>
                <w:szCs w:val="20"/>
              </w:rPr>
            </w:pPr>
            <w:r w:rsidRPr="00A20A4D">
              <w:rPr>
                <w:rFonts w:ascii="Arial" w:eastAsia="Times New Roman" w:hAnsi="Arial" w:cs="Arial"/>
                <w:b/>
                <w:bCs/>
                <w:sz w:val="20"/>
                <w:szCs w:val="20"/>
              </w:rPr>
              <w:t>Samples’ time range</w:t>
            </w:r>
          </w:p>
        </w:tc>
      </w:tr>
      <w:tr w:rsidR="00D95FE8" w:rsidRPr="00A20A4D" w:rsidTr="0043747D">
        <w:trPr>
          <w:trHeight w:val="114"/>
        </w:trPr>
        <w:tc>
          <w:tcPr>
            <w:tcW w:w="755"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A</w:t>
            </w:r>
          </w:p>
        </w:tc>
        <w:tc>
          <w:tcPr>
            <w:tcW w:w="5006"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rPr>
              <w:t xml:space="preserve">University Hospital Erlangen, </w:t>
            </w:r>
            <w:proofErr w:type="spellStart"/>
            <w:r w:rsidRPr="00A20A4D">
              <w:rPr>
                <w:rFonts w:ascii="Arial" w:eastAsia="Times New Roman" w:hAnsi="Arial" w:cs="Arial"/>
                <w:sz w:val="20"/>
                <w:szCs w:val="20"/>
              </w:rPr>
              <w:t>Erla</w:t>
            </w:r>
            <w:r w:rsidRPr="00A20A4D">
              <w:rPr>
                <w:rFonts w:ascii="Arial" w:eastAsia="Times New Roman" w:hAnsi="Arial" w:cs="Arial"/>
                <w:sz w:val="20"/>
                <w:szCs w:val="20"/>
                <w:lang w:val="de-DE"/>
              </w:rPr>
              <w:t>ngen</w:t>
            </w:r>
            <w:proofErr w:type="spellEnd"/>
          </w:p>
        </w:tc>
        <w:tc>
          <w:tcPr>
            <w:tcW w:w="5716" w:type="dxa"/>
            <w:shd w:val="clear" w:color="auto" w:fill="auto"/>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 xml:space="preserve">Roche </w:t>
            </w:r>
            <w:proofErr w:type="spellStart"/>
            <w:r w:rsidRPr="00A20A4D">
              <w:rPr>
                <w:rFonts w:ascii="Arial" w:eastAsia="Times New Roman" w:hAnsi="Arial" w:cs="Arial"/>
                <w:sz w:val="20"/>
                <w:szCs w:val="20"/>
                <w:lang w:val="de-DE"/>
              </w:rPr>
              <w:t>cobas</w:t>
            </w:r>
            <w:proofErr w:type="spellEnd"/>
            <w:r w:rsidRPr="00A20A4D">
              <w:rPr>
                <w:rFonts w:ascii="Arial" w:eastAsia="Times New Roman" w:hAnsi="Arial" w:cs="Arial"/>
                <w:sz w:val="20"/>
                <w:szCs w:val="20"/>
                <w:lang w:val="de-DE"/>
              </w:rPr>
              <w:t xml:space="preserve"> </w:t>
            </w:r>
            <w:proofErr w:type="spellStart"/>
            <w:r w:rsidRPr="00A20A4D">
              <w:rPr>
                <w:rFonts w:ascii="Arial" w:eastAsia="Times New Roman" w:hAnsi="Arial" w:cs="Arial"/>
                <w:sz w:val="20"/>
                <w:szCs w:val="20"/>
                <w:lang w:val="de-DE"/>
              </w:rPr>
              <w:t>integra</w:t>
            </w:r>
            <w:proofErr w:type="spellEnd"/>
            <w:r w:rsidRPr="00A20A4D">
              <w:rPr>
                <w:rFonts w:ascii="Arial" w:eastAsia="Times New Roman" w:hAnsi="Arial" w:cs="Arial"/>
                <w:sz w:val="20"/>
                <w:szCs w:val="20"/>
                <w:lang w:val="de-DE"/>
              </w:rPr>
              <w:t xml:space="preserve"> 800</w:t>
            </w:r>
          </w:p>
        </w:tc>
        <w:tc>
          <w:tcPr>
            <w:tcW w:w="2410"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2008-2016</w:t>
            </w:r>
          </w:p>
        </w:tc>
      </w:tr>
      <w:tr w:rsidR="00D95FE8" w:rsidRPr="00A20A4D" w:rsidTr="0043747D">
        <w:trPr>
          <w:trHeight w:val="114"/>
        </w:trPr>
        <w:tc>
          <w:tcPr>
            <w:tcW w:w="755"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B</w:t>
            </w:r>
          </w:p>
        </w:tc>
        <w:tc>
          <w:tcPr>
            <w:tcW w:w="5006"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 xml:space="preserve">University Hospital of </w:t>
            </w:r>
            <w:proofErr w:type="spellStart"/>
            <w:r w:rsidRPr="00A20A4D">
              <w:rPr>
                <w:rFonts w:ascii="Arial" w:eastAsia="Times New Roman" w:hAnsi="Arial" w:cs="Arial"/>
                <w:sz w:val="20"/>
                <w:szCs w:val="20"/>
              </w:rPr>
              <w:t>Würzburg</w:t>
            </w:r>
            <w:proofErr w:type="spellEnd"/>
            <w:r w:rsidRPr="00A20A4D">
              <w:rPr>
                <w:rFonts w:ascii="Arial" w:eastAsia="Times New Roman" w:hAnsi="Arial" w:cs="Arial"/>
                <w:sz w:val="20"/>
                <w:szCs w:val="20"/>
              </w:rPr>
              <w:t xml:space="preserve">, </w:t>
            </w:r>
            <w:proofErr w:type="spellStart"/>
            <w:r w:rsidRPr="00A20A4D">
              <w:rPr>
                <w:rFonts w:ascii="Arial" w:eastAsia="Times New Roman" w:hAnsi="Arial" w:cs="Arial"/>
                <w:sz w:val="20"/>
                <w:szCs w:val="20"/>
              </w:rPr>
              <w:t>Würzburg</w:t>
            </w:r>
            <w:proofErr w:type="spellEnd"/>
          </w:p>
        </w:tc>
        <w:tc>
          <w:tcPr>
            <w:tcW w:w="5716" w:type="dxa"/>
            <w:shd w:val="clear" w:color="auto" w:fill="auto"/>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 xml:space="preserve">Roche </w:t>
            </w:r>
            <w:proofErr w:type="spellStart"/>
            <w:r w:rsidRPr="00A20A4D">
              <w:rPr>
                <w:rFonts w:ascii="Arial" w:eastAsia="Times New Roman" w:hAnsi="Arial" w:cs="Arial"/>
                <w:sz w:val="20"/>
                <w:szCs w:val="20"/>
              </w:rPr>
              <w:t>cobas</w:t>
            </w:r>
            <w:proofErr w:type="spellEnd"/>
            <w:r w:rsidRPr="00A20A4D">
              <w:rPr>
                <w:rFonts w:ascii="Arial" w:eastAsia="Times New Roman" w:hAnsi="Arial" w:cs="Arial"/>
                <w:sz w:val="20"/>
                <w:szCs w:val="20"/>
              </w:rPr>
              <w:t xml:space="preserve"> 8000</w:t>
            </w:r>
          </w:p>
        </w:tc>
        <w:tc>
          <w:tcPr>
            <w:tcW w:w="2410"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2010-2017</w:t>
            </w:r>
          </w:p>
        </w:tc>
      </w:tr>
      <w:tr w:rsidR="00D95FE8" w:rsidRPr="00A20A4D" w:rsidTr="0043747D">
        <w:trPr>
          <w:trHeight w:val="114"/>
        </w:trPr>
        <w:tc>
          <w:tcPr>
            <w:tcW w:w="755"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C</w:t>
            </w:r>
          </w:p>
        </w:tc>
        <w:tc>
          <w:tcPr>
            <w:tcW w:w="5006"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University Medical Centre Ulm, Ulm</w:t>
            </w:r>
          </w:p>
        </w:tc>
        <w:tc>
          <w:tcPr>
            <w:tcW w:w="5716" w:type="dxa"/>
            <w:shd w:val="clear" w:color="auto" w:fill="auto"/>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 xml:space="preserve">Roche </w:t>
            </w:r>
            <w:proofErr w:type="spellStart"/>
            <w:r w:rsidRPr="00A20A4D">
              <w:rPr>
                <w:rFonts w:ascii="Arial" w:eastAsia="Times New Roman" w:hAnsi="Arial" w:cs="Arial"/>
                <w:sz w:val="20"/>
                <w:szCs w:val="20"/>
              </w:rPr>
              <w:t>cobas</w:t>
            </w:r>
            <w:proofErr w:type="spellEnd"/>
            <w:r w:rsidRPr="00A20A4D">
              <w:rPr>
                <w:rFonts w:ascii="Arial" w:eastAsia="Times New Roman" w:hAnsi="Arial" w:cs="Arial"/>
                <w:sz w:val="20"/>
                <w:szCs w:val="20"/>
              </w:rPr>
              <w:t xml:space="preserve"> 6000 and 8000</w:t>
            </w:r>
          </w:p>
        </w:tc>
        <w:tc>
          <w:tcPr>
            <w:tcW w:w="2410"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2010-2017</w:t>
            </w:r>
          </w:p>
        </w:tc>
      </w:tr>
      <w:tr w:rsidR="00D95FE8" w:rsidRPr="00A20A4D" w:rsidTr="0043747D">
        <w:trPr>
          <w:trHeight w:val="114"/>
        </w:trPr>
        <w:tc>
          <w:tcPr>
            <w:tcW w:w="755"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D</w:t>
            </w:r>
          </w:p>
        </w:tc>
        <w:tc>
          <w:tcPr>
            <w:tcW w:w="5006"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University Hospital Augsburg, Augsburg</w:t>
            </w:r>
          </w:p>
        </w:tc>
        <w:tc>
          <w:tcPr>
            <w:tcW w:w="5716" w:type="dxa"/>
            <w:shd w:val="clear" w:color="auto" w:fill="auto"/>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 xml:space="preserve">Roche </w:t>
            </w:r>
            <w:proofErr w:type="spellStart"/>
            <w:r w:rsidRPr="00A20A4D">
              <w:rPr>
                <w:rFonts w:ascii="Arial" w:eastAsia="Times New Roman" w:hAnsi="Arial" w:cs="Arial"/>
                <w:sz w:val="20"/>
                <w:szCs w:val="20"/>
              </w:rPr>
              <w:t>cobas</w:t>
            </w:r>
            <w:proofErr w:type="spellEnd"/>
            <w:r w:rsidRPr="00A20A4D">
              <w:rPr>
                <w:rFonts w:ascii="Arial" w:eastAsia="Times New Roman" w:hAnsi="Arial" w:cs="Arial"/>
                <w:sz w:val="20"/>
                <w:szCs w:val="20"/>
              </w:rPr>
              <w:t xml:space="preserve"> 8000</w:t>
            </w:r>
          </w:p>
        </w:tc>
        <w:tc>
          <w:tcPr>
            <w:tcW w:w="2410"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2012-2016</w:t>
            </w:r>
          </w:p>
        </w:tc>
      </w:tr>
      <w:tr w:rsidR="00D95FE8" w:rsidRPr="00A20A4D" w:rsidTr="0043747D">
        <w:trPr>
          <w:trHeight w:val="114"/>
        </w:trPr>
        <w:tc>
          <w:tcPr>
            <w:tcW w:w="755"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E</w:t>
            </w:r>
          </w:p>
        </w:tc>
        <w:tc>
          <w:tcPr>
            <w:tcW w:w="5006"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MVZ Labor PD Dr. Volkmann und Kollegen, Karlsruhe</w:t>
            </w:r>
          </w:p>
        </w:tc>
        <w:tc>
          <w:tcPr>
            <w:tcW w:w="5716" w:type="dxa"/>
            <w:shd w:val="clear" w:color="auto" w:fill="auto"/>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 xml:space="preserve">Roche </w:t>
            </w:r>
            <w:proofErr w:type="spellStart"/>
            <w:r w:rsidRPr="00A20A4D">
              <w:rPr>
                <w:rFonts w:ascii="Arial" w:eastAsia="Times New Roman" w:hAnsi="Arial" w:cs="Arial"/>
                <w:sz w:val="20"/>
                <w:szCs w:val="20"/>
                <w:lang w:val="de-DE"/>
              </w:rPr>
              <w:t>cobas</w:t>
            </w:r>
            <w:proofErr w:type="spellEnd"/>
            <w:r w:rsidRPr="00A20A4D">
              <w:rPr>
                <w:rFonts w:ascii="Arial" w:eastAsia="Times New Roman" w:hAnsi="Arial" w:cs="Arial"/>
                <w:sz w:val="20"/>
                <w:szCs w:val="20"/>
                <w:lang w:val="de-DE"/>
              </w:rPr>
              <w:t xml:space="preserve"> 8000</w:t>
            </w:r>
          </w:p>
        </w:tc>
        <w:tc>
          <w:tcPr>
            <w:tcW w:w="2410"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2012-2017</w:t>
            </w:r>
          </w:p>
        </w:tc>
      </w:tr>
      <w:tr w:rsidR="00D95FE8" w:rsidRPr="00A20A4D" w:rsidTr="0043747D">
        <w:trPr>
          <w:trHeight w:val="114"/>
        </w:trPr>
        <w:tc>
          <w:tcPr>
            <w:tcW w:w="755"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F</w:t>
            </w:r>
          </w:p>
        </w:tc>
        <w:tc>
          <w:tcPr>
            <w:tcW w:w="5006"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University Hospital of Cologne, Cologne</w:t>
            </w:r>
          </w:p>
        </w:tc>
        <w:tc>
          <w:tcPr>
            <w:tcW w:w="5716" w:type="dxa"/>
            <w:shd w:val="clear" w:color="auto" w:fill="auto"/>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lang w:val="de-DE"/>
              </w:rPr>
              <w:t xml:space="preserve">Roche </w:t>
            </w:r>
            <w:proofErr w:type="spellStart"/>
            <w:r w:rsidRPr="00A20A4D">
              <w:rPr>
                <w:rFonts w:ascii="Arial" w:eastAsia="Times New Roman" w:hAnsi="Arial" w:cs="Arial"/>
                <w:sz w:val="20"/>
                <w:szCs w:val="20"/>
                <w:lang w:val="de-DE"/>
              </w:rPr>
              <w:t>cobas</w:t>
            </w:r>
            <w:proofErr w:type="spellEnd"/>
          </w:p>
        </w:tc>
        <w:tc>
          <w:tcPr>
            <w:tcW w:w="2410"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2010-2016</w:t>
            </w:r>
          </w:p>
        </w:tc>
      </w:tr>
      <w:tr w:rsidR="00D95FE8" w:rsidRPr="00A20A4D" w:rsidTr="0043747D">
        <w:trPr>
          <w:trHeight w:val="114"/>
        </w:trPr>
        <w:tc>
          <w:tcPr>
            <w:tcW w:w="755"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G</w:t>
            </w:r>
          </w:p>
        </w:tc>
        <w:tc>
          <w:tcPr>
            <w:tcW w:w="5006"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Institute of Clinical Chemistry, MHH, Hannover</w:t>
            </w:r>
          </w:p>
        </w:tc>
        <w:tc>
          <w:tcPr>
            <w:tcW w:w="5716" w:type="dxa"/>
            <w:shd w:val="clear" w:color="auto" w:fill="auto"/>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 xml:space="preserve">Roche </w:t>
            </w:r>
            <w:proofErr w:type="spellStart"/>
            <w:r w:rsidRPr="00A20A4D">
              <w:rPr>
                <w:rFonts w:ascii="Arial" w:eastAsia="Times New Roman" w:hAnsi="Arial" w:cs="Arial"/>
                <w:sz w:val="20"/>
                <w:szCs w:val="20"/>
              </w:rPr>
              <w:t>cobas</w:t>
            </w:r>
            <w:proofErr w:type="spellEnd"/>
            <w:r w:rsidRPr="00A20A4D">
              <w:rPr>
                <w:rFonts w:ascii="Arial" w:eastAsia="Times New Roman" w:hAnsi="Arial" w:cs="Arial"/>
                <w:sz w:val="20"/>
                <w:szCs w:val="20"/>
              </w:rPr>
              <w:t xml:space="preserve"> 6000, c501</w:t>
            </w:r>
          </w:p>
        </w:tc>
        <w:tc>
          <w:tcPr>
            <w:tcW w:w="2410"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2009-2017</w:t>
            </w:r>
          </w:p>
        </w:tc>
      </w:tr>
      <w:tr w:rsidR="00D95FE8" w:rsidRPr="00A20A4D" w:rsidTr="0043747D">
        <w:trPr>
          <w:trHeight w:val="114"/>
        </w:trPr>
        <w:tc>
          <w:tcPr>
            <w:tcW w:w="755"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H</w:t>
            </w:r>
          </w:p>
        </w:tc>
        <w:tc>
          <w:tcPr>
            <w:tcW w:w="5006"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 xml:space="preserve">MVZ </w:t>
            </w:r>
            <w:proofErr w:type="spellStart"/>
            <w:r w:rsidRPr="00A20A4D">
              <w:rPr>
                <w:rFonts w:ascii="Arial" w:eastAsia="Times New Roman" w:hAnsi="Arial" w:cs="Arial"/>
                <w:sz w:val="20"/>
                <w:szCs w:val="20"/>
                <w:lang w:val="de-DE"/>
              </w:rPr>
              <w:t>wagnerstibbe</w:t>
            </w:r>
            <w:proofErr w:type="spellEnd"/>
            <w:r w:rsidRPr="00A20A4D">
              <w:rPr>
                <w:rFonts w:ascii="Arial" w:eastAsia="Times New Roman" w:hAnsi="Arial" w:cs="Arial"/>
                <w:sz w:val="20"/>
                <w:szCs w:val="20"/>
                <w:lang w:val="de-DE"/>
              </w:rPr>
              <w:t xml:space="preserve">, </w:t>
            </w:r>
            <w:proofErr w:type="spellStart"/>
            <w:r w:rsidRPr="00A20A4D">
              <w:rPr>
                <w:rFonts w:ascii="Arial" w:eastAsia="Times New Roman" w:hAnsi="Arial" w:cs="Arial"/>
                <w:sz w:val="20"/>
                <w:szCs w:val="20"/>
                <w:lang w:val="de-DE"/>
              </w:rPr>
              <w:t>amedes</w:t>
            </w:r>
            <w:proofErr w:type="spellEnd"/>
            <w:r w:rsidRPr="00A20A4D">
              <w:rPr>
                <w:rFonts w:ascii="Arial" w:eastAsia="Times New Roman" w:hAnsi="Arial" w:cs="Arial"/>
                <w:sz w:val="20"/>
                <w:szCs w:val="20"/>
                <w:lang w:val="de-DE"/>
              </w:rPr>
              <w:t xml:space="preserve"> Gruppe, Hannover</w:t>
            </w:r>
          </w:p>
        </w:tc>
        <w:tc>
          <w:tcPr>
            <w:tcW w:w="5716" w:type="dxa"/>
            <w:shd w:val="clear" w:color="auto" w:fill="auto"/>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 xml:space="preserve">Roche </w:t>
            </w:r>
            <w:proofErr w:type="spellStart"/>
            <w:r w:rsidRPr="00A20A4D">
              <w:rPr>
                <w:rFonts w:ascii="Arial" w:eastAsia="Times New Roman" w:hAnsi="Arial" w:cs="Arial"/>
                <w:sz w:val="20"/>
                <w:szCs w:val="20"/>
                <w:lang w:val="de-DE"/>
              </w:rPr>
              <w:t>cobas</w:t>
            </w:r>
            <w:proofErr w:type="spellEnd"/>
            <w:r w:rsidRPr="00A20A4D">
              <w:rPr>
                <w:rFonts w:ascii="Arial" w:eastAsia="Times New Roman" w:hAnsi="Arial" w:cs="Arial"/>
                <w:sz w:val="20"/>
                <w:szCs w:val="20"/>
                <w:lang w:val="de-DE"/>
              </w:rPr>
              <w:t xml:space="preserve"> 8000, </w:t>
            </w:r>
            <w:proofErr w:type="spellStart"/>
            <w:r w:rsidRPr="00A20A4D">
              <w:rPr>
                <w:rFonts w:ascii="Arial" w:eastAsia="Times New Roman" w:hAnsi="Arial" w:cs="Arial"/>
                <w:sz w:val="20"/>
                <w:szCs w:val="20"/>
                <w:lang w:val="de-DE"/>
              </w:rPr>
              <w:t>Beckman</w:t>
            </w:r>
            <w:proofErr w:type="spellEnd"/>
            <w:r w:rsidRPr="00A20A4D">
              <w:rPr>
                <w:rFonts w:ascii="Arial" w:eastAsia="Times New Roman" w:hAnsi="Arial" w:cs="Arial"/>
                <w:sz w:val="20"/>
                <w:szCs w:val="20"/>
                <w:lang w:val="de-DE"/>
              </w:rPr>
              <w:t xml:space="preserve"> </w:t>
            </w:r>
            <w:proofErr w:type="spellStart"/>
            <w:r w:rsidRPr="00A20A4D">
              <w:rPr>
                <w:rFonts w:ascii="Arial" w:eastAsia="Times New Roman" w:hAnsi="Arial" w:cs="Arial"/>
                <w:sz w:val="20"/>
                <w:szCs w:val="20"/>
                <w:lang w:val="de-DE"/>
              </w:rPr>
              <w:t>Coulter</w:t>
            </w:r>
            <w:proofErr w:type="spellEnd"/>
            <w:r w:rsidRPr="00A20A4D">
              <w:rPr>
                <w:rFonts w:ascii="Arial" w:eastAsia="Times New Roman" w:hAnsi="Arial" w:cs="Arial"/>
                <w:sz w:val="20"/>
                <w:szCs w:val="20"/>
                <w:lang w:val="de-DE"/>
              </w:rPr>
              <w:t xml:space="preserve"> AU5800/AU2700</w:t>
            </w:r>
          </w:p>
        </w:tc>
        <w:tc>
          <w:tcPr>
            <w:tcW w:w="2410"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2015-2017</w:t>
            </w:r>
          </w:p>
        </w:tc>
      </w:tr>
      <w:tr w:rsidR="00D95FE8" w:rsidRPr="00A20A4D" w:rsidTr="0043747D">
        <w:trPr>
          <w:trHeight w:val="114"/>
        </w:trPr>
        <w:tc>
          <w:tcPr>
            <w:tcW w:w="755"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I</w:t>
            </w:r>
          </w:p>
        </w:tc>
        <w:tc>
          <w:tcPr>
            <w:tcW w:w="5006"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University Hospital Schleswig-Holstein, Kiel</w:t>
            </w:r>
          </w:p>
        </w:tc>
        <w:tc>
          <w:tcPr>
            <w:tcW w:w="5716" w:type="dxa"/>
            <w:shd w:val="clear" w:color="auto" w:fill="auto"/>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 xml:space="preserve">Roche </w:t>
            </w:r>
            <w:proofErr w:type="spellStart"/>
            <w:r w:rsidRPr="00A20A4D">
              <w:rPr>
                <w:rFonts w:ascii="Arial" w:eastAsia="Times New Roman" w:hAnsi="Arial" w:cs="Arial"/>
                <w:sz w:val="20"/>
                <w:szCs w:val="20"/>
              </w:rPr>
              <w:t>cobas</w:t>
            </w:r>
            <w:proofErr w:type="spellEnd"/>
            <w:r w:rsidRPr="00A20A4D">
              <w:rPr>
                <w:rFonts w:ascii="Arial" w:eastAsia="Times New Roman" w:hAnsi="Arial" w:cs="Arial"/>
                <w:sz w:val="20"/>
                <w:szCs w:val="20"/>
              </w:rPr>
              <w:t xml:space="preserve"> 8000</w:t>
            </w:r>
          </w:p>
        </w:tc>
        <w:tc>
          <w:tcPr>
            <w:tcW w:w="2410"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2013-2017</w:t>
            </w:r>
          </w:p>
        </w:tc>
      </w:tr>
      <w:tr w:rsidR="00D95FE8" w:rsidRPr="00A20A4D" w:rsidTr="0043747D">
        <w:trPr>
          <w:trHeight w:val="114"/>
        </w:trPr>
        <w:tc>
          <w:tcPr>
            <w:tcW w:w="755"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J</w:t>
            </w:r>
          </w:p>
        </w:tc>
        <w:tc>
          <w:tcPr>
            <w:tcW w:w="5006"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Klinikum Bremen-Nord, Bremen</w:t>
            </w:r>
          </w:p>
        </w:tc>
        <w:tc>
          <w:tcPr>
            <w:tcW w:w="5716" w:type="dxa"/>
            <w:shd w:val="clear" w:color="auto" w:fill="auto"/>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 xml:space="preserve">Roche </w:t>
            </w:r>
            <w:proofErr w:type="spellStart"/>
            <w:r w:rsidRPr="00A20A4D">
              <w:rPr>
                <w:rFonts w:ascii="Arial" w:eastAsia="Times New Roman" w:hAnsi="Arial" w:cs="Arial"/>
                <w:sz w:val="20"/>
                <w:szCs w:val="20"/>
              </w:rPr>
              <w:t>cobas</w:t>
            </w:r>
            <w:proofErr w:type="spellEnd"/>
            <w:r w:rsidRPr="00A20A4D">
              <w:rPr>
                <w:rFonts w:ascii="Arial" w:eastAsia="Times New Roman" w:hAnsi="Arial" w:cs="Arial"/>
                <w:sz w:val="20"/>
                <w:szCs w:val="20"/>
              </w:rPr>
              <w:t xml:space="preserve"> c501</w:t>
            </w:r>
          </w:p>
        </w:tc>
        <w:tc>
          <w:tcPr>
            <w:tcW w:w="2410"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2010-2016</w:t>
            </w:r>
          </w:p>
        </w:tc>
      </w:tr>
      <w:tr w:rsidR="00D95FE8" w:rsidRPr="00A20A4D" w:rsidTr="0043747D">
        <w:trPr>
          <w:trHeight w:val="114"/>
        </w:trPr>
        <w:tc>
          <w:tcPr>
            <w:tcW w:w="755"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L</w:t>
            </w:r>
          </w:p>
        </w:tc>
        <w:tc>
          <w:tcPr>
            <w:tcW w:w="5006"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Regionale Kliniken Holding RKH GmbH, Ludwigsburg</w:t>
            </w:r>
          </w:p>
        </w:tc>
        <w:tc>
          <w:tcPr>
            <w:tcW w:w="5716" w:type="dxa"/>
            <w:shd w:val="clear" w:color="auto" w:fill="auto"/>
          </w:tcPr>
          <w:p w:rsidR="00D95FE8" w:rsidRPr="00A20A4D" w:rsidRDefault="00D95FE8" w:rsidP="0043747D">
            <w:pPr>
              <w:spacing w:after="0" w:line="240" w:lineRule="auto"/>
              <w:rPr>
                <w:rFonts w:ascii="Arial" w:eastAsia="Times New Roman" w:hAnsi="Arial" w:cs="Arial"/>
                <w:sz w:val="20"/>
                <w:szCs w:val="20"/>
              </w:rPr>
            </w:pPr>
            <w:proofErr w:type="spellStart"/>
            <w:r w:rsidRPr="00A20A4D">
              <w:rPr>
                <w:rFonts w:ascii="Arial" w:eastAsia="Times New Roman" w:hAnsi="Arial" w:cs="Arial"/>
                <w:sz w:val="20"/>
                <w:szCs w:val="20"/>
              </w:rPr>
              <w:t>Vitros</w:t>
            </w:r>
            <w:proofErr w:type="spellEnd"/>
            <w:r w:rsidRPr="00A20A4D">
              <w:rPr>
                <w:rFonts w:ascii="Arial" w:eastAsia="Times New Roman" w:hAnsi="Arial" w:cs="Arial"/>
                <w:sz w:val="20"/>
                <w:szCs w:val="20"/>
              </w:rPr>
              <w:t xml:space="preserve"> 5600 and Roche </w:t>
            </w:r>
            <w:proofErr w:type="spellStart"/>
            <w:r w:rsidRPr="00A20A4D">
              <w:rPr>
                <w:rFonts w:ascii="Arial" w:eastAsia="Times New Roman" w:hAnsi="Arial" w:cs="Arial"/>
                <w:sz w:val="20"/>
                <w:szCs w:val="20"/>
              </w:rPr>
              <w:t>cobas</w:t>
            </w:r>
            <w:proofErr w:type="spellEnd"/>
            <w:r w:rsidRPr="00A20A4D">
              <w:rPr>
                <w:rFonts w:ascii="Arial" w:eastAsia="Times New Roman" w:hAnsi="Arial" w:cs="Arial"/>
                <w:sz w:val="20"/>
                <w:szCs w:val="20"/>
              </w:rPr>
              <w:t xml:space="preserve"> </w:t>
            </w:r>
            <w:proofErr w:type="spellStart"/>
            <w:r w:rsidRPr="00A20A4D">
              <w:rPr>
                <w:rFonts w:ascii="Arial" w:eastAsia="Times New Roman" w:hAnsi="Arial" w:cs="Arial"/>
                <w:sz w:val="20"/>
                <w:szCs w:val="20"/>
              </w:rPr>
              <w:t>integra</w:t>
            </w:r>
            <w:proofErr w:type="spellEnd"/>
            <w:r w:rsidRPr="00A20A4D">
              <w:rPr>
                <w:rFonts w:ascii="Arial" w:eastAsia="Times New Roman" w:hAnsi="Arial" w:cs="Arial"/>
                <w:sz w:val="20"/>
                <w:szCs w:val="20"/>
              </w:rPr>
              <w:t xml:space="preserve"> 800, Roche </w:t>
            </w:r>
            <w:proofErr w:type="spellStart"/>
            <w:r w:rsidRPr="00A20A4D">
              <w:rPr>
                <w:rFonts w:ascii="Arial" w:eastAsia="Times New Roman" w:hAnsi="Arial" w:cs="Arial"/>
                <w:sz w:val="20"/>
                <w:szCs w:val="20"/>
              </w:rPr>
              <w:t>cobas</w:t>
            </w:r>
            <w:proofErr w:type="spellEnd"/>
            <w:r w:rsidRPr="00A20A4D">
              <w:rPr>
                <w:rFonts w:ascii="Arial" w:eastAsia="Times New Roman" w:hAnsi="Arial" w:cs="Arial"/>
                <w:sz w:val="20"/>
                <w:szCs w:val="20"/>
              </w:rPr>
              <w:t xml:space="preserve"> 8000</w:t>
            </w:r>
          </w:p>
        </w:tc>
        <w:tc>
          <w:tcPr>
            <w:tcW w:w="2410"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2014-2017</w:t>
            </w:r>
          </w:p>
        </w:tc>
      </w:tr>
      <w:tr w:rsidR="00D95FE8" w:rsidRPr="00A20A4D" w:rsidTr="0043747D">
        <w:trPr>
          <w:trHeight w:val="114"/>
        </w:trPr>
        <w:tc>
          <w:tcPr>
            <w:tcW w:w="755"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M</w:t>
            </w:r>
          </w:p>
        </w:tc>
        <w:tc>
          <w:tcPr>
            <w:tcW w:w="5006"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 xml:space="preserve">Children's and Youth Hospital Auf der </w:t>
            </w:r>
            <w:proofErr w:type="spellStart"/>
            <w:r w:rsidRPr="00A20A4D">
              <w:rPr>
                <w:rFonts w:ascii="Arial" w:eastAsia="Times New Roman" w:hAnsi="Arial" w:cs="Arial"/>
                <w:sz w:val="20"/>
                <w:szCs w:val="20"/>
              </w:rPr>
              <w:t>Bult</w:t>
            </w:r>
            <w:proofErr w:type="spellEnd"/>
            <w:r w:rsidRPr="00A20A4D">
              <w:rPr>
                <w:rFonts w:ascii="Arial" w:eastAsia="Times New Roman" w:hAnsi="Arial" w:cs="Arial"/>
                <w:sz w:val="20"/>
                <w:szCs w:val="20"/>
              </w:rPr>
              <w:t>, Hannover</w:t>
            </w:r>
          </w:p>
        </w:tc>
        <w:tc>
          <w:tcPr>
            <w:tcW w:w="5716" w:type="dxa"/>
            <w:shd w:val="clear" w:color="auto" w:fill="auto"/>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 xml:space="preserve">Dim </w:t>
            </w:r>
            <w:proofErr w:type="spellStart"/>
            <w:r w:rsidRPr="00A20A4D">
              <w:rPr>
                <w:rFonts w:ascii="Arial" w:eastAsia="Times New Roman" w:hAnsi="Arial" w:cs="Arial"/>
                <w:sz w:val="20"/>
                <w:szCs w:val="20"/>
              </w:rPr>
              <w:t>Xpand</w:t>
            </w:r>
            <w:proofErr w:type="spellEnd"/>
            <w:r w:rsidRPr="00A20A4D">
              <w:rPr>
                <w:rFonts w:ascii="Arial" w:eastAsia="Times New Roman" w:hAnsi="Arial" w:cs="Arial"/>
                <w:sz w:val="20"/>
                <w:szCs w:val="20"/>
              </w:rPr>
              <w:t xml:space="preserve"> and Dimension </w:t>
            </w:r>
            <w:proofErr w:type="spellStart"/>
            <w:r w:rsidRPr="00A20A4D">
              <w:rPr>
                <w:rFonts w:ascii="Arial" w:eastAsia="Times New Roman" w:hAnsi="Arial" w:cs="Arial"/>
                <w:sz w:val="20"/>
                <w:szCs w:val="20"/>
              </w:rPr>
              <w:t>ExL</w:t>
            </w:r>
            <w:proofErr w:type="spellEnd"/>
          </w:p>
        </w:tc>
        <w:tc>
          <w:tcPr>
            <w:tcW w:w="2410"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2004-2017</w:t>
            </w:r>
          </w:p>
        </w:tc>
      </w:tr>
      <w:tr w:rsidR="00D95FE8" w:rsidRPr="00A20A4D" w:rsidTr="0043747D">
        <w:trPr>
          <w:trHeight w:val="114"/>
        </w:trPr>
        <w:tc>
          <w:tcPr>
            <w:tcW w:w="755" w:type="dxa"/>
          </w:tcPr>
          <w:p w:rsidR="00D95FE8" w:rsidRPr="00A20A4D" w:rsidRDefault="00D95FE8" w:rsidP="0043747D">
            <w:pPr>
              <w:spacing w:after="0" w:line="240" w:lineRule="auto"/>
              <w:rPr>
                <w:rFonts w:ascii="Arial" w:eastAsia="Times New Roman" w:hAnsi="Arial" w:cs="Arial"/>
                <w:sz w:val="20"/>
                <w:szCs w:val="20"/>
                <w:lang w:val="de-DE"/>
              </w:rPr>
            </w:pPr>
            <w:r w:rsidRPr="00A20A4D">
              <w:rPr>
                <w:rFonts w:ascii="Arial" w:eastAsia="Times New Roman" w:hAnsi="Arial" w:cs="Arial"/>
                <w:sz w:val="20"/>
                <w:szCs w:val="20"/>
                <w:lang w:val="de-DE"/>
              </w:rPr>
              <w:t>P</w:t>
            </w:r>
          </w:p>
        </w:tc>
        <w:tc>
          <w:tcPr>
            <w:tcW w:w="5006"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University Hospital Freiburg, Freiburg</w:t>
            </w:r>
          </w:p>
        </w:tc>
        <w:tc>
          <w:tcPr>
            <w:tcW w:w="5716" w:type="dxa"/>
            <w:shd w:val="clear" w:color="auto" w:fill="auto"/>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 xml:space="preserve">Roche </w:t>
            </w:r>
            <w:proofErr w:type="spellStart"/>
            <w:r w:rsidRPr="00A20A4D">
              <w:rPr>
                <w:rFonts w:ascii="Arial" w:eastAsia="Times New Roman" w:hAnsi="Arial" w:cs="Arial"/>
                <w:sz w:val="20"/>
                <w:szCs w:val="20"/>
              </w:rPr>
              <w:t>cobas</w:t>
            </w:r>
            <w:proofErr w:type="spellEnd"/>
            <w:r w:rsidRPr="00A20A4D">
              <w:rPr>
                <w:rFonts w:ascii="Arial" w:eastAsia="Times New Roman" w:hAnsi="Arial" w:cs="Arial"/>
                <w:sz w:val="20"/>
                <w:szCs w:val="20"/>
              </w:rPr>
              <w:t xml:space="preserve"> 6000</w:t>
            </w:r>
          </w:p>
        </w:tc>
        <w:tc>
          <w:tcPr>
            <w:tcW w:w="2410" w:type="dxa"/>
          </w:tcPr>
          <w:p w:rsidR="00D95FE8" w:rsidRPr="00A20A4D" w:rsidRDefault="00D95FE8" w:rsidP="0043747D">
            <w:pPr>
              <w:spacing w:after="0" w:line="240" w:lineRule="auto"/>
              <w:rPr>
                <w:rFonts w:ascii="Arial" w:eastAsia="Times New Roman" w:hAnsi="Arial" w:cs="Arial"/>
                <w:sz w:val="20"/>
                <w:szCs w:val="20"/>
              </w:rPr>
            </w:pPr>
            <w:r w:rsidRPr="00A20A4D">
              <w:rPr>
                <w:rFonts w:ascii="Arial" w:eastAsia="Times New Roman" w:hAnsi="Arial" w:cs="Arial"/>
                <w:sz w:val="20"/>
                <w:szCs w:val="20"/>
              </w:rPr>
              <w:t>2012-2018</w:t>
            </w:r>
          </w:p>
        </w:tc>
      </w:tr>
    </w:tbl>
    <w:p w:rsidR="00D95FE8" w:rsidRPr="00A20A4D" w:rsidRDefault="00D95FE8" w:rsidP="00D95FE8">
      <w:pPr>
        <w:spacing w:before="120"/>
        <w:rPr>
          <w:rFonts w:ascii="Arial" w:hAnsi="Arial" w:cs="Arial"/>
        </w:rPr>
      </w:pPr>
      <w:r w:rsidRPr="00A20A4D">
        <w:rPr>
          <w:rFonts w:ascii="Arial" w:hAnsi="Arial" w:cs="Arial"/>
        </w:rPr>
        <w:t>Centers’ codes are non-consecutive, as not all PEDREF centers were included in this analysis. PEDREF</w:t>
      </w:r>
      <w:r w:rsidR="000D2011" w:rsidRPr="00A20A4D">
        <w:rPr>
          <w:rFonts w:ascii="Arial" w:hAnsi="Arial" w:cs="Arial"/>
        </w:rPr>
        <w:t>,</w:t>
      </w:r>
      <w:r w:rsidRPr="00A20A4D">
        <w:rPr>
          <w:rFonts w:ascii="Arial" w:hAnsi="Arial" w:cs="Arial"/>
        </w:rPr>
        <w:t xml:space="preserve"> Next-Generation Pediatric Reference Intervals.</w:t>
      </w:r>
    </w:p>
    <w:p w:rsidR="00D95FE8" w:rsidRPr="00A20A4D" w:rsidRDefault="00D95FE8" w:rsidP="00D95FE8">
      <w:pPr>
        <w:spacing w:before="120"/>
        <w:rPr>
          <w:rFonts w:ascii="Arial" w:hAnsi="Arial" w:cs="Arial"/>
        </w:rPr>
      </w:pPr>
    </w:p>
    <w:p w:rsidR="00D95FE8" w:rsidRPr="00A20A4D" w:rsidRDefault="00D95FE8" w:rsidP="00D95FE8">
      <w:pPr>
        <w:spacing w:before="120"/>
        <w:rPr>
          <w:rFonts w:ascii="Arial" w:hAnsi="Arial" w:cs="Arial"/>
        </w:rPr>
        <w:sectPr w:rsidR="00D95FE8" w:rsidRPr="00A20A4D" w:rsidSect="00A20A4D">
          <w:footnotePr>
            <w:numFmt w:val="chicago"/>
          </w:footnotePr>
          <w:pgSz w:w="16838" w:h="11906" w:orient="landscape"/>
          <w:pgMar w:top="720" w:right="720" w:bottom="720" w:left="720" w:header="708" w:footer="708" w:gutter="0"/>
          <w:cols w:space="708"/>
          <w:docGrid w:linePitch="360"/>
        </w:sectPr>
      </w:pPr>
    </w:p>
    <w:p w:rsidR="00D95FE8" w:rsidRPr="00A20A4D" w:rsidRDefault="00D95FE8" w:rsidP="00D95FE8">
      <w:pPr>
        <w:pStyle w:val="berschrift1"/>
        <w:rPr>
          <w:rFonts w:ascii="Arial" w:hAnsi="Arial" w:cs="Arial"/>
          <w:u w:val="none"/>
        </w:rPr>
      </w:pPr>
      <w:r w:rsidRPr="00A20A4D">
        <w:rPr>
          <w:rFonts w:ascii="Arial" w:hAnsi="Arial" w:cs="Arial"/>
          <w:u w:val="none"/>
        </w:rPr>
        <w:lastRenderedPageBreak/>
        <w:t>Supplemental Table 2</w:t>
      </w:r>
      <w:r w:rsidR="000D2011" w:rsidRPr="00A20A4D">
        <w:rPr>
          <w:rFonts w:ascii="Arial" w:hAnsi="Arial" w:cs="Arial"/>
          <w:u w:val="none"/>
        </w:rPr>
        <w:t xml:space="preserve"> </w:t>
      </w:r>
      <w:r w:rsidR="000D2011" w:rsidRPr="00A20A4D">
        <w:rPr>
          <w:rFonts w:ascii="Arial" w:hAnsi="Arial" w:cs="Arial"/>
          <w:b w:val="0"/>
          <w:u w:val="none"/>
        </w:rPr>
        <w:t>Analytical methods.</w:t>
      </w:r>
    </w:p>
    <w:tbl>
      <w:tblPr>
        <w:tblW w:w="10771" w:type="dxa"/>
        <w:tblCellMar>
          <w:left w:w="70" w:type="dxa"/>
          <w:right w:w="70" w:type="dxa"/>
        </w:tblCellMar>
        <w:tblLook w:val="04A0" w:firstRow="1" w:lastRow="0" w:firstColumn="1" w:lastColumn="0" w:noHBand="0" w:noVBand="1"/>
      </w:tblPr>
      <w:tblGrid>
        <w:gridCol w:w="2452"/>
        <w:gridCol w:w="8319"/>
      </w:tblGrid>
      <w:tr w:rsidR="00D95FE8" w:rsidRPr="00A20A4D" w:rsidTr="0043747D">
        <w:trPr>
          <w:trHeight w:val="20"/>
        </w:trPr>
        <w:tc>
          <w:tcPr>
            <w:tcW w:w="2452" w:type="dxa"/>
            <w:tcBorders>
              <w:top w:val="single" w:sz="8" w:space="0" w:color="auto"/>
              <w:left w:val="single" w:sz="8" w:space="0" w:color="auto"/>
              <w:bottom w:val="single" w:sz="8" w:space="0" w:color="auto"/>
              <w:right w:val="single" w:sz="8"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eastAsia="de-DE"/>
              </w:rPr>
            </w:pPr>
            <w:proofErr w:type="spellStart"/>
            <w:r w:rsidRPr="00A20A4D">
              <w:rPr>
                <w:rFonts w:ascii="Arial" w:eastAsia="Times New Roman" w:hAnsi="Arial" w:cs="Arial"/>
                <w:b/>
                <w:bCs/>
                <w:sz w:val="20"/>
                <w:szCs w:val="20"/>
                <w:lang w:eastAsia="de-DE"/>
              </w:rPr>
              <w:t>Analyte</w:t>
            </w:r>
            <w:proofErr w:type="spellEnd"/>
          </w:p>
        </w:tc>
        <w:tc>
          <w:tcPr>
            <w:tcW w:w="8319" w:type="dxa"/>
            <w:tcBorders>
              <w:top w:val="single" w:sz="8" w:space="0" w:color="auto"/>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eastAsia="de-DE"/>
              </w:rPr>
            </w:pPr>
            <w:r w:rsidRPr="00A20A4D">
              <w:rPr>
                <w:rFonts w:ascii="Arial" w:eastAsia="Times New Roman" w:hAnsi="Arial" w:cs="Arial"/>
                <w:b/>
                <w:bCs/>
                <w:sz w:val="20"/>
                <w:szCs w:val="20"/>
                <w:lang w:eastAsia="de-DE"/>
              </w:rPr>
              <w:t>Method</w:t>
            </w:r>
          </w:p>
        </w:tc>
      </w:tr>
      <w:tr w:rsidR="00D95FE8" w:rsidRPr="00A20A4D" w:rsidTr="0043747D">
        <w:trPr>
          <w:trHeight w:val="60"/>
        </w:trPr>
        <w:tc>
          <w:tcPr>
            <w:tcW w:w="2452" w:type="dxa"/>
            <w:tcBorders>
              <w:top w:val="nil"/>
              <w:left w:val="single" w:sz="8" w:space="0" w:color="auto"/>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val="de-DE" w:eastAsia="de-DE"/>
              </w:rPr>
            </w:pPr>
            <w:proofErr w:type="spellStart"/>
            <w:r w:rsidRPr="00A20A4D">
              <w:rPr>
                <w:rFonts w:ascii="Arial" w:eastAsia="Times New Roman" w:hAnsi="Arial" w:cs="Arial"/>
                <w:b/>
                <w:bCs/>
                <w:sz w:val="20"/>
                <w:szCs w:val="20"/>
                <w:lang w:val="de-DE" w:eastAsia="de-DE"/>
              </w:rPr>
              <w:t>Sodium</w:t>
            </w:r>
            <w:proofErr w:type="spellEnd"/>
          </w:p>
        </w:tc>
        <w:tc>
          <w:tcPr>
            <w:tcW w:w="8319" w:type="dxa"/>
            <w:tcBorders>
              <w:top w:val="single" w:sz="4" w:space="0" w:color="auto"/>
              <w:left w:val="single" w:sz="4" w:space="0" w:color="auto"/>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20"/>
                <w:szCs w:val="20"/>
                <w:lang w:val="de-DE" w:eastAsia="de-DE"/>
              </w:rPr>
            </w:pPr>
            <w:r w:rsidRPr="00A20A4D">
              <w:rPr>
                <w:rFonts w:ascii="Arial" w:eastAsia="Times New Roman" w:hAnsi="Arial" w:cs="Arial"/>
                <w:sz w:val="20"/>
                <w:szCs w:val="20"/>
                <w:lang w:val="de-DE" w:eastAsia="de-DE"/>
              </w:rPr>
              <w:t xml:space="preserve">ISE, </w:t>
            </w:r>
            <w:proofErr w:type="spellStart"/>
            <w:r w:rsidRPr="00A20A4D">
              <w:rPr>
                <w:rFonts w:ascii="Arial" w:eastAsia="Times New Roman" w:hAnsi="Arial" w:cs="Arial"/>
                <w:sz w:val="20"/>
                <w:szCs w:val="20"/>
                <w:lang w:val="de-DE" w:eastAsia="de-DE"/>
              </w:rPr>
              <w:t>indirect</w:t>
            </w:r>
            <w:proofErr w:type="spellEnd"/>
            <w:r w:rsidRPr="00A20A4D">
              <w:rPr>
                <w:rFonts w:ascii="Arial" w:eastAsia="Times New Roman" w:hAnsi="Arial" w:cs="Arial"/>
                <w:sz w:val="20"/>
                <w:szCs w:val="20"/>
                <w:lang w:val="de-DE" w:eastAsia="de-DE"/>
              </w:rPr>
              <w:t xml:space="preserve"> </w:t>
            </w:r>
            <w:proofErr w:type="spellStart"/>
            <w:r w:rsidRPr="00A20A4D">
              <w:rPr>
                <w:rFonts w:ascii="Arial" w:eastAsia="Times New Roman" w:hAnsi="Arial" w:cs="Arial"/>
                <w:sz w:val="20"/>
                <w:szCs w:val="20"/>
                <w:lang w:val="de-DE" w:eastAsia="de-DE"/>
              </w:rPr>
              <w:t>measurement</w:t>
            </w:r>
            <w:proofErr w:type="spellEnd"/>
          </w:p>
        </w:tc>
      </w:tr>
      <w:tr w:rsidR="00D95FE8" w:rsidRPr="00A20A4D" w:rsidTr="0043747D">
        <w:trPr>
          <w:trHeight w:val="20"/>
        </w:trPr>
        <w:tc>
          <w:tcPr>
            <w:tcW w:w="2452" w:type="dxa"/>
            <w:tcBorders>
              <w:top w:val="nil"/>
              <w:left w:val="single" w:sz="8" w:space="0" w:color="auto"/>
              <w:bottom w:val="single" w:sz="4" w:space="0" w:color="auto"/>
              <w:right w:val="single" w:sz="8"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val="de-DE" w:eastAsia="de-DE"/>
              </w:rPr>
            </w:pPr>
            <w:proofErr w:type="spellStart"/>
            <w:r w:rsidRPr="00A20A4D">
              <w:rPr>
                <w:rFonts w:ascii="Arial" w:eastAsia="Times New Roman" w:hAnsi="Arial" w:cs="Arial"/>
                <w:b/>
                <w:bCs/>
                <w:sz w:val="20"/>
                <w:szCs w:val="20"/>
                <w:lang w:val="de-DE" w:eastAsia="de-DE"/>
              </w:rPr>
              <w:t>Potassium</w:t>
            </w:r>
            <w:proofErr w:type="spellEnd"/>
          </w:p>
        </w:tc>
        <w:tc>
          <w:tcPr>
            <w:tcW w:w="8319"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20"/>
                <w:szCs w:val="20"/>
                <w:lang w:val="de-DE" w:eastAsia="de-DE"/>
              </w:rPr>
            </w:pPr>
            <w:r w:rsidRPr="00A20A4D">
              <w:rPr>
                <w:rFonts w:ascii="Arial" w:eastAsia="Times New Roman" w:hAnsi="Arial" w:cs="Arial"/>
                <w:sz w:val="20"/>
                <w:szCs w:val="20"/>
                <w:lang w:val="de-DE" w:eastAsia="de-DE"/>
              </w:rPr>
              <w:t xml:space="preserve">ISE, </w:t>
            </w:r>
            <w:proofErr w:type="spellStart"/>
            <w:r w:rsidRPr="00A20A4D">
              <w:rPr>
                <w:rFonts w:ascii="Arial" w:eastAsia="Times New Roman" w:hAnsi="Arial" w:cs="Arial"/>
                <w:sz w:val="20"/>
                <w:szCs w:val="20"/>
                <w:lang w:val="de-DE" w:eastAsia="de-DE"/>
              </w:rPr>
              <w:t>indirect</w:t>
            </w:r>
            <w:proofErr w:type="spellEnd"/>
            <w:r w:rsidRPr="00A20A4D">
              <w:rPr>
                <w:rFonts w:ascii="Arial" w:eastAsia="Times New Roman" w:hAnsi="Arial" w:cs="Arial"/>
                <w:sz w:val="20"/>
                <w:szCs w:val="20"/>
                <w:lang w:val="de-DE" w:eastAsia="de-DE"/>
              </w:rPr>
              <w:t xml:space="preserve"> </w:t>
            </w:r>
            <w:proofErr w:type="spellStart"/>
            <w:r w:rsidRPr="00A20A4D">
              <w:rPr>
                <w:rFonts w:ascii="Arial" w:eastAsia="Times New Roman" w:hAnsi="Arial" w:cs="Arial"/>
                <w:sz w:val="20"/>
                <w:szCs w:val="20"/>
                <w:lang w:val="de-DE" w:eastAsia="de-DE"/>
              </w:rPr>
              <w:t>measurement</w:t>
            </w:r>
            <w:proofErr w:type="spellEnd"/>
          </w:p>
        </w:tc>
      </w:tr>
      <w:tr w:rsidR="00D95FE8" w:rsidRPr="00A20A4D" w:rsidTr="0043747D">
        <w:trPr>
          <w:trHeight w:val="20"/>
        </w:trPr>
        <w:tc>
          <w:tcPr>
            <w:tcW w:w="2452" w:type="dxa"/>
            <w:tcBorders>
              <w:top w:val="nil"/>
              <w:left w:val="single" w:sz="8" w:space="0" w:color="auto"/>
              <w:bottom w:val="single" w:sz="4" w:space="0" w:color="auto"/>
              <w:right w:val="single" w:sz="8"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val="de-DE" w:eastAsia="de-DE"/>
              </w:rPr>
            </w:pPr>
            <w:r w:rsidRPr="00A20A4D">
              <w:rPr>
                <w:rFonts w:ascii="Arial" w:eastAsia="Times New Roman" w:hAnsi="Arial" w:cs="Arial"/>
                <w:b/>
                <w:bCs/>
                <w:sz w:val="20"/>
                <w:szCs w:val="20"/>
                <w:lang w:val="de-DE" w:eastAsia="de-DE"/>
              </w:rPr>
              <w:t>Chloride</w:t>
            </w:r>
          </w:p>
        </w:tc>
        <w:tc>
          <w:tcPr>
            <w:tcW w:w="8319"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20"/>
                <w:szCs w:val="20"/>
                <w:lang w:val="de-DE" w:eastAsia="de-DE"/>
              </w:rPr>
            </w:pPr>
            <w:r w:rsidRPr="00A20A4D">
              <w:rPr>
                <w:rFonts w:ascii="Arial" w:eastAsia="Times New Roman" w:hAnsi="Arial" w:cs="Arial"/>
                <w:sz w:val="20"/>
                <w:szCs w:val="20"/>
                <w:lang w:val="de-DE" w:eastAsia="de-DE"/>
              </w:rPr>
              <w:t xml:space="preserve">ISE, </w:t>
            </w:r>
            <w:proofErr w:type="spellStart"/>
            <w:r w:rsidRPr="00A20A4D">
              <w:rPr>
                <w:rFonts w:ascii="Arial" w:eastAsia="Times New Roman" w:hAnsi="Arial" w:cs="Arial"/>
                <w:sz w:val="20"/>
                <w:szCs w:val="20"/>
                <w:lang w:val="de-DE" w:eastAsia="de-DE"/>
              </w:rPr>
              <w:t>indirect</w:t>
            </w:r>
            <w:proofErr w:type="spellEnd"/>
            <w:r w:rsidRPr="00A20A4D">
              <w:rPr>
                <w:rFonts w:ascii="Arial" w:eastAsia="Times New Roman" w:hAnsi="Arial" w:cs="Arial"/>
                <w:sz w:val="20"/>
                <w:szCs w:val="20"/>
                <w:lang w:val="de-DE" w:eastAsia="de-DE"/>
              </w:rPr>
              <w:t xml:space="preserve"> </w:t>
            </w:r>
            <w:proofErr w:type="spellStart"/>
            <w:r w:rsidRPr="00A20A4D">
              <w:rPr>
                <w:rFonts w:ascii="Arial" w:eastAsia="Times New Roman" w:hAnsi="Arial" w:cs="Arial"/>
                <w:sz w:val="20"/>
                <w:szCs w:val="20"/>
                <w:lang w:val="de-DE" w:eastAsia="de-DE"/>
              </w:rPr>
              <w:t>measurement</w:t>
            </w:r>
            <w:proofErr w:type="spellEnd"/>
          </w:p>
        </w:tc>
      </w:tr>
      <w:tr w:rsidR="00D95FE8" w:rsidRPr="00A20A4D" w:rsidTr="0043747D">
        <w:trPr>
          <w:trHeight w:val="20"/>
        </w:trPr>
        <w:tc>
          <w:tcPr>
            <w:tcW w:w="2452" w:type="dxa"/>
            <w:tcBorders>
              <w:top w:val="nil"/>
              <w:left w:val="single" w:sz="8" w:space="0" w:color="auto"/>
              <w:bottom w:val="single" w:sz="4" w:space="0" w:color="auto"/>
              <w:right w:val="single" w:sz="8"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val="de-DE" w:eastAsia="de-DE"/>
              </w:rPr>
            </w:pPr>
            <w:r w:rsidRPr="00A20A4D">
              <w:rPr>
                <w:rFonts w:ascii="Arial" w:eastAsia="Times New Roman" w:hAnsi="Arial" w:cs="Arial"/>
                <w:b/>
                <w:bCs/>
                <w:sz w:val="20"/>
                <w:szCs w:val="20"/>
                <w:lang w:val="de-DE" w:eastAsia="de-DE"/>
              </w:rPr>
              <w:t>Calcium</w:t>
            </w:r>
          </w:p>
        </w:tc>
        <w:tc>
          <w:tcPr>
            <w:tcW w:w="8319"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20"/>
                <w:szCs w:val="20"/>
                <w:lang w:eastAsia="de-DE"/>
              </w:rPr>
            </w:pPr>
            <w:r w:rsidRPr="00A20A4D">
              <w:rPr>
                <w:rFonts w:ascii="Arial" w:eastAsia="Times New Roman" w:hAnsi="Arial" w:cs="Arial"/>
                <w:sz w:val="20"/>
                <w:szCs w:val="20"/>
                <w:lang w:eastAsia="de-DE"/>
              </w:rPr>
              <w:t>Photometric, NM-BAPTA (centers J, M: o-</w:t>
            </w:r>
            <w:proofErr w:type="spellStart"/>
            <w:r w:rsidRPr="00A20A4D">
              <w:rPr>
                <w:rFonts w:ascii="Arial" w:eastAsia="Times New Roman" w:hAnsi="Arial" w:cs="Arial"/>
                <w:sz w:val="20"/>
                <w:szCs w:val="20"/>
                <w:lang w:eastAsia="de-DE"/>
              </w:rPr>
              <w:t>cresolphthalein</w:t>
            </w:r>
            <w:proofErr w:type="spellEnd"/>
            <w:r w:rsidRPr="00A20A4D">
              <w:rPr>
                <w:rFonts w:ascii="Arial" w:eastAsia="Times New Roman" w:hAnsi="Arial" w:cs="Arial"/>
                <w:sz w:val="20"/>
                <w:szCs w:val="20"/>
                <w:lang w:eastAsia="de-DE"/>
              </w:rPr>
              <w:t xml:space="preserve"> </w:t>
            </w:r>
            <w:proofErr w:type="spellStart"/>
            <w:r w:rsidRPr="00A20A4D">
              <w:rPr>
                <w:rFonts w:ascii="Arial" w:eastAsia="Times New Roman" w:hAnsi="Arial" w:cs="Arial"/>
                <w:sz w:val="20"/>
                <w:szCs w:val="20"/>
                <w:lang w:eastAsia="de-DE"/>
              </w:rPr>
              <w:t>complexone</w:t>
            </w:r>
            <w:proofErr w:type="spellEnd"/>
            <w:r w:rsidRPr="00A20A4D">
              <w:rPr>
                <w:rFonts w:ascii="Arial" w:eastAsia="Times New Roman" w:hAnsi="Arial" w:cs="Arial"/>
                <w:sz w:val="20"/>
                <w:szCs w:val="20"/>
                <w:lang w:eastAsia="de-DE"/>
              </w:rPr>
              <w:t>)</w:t>
            </w:r>
          </w:p>
        </w:tc>
      </w:tr>
      <w:tr w:rsidR="00D95FE8" w:rsidRPr="00A20A4D" w:rsidTr="0043747D">
        <w:trPr>
          <w:trHeight w:val="20"/>
        </w:trPr>
        <w:tc>
          <w:tcPr>
            <w:tcW w:w="2452" w:type="dxa"/>
            <w:tcBorders>
              <w:top w:val="nil"/>
              <w:left w:val="single" w:sz="8" w:space="0" w:color="auto"/>
              <w:bottom w:val="single" w:sz="4" w:space="0" w:color="auto"/>
              <w:right w:val="single" w:sz="8"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val="de-DE" w:eastAsia="de-DE"/>
              </w:rPr>
            </w:pPr>
            <w:r w:rsidRPr="00A20A4D">
              <w:rPr>
                <w:rFonts w:ascii="Arial" w:eastAsia="Times New Roman" w:hAnsi="Arial" w:cs="Arial"/>
                <w:b/>
                <w:bCs/>
                <w:sz w:val="20"/>
                <w:szCs w:val="20"/>
                <w:lang w:val="de-DE" w:eastAsia="de-DE"/>
              </w:rPr>
              <w:t>Magnesium</w:t>
            </w:r>
          </w:p>
        </w:tc>
        <w:tc>
          <w:tcPr>
            <w:tcW w:w="8319"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20"/>
                <w:szCs w:val="20"/>
                <w:lang w:eastAsia="de-DE"/>
              </w:rPr>
            </w:pPr>
            <w:proofErr w:type="spellStart"/>
            <w:r w:rsidRPr="00A20A4D">
              <w:rPr>
                <w:rFonts w:ascii="Arial" w:eastAsia="Times New Roman" w:hAnsi="Arial" w:cs="Arial"/>
                <w:sz w:val="20"/>
                <w:szCs w:val="20"/>
                <w:lang w:eastAsia="de-DE"/>
              </w:rPr>
              <w:t>Xylidyle</w:t>
            </w:r>
            <w:proofErr w:type="spellEnd"/>
            <w:r w:rsidRPr="00A20A4D">
              <w:rPr>
                <w:rFonts w:ascii="Arial" w:eastAsia="Times New Roman" w:hAnsi="Arial" w:cs="Arial"/>
                <w:sz w:val="20"/>
                <w:szCs w:val="20"/>
                <w:lang w:eastAsia="de-DE"/>
              </w:rPr>
              <w:t xml:space="preserve"> blue (center M: </w:t>
            </w:r>
            <w:proofErr w:type="spellStart"/>
            <w:r w:rsidRPr="00A20A4D">
              <w:rPr>
                <w:rFonts w:ascii="Arial" w:eastAsia="Times New Roman" w:hAnsi="Arial" w:cs="Arial"/>
                <w:sz w:val="20"/>
                <w:szCs w:val="20"/>
                <w:lang w:eastAsia="de-DE"/>
              </w:rPr>
              <w:t>methylthymol</w:t>
            </w:r>
            <w:proofErr w:type="spellEnd"/>
            <w:r w:rsidRPr="00A20A4D">
              <w:rPr>
                <w:rFonts w:ascii="Arial" w:eastAsia="Times New Roman" w:hAnsi="Arial" w:cs="Arial"/>
                <w:sz w:val="20"/>
                <w:szCs w:val="20"/>
                <w:lang w:eastAsia="de-DE"/>
              </w:rPr>
              <w:t xml:space="preserve"> blue)</w:t>
            </w:r>
          </w:p>
        </w:tc>
      </w:tr>
      <w:tr w:rsidR="00D95FE8" w:rsidRPr="00A20A4D" w:rsidTr="0043747D">
        <w:trPr>
          <w:trHeight w:val="20"/>
        </w:trPr>
        <w:tc>
          <w:tcPr>
            <w:tcW w:w="2452" w:type="dxa"/>
            <w:tcBorders>
              <w:top w:val="nil"/>
              <w:left w:val="single" w:sz="8" w:space="0" w:color="auto"/>
              <w:bottom w:val="single" w:sz="8" w:space="0" w:color="auto"/>
              <w:right w:val="single" w:sz="8"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val="de-DE" w:eastAsia="de-DE"/>
              </w:rPr>
            </w:pPr>
            <w:proofErr w:type="spellStart"/>
            <w:r w:rsidRPr="00A20A4D">
              <w:rPr>
                <w:rFonts w:ascii="Arial" w:eastAsia="Times New Roman" w:hAnsi="Arial" w:cs="Arial"/>
                <w:b/>
                <w:bCs/>
                <w:sz w:val="20"/>
                <w:szCs w:val="20"/>
                <w:lang w:val="de-DE" w:eastAsia="de-DE"/>
              </w:rPr>
              <w:t>Anorganic</w:t>
            </w:r>
            <w:proofErr w:type="spellEnd"/>
            <w:r w:rsidRPr="00A20A4D">
              <w:rPr>
                <w:rFonts w:ascii="Arial" w:eastAsia="Times New Roman" w:hAnsi="Arial" w:cs="Arial"/>
                <w:b/>
                <w:bCs/>
                <w:sz w:val="20"/>
                <w:szCs w:val="20"/>
                <w:lang w:val="de-DE" w:eastAsia="de-DE"/>
              </w:rPr>
              <w:t xml:space="preserve"> </w:t>
            </w:r>
            <w:proofErr w:type="spellStart"/>
            <w:r w:rsidRPr="00A20A4D">
              <w:rPr>
                <w:rFonts w:ascii="Arial" w:eastAsia="Times New Roman" w:hAnsi="Arial" w:cs="Arial"/>
                <w:b/>
                <w:bCs/>
                <w:sz w:val="20"/>
                <w:szCs w:val="20"/>
                <w:lang w:val="de-DE" w:eastAsia="de-DE"/>
              </w:rPr>
              <w:t>phosphorus</w:t>
            </w:r>
            <w:proofErr w:type="spellEnd"/>
          </w:p>
        </w:tc>
        <w:tc>
          <w:tcPr>
            <w:tcW w:w="8319" w:type="dxa"/>
            <w:tcBorders>
              <w:top w:val="nil"/>
              <w:left w:val="nil"/>
              <w:bottom w:val="single" w:sz="8"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20"/>
                <w:szCs w:val="20"/>
                <w:lang w:val="de-DE" w:eastAsia="de-DE"/>
              </w:rPr>
            </w:pPr>
            <w:r w:rsidRPr="00A20A4D">
              <w:rPr>
                <w:rFonts w:ascii="Arial" w:eastAsia="Times New Roman" w:hAnsi="Arial" w:cs="Arial"/>
                <w:sz w:val="20"/>
                <w:szCs w:val="20"/>
                <w:lang w:val="de-DE" w:eastAsia="de-DE"/>
              </w:rPr>
              <w:t>Ammonium-</w:t>
            </w:r>
            <w:proofErr w:type="spellStart"/>
            <w:r w:rsidRPr="00A20A4D">
              <w:rPr>
                <w:rFonts w:ascii="Arial" w:eastAsia="Times New Roman" w:hAnsi="Arial" w:cs="Arial"/>
                <w:sz w:val="20"/>
                <w:szCs w:val="20"/>
                <w:lang w:val="de-DE" w:eastAsia="de-DE"/>
              </w:rPr>
              <w:t>Phosphomolybdat</w:t>
            </w:r>
            <w:proofErr w:type="spellEnd"/>
            <w:r w:rsidRPr="00A20A4D">
              <w:rPr>
                <w:rFonts w:ascii="Arial" w:eastAsia="Times New Roman" w:hAnsi="Arial" w:cs="Arial"/>
                <w:sz w:val="20"/>
                <w:szCs w:val="20"/>
                <w:lang w:val="de-DE" w:eastAsia="de-DE"/>
              </w:rPr>
              <w:t>-</w:t>
            </w:r>
            <w:proofErr w:type="spellStart"/>
            <w:r w:rsidRPr="00A20A4D">
              <w:rPr>
                <w:rFonts w:ascii="Arial" w:eastAsia="Times New Roman" w:hAnsi="Arial" w:cs="Arial"/>
                <w:sz w:val="20"/>
                <w:szCs w:val="20"/>
                <w:lang w:val="de-DE" w:eastAsia="de-DE"/>
              </w:rPr>
              <w:t>complex</w:t>
            </w:r>
            <w:proofErr w:type="spellEnd"/>
            <w:r w:rsidRPr="00A20A4D">
              <w:rPr>
                <w:rFonts w:ascii="Arial" w:eastAsia="Times New Roman" w:hAnsi="Arial" w:cs="Arial"/>
                <w:sz w:val="20"/>
                <w:szCs w:val="20"/>
                <w:lang w:val="de-DE" w:eastAsia="de-DE"/>
              </w:rPr>
              <w:t>, UV</w:t>
            </w:r>
          </w:p>
        </w:tc>
      </w:tr>
      <w:tr w:rsidR="00D95FE8" w:rsidRPr="00A20A4D" w:rsidTr="0043747D">
        <w:trPr>
          <w:trHeight w:val="20"/>
        </w:trPr>
        <w:tc>
          <w:tcPr>
            <w:tcW w:w="2452" w:type="dxa"/>
            <w:tcBorders>
              <w:top w:val="nil"/>
              <w:left w:val="single" w:sz="8" w:space="0" w:color="auto"/>
              <w:bottom w:val="single" w:sz="4" w:space="0" w:color="auto"/>
              <w:right w:val="single" w:sz="8"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val="de-DE" w:eastAsia="de-DE"/>
              </w:rPr>
            </w:pPr>
            <w:r w:rsidRPr="00A20A4D">
              <w:rPr>
                <w:rFonts w:ascii="Arial" w:eastAsia="Times New Roman" w:hAnsi="Arial" w:cs="Arial"/>
                <w:b/>
                <w:bCs/>
                <w:sz w:val="20"/>
                <w:szCs w:val="20"/>
                <w:lang w:val="de-DE" w:eastAsia="de-DE"/>
              </w:rPr>
              <w:t>AST</w:t>
            </w:r>
          </w:p>
        </w:tc>
        <w:tc>
          <w:tcPr>
            <w:tcW w:w="8319"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20"/>
                <w:szCs w:val="20"/>
                <w:lang w:val="de-DE" w:eastAsia="de-DE"/>
              </w:rPr>
            </w:pPr>
            <w:r w:rsidRPr="00A20A4D">
              <w:rPr>
                <w:rFonts w:ascii="Arial" w:eastAsia="Times New Roman" w:hAnsi="Arial" w:cs="Arial"/>
                <w:sz w:val="20"/>
                <w:szCs w:val="20"/>
                <w:lang w:val="de-DE" w:eastAsia="de-DE"/>
              </w:rPr>
              <w:t>IFCC-37°C</w:t>
            </w:r>
          </w:p>
        </w:tc>
      </w:tr>
      <w:tr w:rsidR="00D95FE8" w:rsidRPr="00A20A4D" w:rsidTr="0043747D">
        <w:trPr>
          <w:trHeight w:val="20"/>
        </w:trPr>
        <w:tc>
          <w:tcPr>
            <w:tcW w:w="2452" w:type="dxa"/>
            <w:tcBorders>
              <w:top w:val="nil"/>
              <w:left w:val="single" w:sz="8" w:space="0" w:color="auto"/>
              <w:bottom w:val="single" w:sz="4" w:space="0" w:color="auto"/>
              <w:right w:val="single" w:sz="8"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val="de-DE" w:eastAsia="de-DE"/>
              </w:rPr>
            </w:pPr>
            <w:r w:rsidRPr="00A20A4D">
              <w:rPr>
                <w:rFonts w:ascii="Arial" w:eastAsia="Times New Roman" w:hAnsi="Arial" w:cs="Arial"/>
                <w:b/>
                <w:bCs/>
                <w:sz w:val="20"/>
                <w:szCs w:val="20"/>
                <w:lang w:val="de-DE" w:eastAsia="de-DE"/>
              </w:rPr>
              <w:t>ALT</w:t>
            </w:r>
          </w:p>
        </w:tc>
        <w:tc>
          <w:tcPr>
            <w:tcW w:w="8319"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20"/>
                <w:szCs w:val="20"/>
                <w:lang w:val="de-DE" w:eastAsia="de-DE"/>
              </w:rPr>
            </w:pPr>
            <w:r w:rsidRPr="00A20A4D">
              <w:rPr>
                <w:rFonts w:ascii="Arial" w:eastAsia="Times New Roman" w:hAnsi="Arial" w:cs="Arial"/>
                <w:sz w:val="20"/>
                <w:szCs w:val="20"/>
                <w:lang w:val="de-DE" w:eastAsia="de-DE"/>
              </w:rPr>
              <w:t>IFCC-37°C</w:t>
            </w:r>
          </w:p>
        </w:tc>
      </w:tr>
      <w:tr w:rsidR="00D95FE8" w:rsidRPr="00A20A4D" w:rsidTr="0043747D">
        <w:trPr>
          <w:trHeight w:val="20"/>
        </w:trPr>
        <w:tc>
          <w:tcPr>
            <w:tcW w:w="2452" w:type="dxa"/>
            <w:tcBorders>
              <w:top w:val="nil"/>
              <w:left w:val="single" w:sz="8" w:space="0" w:color="auto"/>
              <w:bottom w:val="single" w:sz="4" w:space="0" w:color="auto"/>
              <w:right w:val="single" w:sz="8"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eastAsia="de-DE"/>
              </w:rPr>
            </w:pPr>
            <w:r w:rsidRPr="00A20A4D">
              <w:rPr>
                <w:rFonts w:ascii="Arial" w:eastAsia="Times New Roman" w:hAnsi="Arial" w:cs="Arial"/>
                <w:b/>
                <w:bCs/>
                <w:sz w:val="20"/>
                <w:szCs w:val="20"/>
                <w:lang w:eastAsia="de-DE"/>
              </w:rPr>
              <w:t>Alkaline Phosphatase</w:t>
            </w:r>
          </w:p>
        </w:tc>
        <w:tc>
          <w:tcPr>
            <w:tcW w:w="8319" w:type="dxa"/>
            <w:tcBorders>
              <w:top w:val="single" w:sz="8" w:space="0" w:color="auto"/>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20"/>
                <w:szCs w:val="20"/>
                <w:lang w:eastAsia="de-DE"/>
              </w:rPr>
            </w:pPr>
            <w:r w:rsidRPr="00A20A4D">
              <w:rPr>
                <w:rFonts w:ascii="Arial" w:eastAsia="Times New Roman" w:hAnsi="Arial" w:cs="Arial"/>
                <w:sz w:val="20"/>
                <w:szCs w:val="20"/>
                <w:lang w:eastAsia="de-DE"/>
              </w:rPr>
              <w:t>IFCC-method</w:t>
            </w:r>
          </w:p>
        </w:tc>
      </w:tr>
      <w:tr w:rsidR="00D95FE8" w:rsidRPr="00A20A4D" w:rsidTr="0043747D">
        <w:trPr>
          <w:trHeight w:val="20"/>
        </w:trPr>
        <w:tc>
          <w:tcPr>
            <w:tcW w:w="2452" w:type="dxa"/>
            <w:tcBorders>
              <w:top w:val="nil"/>
              <w:left w:val="single" w:sz="8" w:space="0" w:color="auto"/>
              <w:bottom w:val="single" w:sz="4" w:space="0" w:color="auto"/>
              <w:right w:val="single" w:sz="8"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val="de-DE" w:eastAsia="de-DE"/>
              </w:rPr>
            </w:pPr>
            <w:r w:rsidRPr="00A20A4D">
              <w:rPr>
                <w:rFonts w:ascii="Arial" w:eastAsia="Times New Roman" w:hAnsi="Arial" w:cs="Arial"/>
                <w:b/>
                <w:bCs/>
                <w:sz w:val="20"/>
                <w:szCs w:val="20"/>
                <w:lang w:val="de-DE" w:eastAsia="de-DE"/>
              </w:rPr>
              <w:t xml:space="preserve">LDH </w:t>
            </w:r>
          </w:p>
        </w:tc>
        <w:tc>
          <w:tcPr>
            <w:tcW w:w="8319"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20"/>
                <w:szCs w:val="20"/>
                <w:lang w:val="de-DE" w:eastAsia="de-DE"/>
              </w:rPr>
            </w:pPr>
            <w:r w:rsidRPr="00A20A4D">
              <w:rPr>
                <w:rFonts w:ascii="Arial" w:eastAsia="Times New Roman" w:hAnsi="Arial" w:cs="Arial"/>
                <w:sz w:val="20"/>
                <w:szCs w:val="20"/>
                <w:lang w:val="de-DE" w:eastAsia="de-DE"/>
              </w:rPr>
              <w:t>IFCC-37°C</w:t>
            </w:r>
          </w:p>
        </w:tc>
      </w:tr>
      <w:tr w:rsidR="00D95FE8" w:rsidRPr="00A20A4D" w:rsidTr="0043747D">
        <w:trPr>
          <w:trHeight w:val="20"/>
        </w:trPr>
        <w:tc>
          <w:tcPr>
            <w:tcW w:w="2452" w:type="dxa"/>
            <w:tcBorders>
              <w:top w:val="nil"/>
              <w:left w:val="single" w:sz="8" w:space="0" w:color="auto"/>
              <w:bottom w:val="single" w:sz="4" w:space="0" w:color="auto"/>
              <w:right w:val="single" w:sz="8"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val="de-DE" w:eastAsia="de-DE"/>
              </w:rPr>
            </w:pPr>
            <w:r w:rsidRPr="00A20A4D">
              <w:rPr>
                <w:rFonts w:ascii="Arial" w:eastAsia="Times New Roman" w:hAnsi="Arial" w:cs="Arial"/>
                <w:b/>
                <w:bCs/>
                <w:sz w:val="20"/>
                <w:szCs w:val="20"/>
                <w:lang w:val="de-DE" w:eastAsia="de-DE"/>
              </w:rPr>
              <w:t>γ-GT</w:t>
            </w:r>
          </w:p>
        </w:tc>
        <w:tc>
          <w:tcPr>
            <w:tcW w:w="8319"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20"/>
                <w:szCs w:val="20"/>
                <w:lang w:val="de-DE" w:eastAsia="de-DE"/>
              </w:rPr>
            </w:pPr>
            <w:r w:rsidRPr="00A20A4D">
              <w:rPr>
                <w:rFonts w:ascii="Arial" w:eastAsia="Times New Roman" w:hAnsi="Arial" w:cs="Arial"/>
                <w:sz w:val="20"/>
                <w:szCs w:val="20"/>
                <w:lang w:val="de-DE" w:eastAsia="de-DE"/>
              </w:rPr>
              <w:t>IFCC-37°C</w:t>
            </w:r>
          </w:p>
        </w:tc>
      </w:tr>
      <w:tr w:rsidR="00D95FE8" w:rsidRPr="00A20A4D" w:rsidTr="0043747D">
        <w:trPr>
          <w:trHeight w:val="20"/>
        </w:trPr>
        <w:tc>
          <w:tcPr>
            <w:tcW w:w="2452" w:type="dxa"/>
            <w:tcBorders>
              <w:top w:val="nil"/>
              <w:left w:val="single" w:sz="8" w:space="0" w:color="auto"/>
              <w:bottom w:val="single" w:sz="4" w:space="0" w:color="auto"/>
              <w:right w:val="single" w:sz="8"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val="de-DE" w:eastAsia="de-DE"/>
              </w:rPr>
            </w:pPr>
            <w:proofErr w:type="spellStart"/>
            <w:r w:rsidRPr="00A20A4D">
              <w:rPr>
                <w:rFonts w:ascii="Arial" w:eastAsia="Times New Roman" w:hAnsi="Arial" w:cs="Arial"/>
                <w:b/>
                <w:bCs/>
                <w:sz w:val="20"/>
                <w:szCs w:val="20"/>
                <w:lang w:val="de-DE" w:eastAsia="de-DE"/>
              </w:rPr>
              <w:t>Creatinine</w:t>
            </w:r>
            <w:proofErr w:type="spellEnd"/>
          </w:p>
        </w:tc>
        <w:tc>
          <w:tcPr>
            <w:tcW w:w="8319"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20"/>
                <w:szCs w:val="20"/>
                <w:lang w:eastAsia="de-DE"/>
              </w:rPr>
            </w:pPr>
            <w:r w:rsidRPr="00A20A4D">
              <w:rPr>
                <w:rFonts w:ascii="Arial" w:eastAsia="Times New Roman" w:hAnsi="Arial" w:cs="Arial"/>
                <w:sz w:val="20"/>
                <w:szCs w:val="20"/>
                <w:lang w:eastAsia="de-DE"/>
              </w:rPr>
              <w:t xml:space="preserve">Enzymatic (center D: </w:t>
            </w:r>
            <w:proofErr w:type="spellStart"/>
            <w:r w:rsidRPr="00A20A4D">
              <w:rPr>
                <w:rFonts w:ascii="Arial" w:eastAsia="Times New Roman" w:hAnsi="Arial" w:cs="Arial"/>
                <w:sz w:val="20"/>
                <w:szCs w:val="20"/>
                <w:lang w:eastAsia="de-DE"/>
              </w:rPr>
              <w:t>Jaffé</w:t>
            </w:r>
            <w:proofErr w:type="spellEnd"/>
            <w:r w:rsidRPr="00A20A4D">
              <w:rPr>
                <w:rFonts w:ascii="Arial" w:eastAsia="Times New Roman" w:hAnsi="Arial" w:cs="Arial"/>
                <w:sz w:val="20"/>
                <w:szCs w:val="20"/>
                <w:lang w:eastAsia="de-DE"/>
              </w:rPr>
              <w:t xml:space="preserve"> with reflex testing using enzymatic assay in case of interference)</w:t>
            </w:r>
          </w:p>
        </w:tc>
      </w:tr>
      <w:tr w:rsidR="00D95FE8" w:rsidRPr="00A20A4D" w:rsidTr="0043747D">
        <w:trPr>
          <w:trHeight w:val="20"/>
        </w:trPr>
        <w:tc>
          <w:tcPr>
            <w:tcW w:w="2452" w:type="dxa"/>
            <w:tcBorders>
              <w:top w:val="nil"/>
              <w:left w:val="single" w:sz="8" w:space="0" w:color="auto"/>
              <w:bottom w:val="single" w:sz="4" w:space="0" w:color="auto"/>
              <w:right w:val="single" w:sz="8"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val="de-DE" w:eastAsia="de-DE"/>
              </w:rPr>
            </w:pPr>
            <w:r w:rsidRPr="00A20A4D">
              <w:rPr>
                <w:rFonts w:ascii="Arial" w:eastAsia="Times New Roman" w:hAnsi="Arial" w:cs="Arial"/>
                <w:b/>
                <w:bCs/>
                <w:sz w:val="20"/>
                <w:szCs w:val="20"/>
                <w:lang w:val="de-DE" w:eastAsia="de-DE"/>
              </w:rPr>
              <w:t>Urea</w:t>
            </w:r>
          </w:p>
        </w:tc>
        <w:tc>
          <w:tcPr>
            <w:tcW w:w="8319"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20"/>
                <w:szCs w:val="20"/>
                <w:lang w:eastAsia="de-DE"/>
              </w:rPr>
            </w:pPr>
            <w:r w:rsidRPr="00A20A4D">
              <w:rPr>
                <w:rFonts w:ascii="Arial" w:eastAsia="Times New Roman" w:hAnsi="Arial" w:cs="Arial"/>
                <w:sz w:val="20"/>
                <w:szCs w:val="20"/>
                <w:lang w:eastAsia="de-DE"/>
              </w:rPr>
              <w:t>Enzymatic UV-test (urease/GLDH)</w:t>
            </w:r>
          </w:p>
        </w:tc>
      </w:tr>
      <w:tr w:rsidR="00D95FE8" w:rsidRPr="00A20A4D" w:rsidTr="0043747D">
        <w:trPr>
          <w:trHeight w:val="20"/>
        </w:trPr>
        <w:tc>
          <w:tcPr>
            <w:tcW w:w="2452" w:type="dxa"/>
            <w:tcBorders>
              <w:top w:val="nil"/>
              <w:left w:val="single" w:sz="8" w:space="0" w:color="auto"/>
              <w:bottom w:val="single" w:sz="4" w:space="0" w:color="auto"/>
              <w:right w:val="single" w:sz="8"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val="de-DE" w:eastAsia="de-DE"/>
              </w:rPr>
            </w:pPr>
            <w:r w:rsidRPr="00A20A4D">
              <w:rPr>
                <w:rFonts w:ascii="Arial" w:eastAsia="Times New Roman" w:hAnsi="Arial" w:cs="Arial"/>
                <w:b/>
                <w:bCs/>
                <w:sz w:val="20"/>
                <w:szCs w:val="20"/>
                <w:lang w:val="de-DE" w:eastAsia="de-DE"/>
              </w:rPr>
              <w:t xml:space="preserve">Total </w:t>
            </w:r>
            <w:proofErr w:type="spellStart"/>
            <w:r w:rsidRPr="00A20A4D">
              <w:rPr>
                <w:rFonts w:ascii="Arial" w:eastAsia="Times New Roman" w:hAnsi="Arial" w:cs="Arial"/>
                <w:b/>
                <w:bCs/>
                <w:sz w:val="20"/>
                <w:szCs w:val="20"/>
                <w:lang w:val="de-DE" w:eastAsia="de-DE"/>
              </w:rPr>
              <w:t>protein</w:t>
            </w:r>
            <w:proofErr w:type="spellEnd"/>
          </w:p>
        </w:tc>
        <w:tc>
          <w:tcPr>
            <w:tcW w:w="8319"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20"/>
                <w:szCs w:val="20"/>
                <w:lang w:val="de-DE" w:eastAsia="de-DE"/>
              </w:rPr>
            </w:pPr>
            <w:proofErr w:type="spellStart"/>
            <w:r w:rsidRPr="00A20A4D">
              <w:rPr>
                <w:rFonts w:ascii="Arial" w:eastAsia="Times New Roman" w:hAnsi="Arial" w:cs="Arial"/>
                <w:sz w:val="20"/>
                <w:szCs w:val="20"/>
                <w:lang w:val="de-DE" w:eastAsia="de-DE"/>
              </w:rPr>
              <w:t>Biuret</w:t>
            </w:r>
            <w:proofErr w:type="spellEnd"/>
          </w:p>
        </w:tc>
      </w:tr>
      <w:tr w:rsidR="00D95FE8" w:rsidRPr="00A20A4D" w:rsidTr="0043747D">
        <w:trPr>
          <w:trHeight w:val="70"/>
        </w:trPr>
        <w:tc>
          <w:tcPr>
            <w:tcW w:w="2452" w:type="dxa"/>
            <w:tcBorders>
              <w:top w:val="nil"/>
              <w:left w:val="single" w:sz="8" w:space="0" w:color="auto"/>
              <w:bottom w:val="single" w:sz="4" w:space="0" w:color="auto"/>
              <w:right w:val="single" w:sz="8"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b/>
                <w:bCs/>
                <w:sz w:val="20"/>
                <w:szCs w:val="20"/>
                <w:lang w:val="de-DE" w:eastAsia="de-DE"/>
              </w:rPr>
            </w:pPr>
            <w:r w:rsidRPr="00A20A4D">
              <w:rPr>
                <w:rFonts w:ascii="Arial" w:eastAsia="Times New Roman" w:hAnsi="Arial" w:cs="Arial"/>
                <w:b/>
                <w:bCs/>
                <w:sz w:val="20"/>
                <w:szCs w:val="20"/>
                <w:lang w:val="de-DE" w:eastAsia="de-DE"/>
              </w:rPr>
              <w:t>Albumin</w:t>
            </w:r>
          </w:p>
        </w:tc>
        <w:tc>
          <w:tcPr>
            <w:tcW w:w="8319"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20"/>
                <w:szCs w:val="20"/>
                <w:lang w:eastAsia="de-DE"/>
              </w:rPr>
            </w:pPr>
            <w:proofErr w:type="spellStart"/>
            <w:r w:rsidRPr="00A20A4D">
              <w:rPr>
                <w:rFonts w:ascii="Arial" w:eastAsia="Times New Roman" w:hAnsi="Arial" w:cs="Arial"/>
                <w:sz w:val="20"/>
                <w:szCs w:val="20"/>
                <w:lang w:eastAsia="de-DE"/>
              </w:rPr>
              <w:t>Bromcresol</w:t>
            </w:r>
            <w:proofErr w:type="spellEnd"/>
            <w:r w:rsidRPr="00A20A4D">
              <w:rPr>
                <w:rFonts w:ascii="Arial" w:eastAsia="Times New Roman" w:hAnsi="Arial" w:cs="Arial"/>
                <w:sz w:val="20"/>
                <w:szCs w:val="20"/>
                <w:lang w:eastAsia="de-DE"/>
              </w:rPr>
              <w:t xml:space="preserve"> green (center M: </w:t>
            </w:r>
            <w:proofErr w:type="spellStart"/>
            <w:r w:rsidRPr="00A20A4D">
              <w:rPr>
                <w:rFonts w:ascii="Arial" w:eastAsia="Times New Roman" w:hAnsi="Arial" w:cs="Arial"/>
                <w:sz w:val="20"/>
                <w:szCs w:val="20"/>
                <w:lang w:eastAsia="de-DE"/>
              </w:rPr>
              <w:t>Bromcresol</w:t>
            </w:r>
            <w:proofErr w:type="spellEnd"/>
            <w:r w:rsidRPr="00A20A4D">
              <w:rPr>
                <w:rFonts w:ascii="Arial" w:eastAsia="Times New Roman" w:hAnsi="Arial" w:cs="Arial"/>
                <w:sz w:val="20"/>
                <w:szCs w:val="20"/>
                <w:lang w:eastAsia="de-DE"/>
              </w:rPr>
              <w:t xml:space="preserve"> purple)</w:t>
            </w:r>
          </w:p>
        </w:tc>
      </w:tr>
    </w:tbl>
    <w:p w:rsidR="00D95FE8" w:rsidRPr="00A20A4D" w:rsidRDefault="00D95FE8" w:rsidP="00A20A4D">
      <w:pPr>
        <w:spacing w:before="120" w:line="276" w:lineRule="auto"/>
        <w:rPr>
          <w:rFonts w:ascii="Arial" w:hAnsi="Arial" w:cs="Arial"/>
        </w:rPr>
      </w:pPr>
      <w:r w:rsidRPr="00A20A4D">
        <w:rPr>
          <w:rFonts w:ascii="Arial" w:hAnsi="Arial" w:cs="Arial"/>
        </w:rPr>
        <w:t xml:space="preserve">Analytical methods are not listed if they were excluded </w:t>
      </w:r>
      <w:r w:rsidR="00D324F1" w:rsidRPr="00A20A4D">
        <w:rPr>
          <w:rFonts w:ascii="Arial" w:hAnsi="Arial" w:cs="Arial"/>
        </w:rPr>
        <w:t>from the analysis, see Methods.</w:t>
      </w:r>
      <w:r w:rsidRPr="00A20A4D">
        <w:rPr>
          <w:rFonts w:ascii="Arial" w:hAnsi="Arial" w:cs="Arial"/>
        </w:rPr>
        <w:t xml:space="preserve"> AST</w:t>
      </w:r>
      <w:r w:rsidR="00D324F1" w:rsidRPr="00A20A4D">
        <w:rPr>
          <w:rFonts w:ascii="Arial" w:hAnsi="Arial" w:cs="Arial"/>
        </w:rPr>
        <w:t>,</w:t>
      </w:r>
      <w:r w:rsidRPr="00A20A4D">
        <w:rPr>
          <w:rFonts w:ascii="Arial" w:hAnsi="Arial" w:cs="Arial"/>
        </w:rPr>
        <w:t xml:space="preserve"> aspartate transaminase</w:t>
      </w:r>
      <w:r w:rsidR="00D324F1" w:rsidRPr="00A20A4D">
        <w:rPr>
          <w:rFonts w:ascii="Arial" w:hAnsi="Arial" w:cs="Arial"/>
        </w:rPr>
        <w:t>;</w:t>
      </w:r>
      <w:r w:rsidRPr="00A20A4D">
        <w:rPr>
          <w:rFonts w:ascii="Arial" w:hAnsi="Arial" w:cs="Arial"/>
        </w:rPr>
        <w:t xml:space="preserve"> ALT</w:t>
      </w:r>
      <w:r w:rsidR="00D324F1" w:rsidRPr="00A20A4D">
        <w:rPr>
          <w:rFonts w:ascii="Arial" w:hAnsi="Arial" w:cs="Arial"/>
        </w:rPr>
        <w:t>,</w:t>
      </w:r>
      <w:r w:rsidRPr="00A20A4D">
        <w:rPr>
          <w:rFonts w:ascii="Arial" w:hAnsi="Arial" w:cs="Arial"/>
        </w:rPr>
        <w:t xml:space="preserve"> alanine transaminase</w:t>
      </w:r>
      <w:r w:rsidR="00D324F1" w:rsidRPr="00A20A4D">
        <w:rPr>
          <w:rFonts w:ascii="Arial" w:hAnsi="Arial" w:cs="Arial"/>
        </w:rPr>
        <w:t>;</w:t>
      </w:r>
      <w:r w:rsidRPr="00A20A4D">
        <w:rPr>
          <w:rFonts w:ascii="Arial" w:hAnsi="Arial" w:cs="Arial"/>
        </w:rPr>
        <w:t xml:space="preserve"> LDH</w:t>
      </w:r>
      <w:r w:rsidR="00D324F1" w:rsidRPr="00A20A4D">
        <w:rPr>
          <w:rFonts w:ascii="Arial" w:hAnsi="Arial" w:cs="Arial"/>
        </w:rPr>
        <w:t>,</w:t>
      </w:r>
      <w:r w:rsidRPr="00A20A4D">
        <w:rPr>
          <w:rFonts w:ascii="Arial" w:hAnsi="Arial" w:cs="Arial"/>
        </w:rPr>
        <w:t xml:space="preserve"> lactate dehydrogenase</w:t>
      </w:r>
      <w:r w:rsidR="00D324F1" w:rsidRPr="00A20A4D">
        <w:rPr>
          <w:rFonts w:ascii="Arial" w:hAnsi="Arial" w:cs="Arial"/>
        </w:rPr>
        <w:t>;</w:t>
      </w:r>
      <w:r w:rsidRPr="00A20A4D">
        <w:rPr>
          <w:rFonts w:ascii="Arial" w:hAnsi="Arial" w:cs="Arial"/>
        </w:rPr>
        <w:t xml:space="preserve"> y-GT</w:t>
      </w:r>
      <w:r w:rsidR="00D324F1" w:rsidRPr="00A20A4D">
        <w:rPr>
          <w:rFonts w:ascii="Arial" w:hAnsi="Arial" w:cs="Arial"/>
        </w:rPr>
        <w:t>,</w:t>
      </w:r>
      <w:r w:rsidRPr="00A20A4D">
        <w:rPr>
          <w:rFonts w:ascii="Arial" w:hAnsi="Arial" w:cs="Arial"/>
        </w:rPr>
        <w:t xml:space="preserve"> </w:t>
      </w:r>
      <w:r w:rsidR="00D324F1" w:rsidRPr="00A20A4D">
        <w:rPr>
          <w:rFonts w:ascii="Arial" w:hAnsi="Arial" w:cs="Arial"/>
        </w:rPr>
        <w:t>γ</w:t>
      </w:r>
      <w:r w:rsidRPr="00A20A4D">
        <w:rPr>
          <w:rFonts w:ascii="Arial" w:hAnsi="Arial" w:cs="Arial"/>
        </w:rPr>
        <w:t>-</w:t>
      </w:r>
      <w:proofErr w:type="spellStart"/>
      <w:r w:rsidRPr="00A20A4D">
        <w:rPr>
          <w:rFonts w:ascii="Arial" w:hAnsi="Arial" w:cs="Arial"/>
        </w:rPr>
        <w:t>glutamyltransferase</w:t>
      </w:r>
      <w:proofErr w:type="spellEnd"/>
      <w:r w:rsidRPr="00A20A4D">
        <w:rPr>
          <w:rFonts w:ascii="Arial" w:hAnsi="Arial" w:cs="Arial"/>
        </w:rPr>
        <w:t>.</w:t>
      </w:r>
    </w:p>
    <w:p w:rsidR="00D95FE8" w:rsidRPr="00A20A4D" w:rsidRDefault="00D95FE8" w:rsidP="00D95FE8">
      <w:pPr>
        <w:pStyle w:val="berschrift1"/>
        <w:rPr>
          <w:rFonts w:ascii="Arial" w:hAnsi="Arial" w:cs="Arial"/>
          <w:u w:val="none"/>
        </w:rPr>
      </w:pPr>
      <w:r w:rsidRPr="00A20A4D">
        <w:rPr>
          <w:rFonts w:ascii="Arial" w:hAnsi="Arial" w:cs="Arial"/>
          <w:u w:val="none"/>
        </w:rPr>
        <w:lastRenderedPageBreak/>
        <w:t>Supplemental Table 3</w:t>
      </w:r>
      <w:r w:rsidR="00D324F1" w:rsidRPr="00A20A4D">
        <w:rPr>
          <w:rFonts w:ascii="Arial" w:hAnsi="Arial" w:cs="Arial"/>
          <w:u w:val="none"/>
        </w:rPr>
        <w:t xml:space="preserve"> </w:t>
      </w:r>
      <w:r w:rsidR="00D324F1" w:rsidRPr="00A20A4D">
        <w:rPr>
          <w:rFonts w:ascii="Arial" w:hAnsi="Arial" w:cs="Arial"/>
          <w:b w:val="0"/>
          <w:u w:val="none"/>
        </w:rPr>
        <w:t>Comparability of test results across centers.</w:t>
      </w:r>
    </w:p>
    <w:tbl>
      <w:tblPr>
        <w:tblW w:w="10640" w:type="dxa"/>
        <w:tblCellMar>
          <w:top w:w="14" w:type="dxa"/>
          <w:left w:w="14" w:type="dxa"/>
          <w:bottom w:w="14" w:type="dxa"/>
          <w:right w:w="14" w:type="dxa"/>
        </w:tblCellMar>
        <w:tblLook w:val="04A0" w:firstRow="1" w:lastRow="0" w:firstColumn="1" w:lastColumn="0" w:noHBand="0" w:noVBand="1"/>
      </w:tblPr>
      <w:tblGrid>
        <w:gridCol w:w="847"/>
        <w:gridCol w:w="590"/>
        <w:gridCol w:w="530"/>
        <w:gridCol w:w="640"/>
        <w:gridCol w:w="539"/>
        <w:gridCol w:w="590"/>
        <w:gridCol w:w="490"/>
        <w:gridCol w:w="491"/>
        <w:gridCol w:w="491"/>
        <w:gridCol w:w="591"/>
        <w:gridCol w:w="591"/>
        <w:gridCol w:w="639"/>
        <w:gridCol w:w="639"/>
        <w:gridCol w:w="639"/>
        <w:gridCol w:w="587"/>
        <w:gridCol w:w="581"/>
        <w:gridCol w:w="626"/>
        <w:gridCol w:w="539"/>
      </w:tblGrid>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
                <w:bCs/>
                <w:sz w:val="18"/>
                <w:szCs w:val="18"/>
                <w:lang w:eastAsia="de-DE"/>
              </w:rPr>
            </w:pPr>
          </w:p>
        </w:tc>
        <w:tc>
          <w:tcPr>
            <w:tcW w:w="590" w:type="dxa"/>
            <w:vMerge w:val="restart"/>
            <w:tcBorders>
              <w:top w:val="single" w:sz="4" w:space="0" w:color="auto"/>
              <w:left w:val="single" w:sz="4" w:space="0" w:color="auto"/>
              <w:right w:val="single" w:sz="4" w:space="0" w:color="auto"/>
            </w:tcBorders>
            <w:vAlign w:val="center"/>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r w:rsidRPr="00A20A4D">
              <w:rPr>
                <w:rFonts w:ascii="Arial" w:eastAsia="Times New Roman" w:hAnsi="Arial" w:cs="Arial"/>
                <w:b/>
                <w:bCs/>
                <w:sz w:val="18"/>
                <w:szCs w:val="18"/>
                <w:lang w:val="de-DE" w:eastAsia="de-DE"/>
              </w:rPr>
              <w:t>Age</w:t>
            </w:r>
          </w:p>
        </w:tc>
        <w:tc>
          <w:tcPr>
            <w:tcW w:w="530" w:type="dxa"/>
            <w:vMerge w:val="restart"/>
            <w:tcBorders>
              <w:top w:val="single" w:sz="4" w:space="0" w:color="auto"/>
              <w:left w:val="single" w:sz="4" w:space="0" w:color="auto"/>
              <w:right w:val="single" w:sz="4" w:space="0" w:color="auto"/>
            </w:tcBorders>
            <w:vAlign w:val="center"/>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r w:rsidRPr="00A20A4D">
              <w:rPr>
                <w:rFonts w:ascii="Arial" w:eastAsia="Times New Roman" w:hAnsi="Arial" w:cs="Arial"/>
                <w:b/>
                <w:bCs/>
                <w:sz w:val="18"/>
                <w:szCs w:val="18"/>
                <w:lang w:val="de-DE" w:eastAsia="de-DE"/>
              </w:rPr>
              <w:t>Sex</w:t>
            </w:r>
          </w:p>
        </w:tc>
        <w:tc>
          <w:tcPr>
            <w:tcW w:w="8673" w:type="dxa"/>
            <w:gridSpan w:val="15"/>
            <w:tcBorders>
              <w:top w:val="single" w:sz="4" w:space="0" w:color="auto"/>
              <w:left w:val="nil"/>
              <w:bottom w:val="single" w:sz="4" w:space="0" w:color="auto"/>
              <w:right w:val="single" w:sz="4" w:space="0" w:color="auto"/>
            </w:tcBorders>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proofErr w:type="spellStart"/>
            <w:r w:rsidRPr="00A20A4D">
              <w:rPr>
                <w:rFonts w:ascii="Arial" w:eastAsia="Times New Roman" w:hAnsi="Arial" w:cs="Arial"/>
                <w:b/>
                <w:bCs/>
                <w:sz w:val="18"/>
                <w:szCs w:val="18"/>
                <w:lang w:val="de-DE" w:eastAsia="de-DE"/>
              </w:rPr>
              <w:t>CV</w:t>
            </w:r>
            <w:r w:rsidRPr="00A20A4D">
              <w:rPr>
                <w:rFonts w:ascii="Arial" w:eastAsia="Times New Roman" w:hAnsi="Arial" w:cs="Arial"/>
                <w:b/>
                <w:bCs/>
                <w:sz w:val="18"/>
                <w:szCs w:val="18"/>
                <w:vertAlign w:val="subscript"/>
                <w:lang w:val="de-DE" w:eastAsia="de-DE"/>
              </w:rPr>
              <w:t>between</w:t>
            </w:r>
            <w:proofErr w:type="spellEnd"/>
            <w:r w:rsidRPr="00A20A4D">
              <w:rPr>
                <w:rFonts w:ascii="Arial" w:eastAsia="Times New Roman" w:hAnsi="Arial" w:cs="Arial"/>
                <w:b/>
                <w:bCs/>
                <w:sz w:val="18"/>
                <w:szCs w:val="18"/>
                <w:vertAlign w:val="subscript"/>
                <w:lang w:val="de-DE" w:eastAsia="de-DE"/>
              </w:rPr>
              <w:t xml:space="preserve">-center </w:t>
            </w:r>
            <w:proofErr w:type="spellStart"/>
            <w:r w:rsidRPr="00A20A4D">
              <w:rPr>
                <w:rFonts w:ascii="Arial" w:eastAsia="Times New Roman" w:hAnsi="Arial" w:cs="Arial"/>
                <w:b/>
                <w:bCs/>
                <w:sz w:val="18"/>
                <w:szCs w:val="18"/>
                <w:vertAlign w:val="subscript"/>
                <w:lang w:val="de-DE" w:eastAsia="de-DE"/>
              </w:rPr>
              <w:t>Medians</w:t>
            </w:r>
            <w:proofErr w:type="spellEnd"/>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p>
        </w:tc>
        <w:tc>
          <w:tcPr>
            <w:tcW w:w="590" w:type="dxa"/>
            <w:vMerge/>
            <w:tcBorders>
              <w:left w:val="single" w:sz="4" w:space="0" w:color="auto"/>
              <w:bottom w:val="single" w:sz="4" w:space="0" w:color="auto"/>
              <w:right w:val="single" w:sz="4" w:space="0" w:color="auto"/>
            </w:tcBorders>
            <w:vAlign w:val="center"/>
            <w:hideMark/>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p>
        </w:tc>
        <w:tc>
          <w:tcPr>
            <w:tcW w:w="530" w:type="dxa"/>
            <w:vMerge/>
            <w:tcBorders>
              <w:left w:val="single" w:sz="4" w:space="0" w:color="auto"/>
              <w:bottom w:val="single" w:sz="4" w:space="0" w:color="auto"/>
              <w:right w:val="single" w:sz="4" w:space="0" w:color="auto"/>
            </w:tcBorders>
            <w:vAlign w:val="center"/>
            <w:hideMark/>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p>
        </w:tc>
        <w:tc>
          <w:tcPr>
            <w:tcW w:w="640" w:type="dxa"/>
            <w:tcBorders>
              <w:top w:val="single" w:sz="4" w:space="0" w:color="auto"/>
              <w:left w:val="nil"/>
              <w:bottom w:val="single" w:sz="4" w:space="0" w:color="auto"/>
              <w:right w:val="single" w:sz="4" w:space="0" w:color="auto"/>
            </w:tcBorders>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r w:rsidRPr="00A20A4D">
              <w:rPr>
                <w:rFonts w:ascii="Arial" w:eastAsia="Times New Roman" w:hAnsi="Arial" w:cs="Arial"/>
                <w:b/>
                <w:bCs/>
                <w:sz w:val="18"/>
                <w:szCs w:val="18"/>
                <w:lang w:val="de-DE" w:eastAsia="de-DE"/>
              </w:rPr>
              <w:t>Na</w:t>
            </w:r>
            <w:r w:rsidRPr="00A20A4D">
              <w:rPr>
                <w:rFonts w:ascii="Arial" w:eastAsia="Times New Roman" w:hAnsi="Arial" w:cs="Arial"/>
                <w:b/>
                <w:bCs/>
                <w:sz w:val="18"/>
                <w:szCs w:val="18"/>
                <w:vertAlign w:val="superscript"/>
                <w:lang w:val="de-DE" w:eastAsia="de-DE"/>
              </w:rPr>
              <w:t>+</w:t>
            </w:r>
          </w:p>
        </w:tc>
        <w:tc>
          <w:tcPr>
            <w:tcW w:w="539" w:type="dxa"/>
            <w:tcBorders>
              <w:top w:val="single" w:sz="4" w:space="0" w:color="auto"/>
              <w:left w:val="single" w:sz="4" w:space="0" w:color="auto"/>
              <w:bottom w:val="single" w:sz="4" w:space="0" w:color="auto"/>
              <w:right w:val="single" w:sz="4" w:space="0" w:color="auto"/>
            </w:tcBorders>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r w:rsidRPr="00A20A4D">
              <w:rPr>
                <w:rFonts w:ascii="Arial" w:eastAsia="Times New Roman" w:hAnsi="Arial" w:cs="Arial"/>
                <w:b/>
                <w:bCs/>
                <w:sz w:val="18"/>
                <w:szCs w:val="18"/>
                <w:lang w:val="de-DE" w:eastAsia="de-DE"/>
              </w:rPr>
              <w:t>K</w:t>
            </w:r>
            <w:r w:rsidRPr="00A20A4D">
              <w:rPr>
                <w:rFonts w:ascii="Arial" w:eastAsia="Times New Roman" w:hAnsi="Arial" w:cs="Arial"/>
                <w:b/>
                <w:bCs/>
                <w:sz w:val="18"/>
                <w:szCs w:val="18"/>
                <w:vertAlign w:val="superscript"/>
                <w:lang w:val="de-DE" w:eastAsia="de-DE"/>
              </w:rPr>
              <w:t>+</w:t>
            </w:r>
          </w:p>
        </w:tc>
        <w:tc>
          <w:tcPr>
            <w:tcW w:w="590" w:type="dxa"/>
            <w:tcBorders>
              <w:top w:val="single" w:sz="4" w:space="0" w:color="auto"/>
              <w:left w:val="single" w:sz="4" w:space="0" w:color="auto"/>
              <w:bottom w:val="single" w:sz="4" w:space="0" w:color="auto"/>
              <w:right w:val="single" w:sz="4" w:space="0" w:color="auto"/>
            </w:tcBorders>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r w:rsidRPr="00A20A4D">
              <w:rPr>
                <w:rFonts w:ascii="Arial" w:eastAsia="Times New Roman" w:hAnsi="Arial" w:cs="Arial"/>
                <w:b/>
                <w:bCs/>
                <w:sz w:val="18"/>
                <w:szCs w:val="18"/>
                <w:lang w:val="de-DE" w:eastAsia="de-DE"/>
              </w:rPr>
              <w:t>Cl</w:t>
            </w:r>
            <w:r w:rsidRPr="00A20A4D">
              <w:rPr>
                <w:rFonts w:ascii="Arial" w:eastAsia="Times New Roman" w:hAnsi="Arial" w:cs="Arial"/>
                <w:b/>
                <w:bCs/>
                <w:sz w:val="18"/>
                <w:szCs w:val="18"/>
                <w:vertAlign w:val="superscript"/>
                <w:lang w:val="de-DE" w:eastAsia="de-DE"/>
              </w:rPr>
              <w:t>-</w:t>
            </w:r>
          </w:p>
        </w:tc>
        <w:tc>
          <w:tcPr>
            <w:tcW w:w="490" w:type="dxa"/>
            <w:tcBorders>
              <w:top w:val="single" w:sz="4" w:space="0" w:color="auto"/>
              <w:left w:val="single" w:sz="4" w:space="0" w:color="auto"/>
              <w:bottom w:val="single" w:sz="4" w:space="0" w:color="auto"/>
              <w:right w:val="single" w:sz="4" w:space="0" w:color="auto"/>
            </w:tcBorders>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r w:rsidRPr="00A20A4D">
              <w:rPr>
                <w:rFonts w:ascii="Arial" w:eastAsia="Times New Roman" w:hAnsi="Arial" w:cs="Arial"/>
                <w:b/>
                <w:bCs/>
                <w:sz w:val="18"/>
                <w:szCs w:val="18"/>
                <w:lang w:val="de-DE" w:eastAsia="de-DE"/>
              </w:rPr>
              <w:t>Ca</w:t>
            </w:r>
            <w:r w:rsidRPr="00A20A4D">
              <w:rPr>
                <w:rFonts w:ascii="Arial" w:eastAsia="Times New Roman" w:hAnsi="Arial" w:cs="Arial"/>
                <w:b/>
                <w:bCs/>
                <w:sz w:val="18"/>
                <w:szCs w:val="18"/>
                <w:vertAlign w:val="superscript"/>
                <w:lang w:val="de-DE" w:eastAsia="de-DE"/>
              </w:rPr>
              <w:t>2+</w:t>
            </w:r>
          </w:p>
        </w:tc>
        <w:tc>
          <w:tcPr>
            <w:tcW w:w="491" w:type="dxa"/>
            <w:tcBorders>
              <w:top w:val="single" w:sz="4" w:space="0" w:color="auto"/>
              <w:left w:val="single" w:sz="4" w:space="0" w:color="auto"/>
              <w:bottom w:val="single" w:sz="4" w:space="0" w:color="auto"/>
              <w:right w:val="single" w:sz="4" w:space="0" w:color="auto"/>
            </w:tcBorders>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r w:rsidRPr="00A20A4D">
              <w:rPr>
                <w:rFonts w:ascii="Arial" w:eastAsia="Times New Roman" w:hAnsi="Arial" w:cs="Arial"/>
                <w:b/>
                <w:bCs/>
                <w:sz w:val="18"/>
                <w:szCs w:val="18"/>
                <w:lang w:val="de-DE" w:eastAsia="de-DE"/>
              </w:rPr>
              <w:t>Mg</w:t>
            </w:r>
            <w:r w:rsidRPr="00A20A4D">
              <w:rPr>
                <w:rFonts w:ascii="Arial" w:eastAsia="Times New Roman" w:hAnsi="Arial" w:cs="Arial"/>
                <w:b/>
                <w:bCs/>
                <w:sz w:val="18"/>
                <w:szCs w:val="18"/>
                <w:vertAlign w:val="superscript"/>
                <w:lang w:val="de-DE" w:eastAsia="de-DE"/>
              </w:rPr>
              <w:t>2+</w:t>
            </w:r>
          </w:p>
        </w:tc>
        <w:tc>
          <w:tcPr>
            <w:tcW w:w="491" w:type="dxa"/>
            <w:tcBorders>
              <w:top w:val="single" w:sz="4" w:space="0" w:color="auto"/>
              <w:left w:val="single" w:sz="4" w:space="0" w:color="auto"/>
              <w:bottom w:val="single" w:sz="4" w:space="0" w:color="auto"/>
              <w:right w:val="single" w:sz="4" w:space="0" w:color="auto"/>
            </w:tcBorders>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proofErr w:type="spellStart"/>
            <w:r w:rsidRPr="00A20A4D">
              <w:rPr>
                <w:rFonts w:ascii="Arial" w:eastAsia="Times New Roman" w:hAnsi="Arial" w:cs="Arial"/>
                <w:b/>
                <w:bCs/>
                <w:sz w:val="18"/>
                <w:szCs w:val="18"/>
                <w:lang w:val="de-DE" w:eastAsia="de-DE"/>
              </w:rPr>
              <w:t>Ph</w:t>
            </w:r>
            <w:proofErr w:type="spellEnd"/>
            <w:r w:rsidRPr="00A20A4D">
              <w:rPr>
                <w:rFonts w:ascii="Arial" w:eastAsia="Times New Roman" w:hAnsi="Arial" w:cs="Arial"/>
                <w:b/>
                <w:bCs/>
                <w:sz w:val="18"/>
                <w:szCs w:val="18"/>
                <w:vertAlign w:val="superscript"/>
                <w:lang w:val="de-DE" w:eastAsia="de-DE"/>
              </w:rPr>
              <w:t>-</w:t>
            </w:r>
          </w:p>
        </w:tc>
        <w:tc>
          <w:tcPr>
            <w:tcW w:w="591" w:type="dxa"/>
            <w:tcBorders>
              <w:top w:val="single" w:sz="4" w:space="0" w:color="auto"/>
              <w:left w:val="single" w:sz="4" w:space="0" w:color="auto"/>
              <w:bottom w:val="single" w:sz="4" w:space="0" w:color="auto"/>
              <w:right w:val="single" w:sz="4" w:space="0" w:color="auto"/>
            </w:tcBorders>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r w:rsidRPr="00A20A4D">
              <w:rPr>
                <w:rFonts w:ascii="Arial" w:eastAsia="Times New Roman" w:hAnsi="Arial" w:cs="Arial"/>
                <w:b/>
                <w:bCs/>
                <w:sz w:val="18"/>
                <w:szCs w:val="18"/>
                <w:lang w:val="de-DE" w:eastAsia="de-DE"/>
              </w:rPr>
              <w:t>AST</w:t>
            </w:r>
          </w:p>
        </w:tc>
        <w:tc>
          <w:tcPr>
            <w:tcW w:w="591" w:type="dxa"/>
            <w:tcBorders>
              <w:top w:val="single" w:sz="4" w:space="0" w:color="auto"/>
              <w:left w:val="single" w:sz="4" w:space="0" w:color="auto"/>
              <w:bottom w:val="single" w:sz="4" w:space="0" w:color="auto"/>
              <w:right w:val="single" w:sz="4" w:space="0" w:color="auto"/>
            </w:tcBorders>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r w:rsidRPr="00A20A4D">
              <w:rPr>
                <w:rFonts w:ascii="Arial" w:eastAsia="Times New Roman" w:hAnsi="Arial" w:cs="Arial"/>
                <w:b/>
                <w:bCs/>
                <w:sz w:val="18"/>
                <w:szCs w:val="18"/>
                <w:lang w:val="de-DE" w:eastAsia="de-DE"/>
              </w:rPr>
              <w:t>ALT</w:t>
            </w:r>
          </w:p>
        </w:tc>
        <w:tc>
          <w:tcPr>
            <w:tcW w:w="639" w:type="dxa"/>
            <w:tcBorders>
              <w:top w:val="single" w:sz="4" w:space="0" w:color="auto"/>
              <w:left w:val="single" w:sz="4" w:space="0" w:color="auto"/>
              <w:bottom w:val="single" w:sz="4" w:space="0" w:color="auto"/>
              <w:right w:val="single" w:sz="4" w:space="0" w:color="auto"/>
            </w:tcBorders>
            <w:shd w:val="clear" w:color="auto" w:fill="auto"/>
            <w:noWrap/>
            <w:hideMark/>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proofErr w:type="spellStart"/>
            <w:r w:rsidRPr="00A20A4D">
              <w:rPr>
                <w:rFonts w:ascii="Arial" w:eastAsia="Times New Roman" w:hAnsi="Arial" w:cs="Arial"/>
                <w:b/>
                <w:bCs/>
                <w:sz w:val="18"/>
                <w:szCs w:val="18"/>
                <w:lang w:val="de-DE" w:eastAsia="de-DE"/>
              </w:rPr>
              <w:t>aP</w:t>
            </w:r>
            <w:proofErr w:type="spellEnd"/>
          </w:p>
        </w:tc>
        <w:tc>
          <w:tcPr>
            <w:tcW w:w="639" w:type="dxa"/>
            <w:tcBorders>
              <w:top w:val="single" w:sz="4" w:space="0" w:color="auto"/>
              <w:left w:val="single" w:sz="4" w:space="0" w:color="auto"/>
              <w:bottom w:val="single" w:sz="4" w:space="0" w:color="auto"/>
              <w:right w:val="single" w:sz="4" w:space="0" w:color="auto"/>
            </w:tcBorders>
            <w:shd w:val="clear" w:color="auto" w:fill="auto"/>
            <w:noWrap/>
            <w:hideMark/>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r w:rsidRPr="00A20A4D">
              <w:rPr>
                <w:rFonts w:ascii="Arial" w:eastAsia="Times New Roman" w:hAnsi="Arial" w:cs="Arial"/>
                <w:b/>
                <w:bCs/>
                <w:sz w:val="18"/>
                <w:szCs w:val="18"/>
                <w:lang w:val="de-DE" w:eastAsia="de-DE"/>
              </w:rPr>
              <w:t>γ-GT</w:t>
            </w:r>
          </w:p>
        </w:tc>
        <w:tc>
          <w:tcPr>
            <w:tcW w:w="639" w:type="dxa"/>
            <w:tcBorders>
              <w:top w:val="single" w:sz="4" w:space="0" w:color="auto"/>
              <w:left w:val="single" w:sz="4" w:space="0" w:color="auto"/>
              <w:bottom w:val="single" w:sz="4" w:space="0" w:color="auto"/>
              <w:right w:val="single" w:sz="4" w:space="0" w:color="auto"/>
            </w:tcBorders>
            <w:shd w:val="clear" w:color="auto" w:fill="auto"/>
            <w:noWrap/>
            <w:hideMark/>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r w:rsidRPr="00A20A4D">
              <w:rPr>
                <w:rFonts w:ascii="Arial" w:eastAsia="Times New Roman" w:hAnsi="Arial" w:cs="Arial"/>
                <w:b/>
                <w:bCs/>
                <w:sz w:val="18"/>
                <w:szCs w:val="18"/>
                <w:lang w:val="de-DE" w:eastAsia="de-DE"/>
              </w:rPr>
              <w:t>LDH</w:t>
            </w:r>
          </w:p>
        </w:tc>
        <w:tc>
          <w:tcPr>
            <w:tcW w:w="587" w:type="dxa"/>
            <w:tcBorders>
              <w:top w:val="single" w:sz="4" w:space="0" w:color="auto"/>
              <w:left w:val="single" w:sz="4" w:space="0" w:color="auto"/>
              <w:bottom w:val="single" w:sz="4" w:space="0" w:color="auto"/>
              <w:right w:val="single" w:sz="4" w:space="0" w:color="auto"/>
            </w:tcBorders>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proofErr w:type="spellStart"/>
            <w:r w:rsidRPr="00A20A4D">
              <w:rPr>
                <w:rFonts w:ascii="Arial" w:eastAsia="Times New Roman" w:hAnsi="Arial" w:cs="Arial"/>
                <w:b/>
                <w:bCs/>
                <w:sz w:val="18"/>
                <w:szCs w:val="18"/>
                <w:lang w:val="de-DE" w:eastAsia="de-DE"/>
              </w:rPr>
              <w:t>Crea</w:t>
            </w:r>
            <w:proofErr w:type="spellEnd"/>
          </w:p>
        </w:tc>
        <w:tc>
          <w:tcPr>
            <w:tcW w:w="581" w:type="dxa"/>
            <w:tcBorders>
              <w:top w:val="single" w:sz="4" w:space="0" w:color="auto"/>
              <w:left w:val="single" w:sz="4" w:space="0" w:color="auto"/>
              <w:bottom w:val="single" w:sz="4" w:space="0" w:color="auto"/>
              <w:right w:val="single" w:sz="4" w:space="0" w:color="auto"/>
            </w:tcBorders>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r w:rsidRPr="00A20A4D">
              <w:rPr>
                <w:rFonts w:ascii="Arial" w:eastAsia="Times New Roman" w:hAnsi="Arial" w:cs="Arial"/>
                <w:b/>
                <w:bCs/>
                <w:sz w:val="18"/>
                <w:szCs w:val="18"/>
                <w:lang w:val="de-DE" w:eastAsia="de-DE"/>
              </w:rPr>
              <w:t>Urea</w:t>
            </w:r>
          </w:p>
        </w:tc>
        <w:tc>
          <w:tcPr>
            <w:tcW w:w="626" w:type="dxa"/>
            <w:tcBorders>
              <w:top w:val="single" w:sz="4" w:space="0" w:color="auto"/>
              <w:left w:val="single" w:sz="4" w:space="0" w:color="auto"/>
              <w:bottom w:val="single" w:sz="4" w:space="0" w:color="auto"/>
              <w:right w:val="single" w:sz="4" w:space="0" w:color="auto"/>
            </w:tcBorders>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proofErr w:type="spellStart"/>
            <w:r w:rsidRPr="00A20A4D">
              <w:rPr>
                <w:rFonts w:ascii="Arial" w:eastAsia="Times New Roman" w:hAnsi="Arial" w:cs="Arial"/>
                <w:b/>
                <w:bCs/>
                <w:sz w:val="18"/>
                <w:szCs w:val="18"/>
                <w:lang w:val="de-DE" w:eastAsia="de-DE"/>
              </w:rPr>
              <w:t>Prot</w:t>
            </w:r>
            <w:proofErr w:type="spellEnd"/>
          </w:p>
        </w:tc>
        <w:tc>
          <w:tcPr>
            <w:tcW w:w="539" w:type="dxa"/>
            <w:tcBorders>
              <w:top w:val="single" w:sz="4" w:space="0" w:color="auto"/>
              <w:left w:val="single" w:sz="4" w:space="0" w:color="auto"/>
              <w:bottom w:val="single" w:sz="4" w:space="0" w:color="auto"/>
              <w:right w:val="single" w:sz="4" w:space="0" w:color="auto"/>
            </w:tcBorders>
            <w:shd w:val="clear" w:color="auto" w:fill="auto"/>
            <w:noWrap/>
            <w:hideMark/>
          </w:tcPr>
          <w:p w:rsidR="00D95FE8" w:rsidRPr="00A20A4D" w:rsidRDefault="00D95FE8" w:rsidP="0043747D">
            <w:pPr>
              <w:spacing w:after="0" w:line="240" w:lineRule="auto"/>
              <w:jc w:val="center"/>
              <w:rPr>
                <w:rFonts w:ascii="Arial" w:eastAsia="Times New Roman" w:hAnsi="Arial" w:cs="Arial"/>
                <w:b/>
                <w:bCs/>
                <w:sz w:val="18"/>
                <w:szCs w:val="18"/>
                <w:lang w:val="de-DE" w:eastAsia="de-DE"/>
              </w:rPr>
            </w:pPr>
            <w:r w:rsidRPr="00A20A4D">
              <w:rPr>
                <w:rFonts w:ascii="Arial" w:eastAsia="Times New Roman" w:hAnsi="Arial" w:cs="Arial"/>
                <w:b/>
                <w:bCs/>
                <w:sz w:val="18"/>
                <w:szCs w:val="18"/>
                <w:lang w:val="de-DE" w:eastAsia="de-DE"/>
              </w:rPr>
              <w:t>Alb</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1-2</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4,0%</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2,7%</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5,0%</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4,4%</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11,4%</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5,0%</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5,2%</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5,5%</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2,1%</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0,9%</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3,5%</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5,0%</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8,1%</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11,7%</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5,3%</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5,3%</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6,1%</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2-3</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3,0%</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4,8%</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7,8%</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3,4%</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10,4%</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5,3%</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3,3%</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5,2%</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3,8%</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2,7%</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6,5%</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4,7%</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11,3%</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5,1%</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5,3%</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3-4</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5,3%</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8,7%</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6,0%</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4,9%</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4,9%</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3,8%</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5,2%</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9,1%</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11,4%</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5,3%</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3,5%</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4,4%</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0,9%</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4-5</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3,3%</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0,9%</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5,2%</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8,3%</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3,5%</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11,0%</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4,3%</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3,6%</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4,2%</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3,2%</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5,4%</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8,6%</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5,3%</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9,4%</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4,7%</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5,4%</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5-6</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3,8%</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2,1%</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5,4%</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7,3%</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4,3%</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10,3%</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5,1%</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2,9%</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5,2%</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9,1%</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4,2%</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9,8%</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3,4%</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3,7%</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6-7</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3,7%</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5,6%</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8,3%</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4,0%</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8,2%</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5,1%</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2,9%</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6,6%</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8,0%</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4,4%</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9,8%</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5,5%</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2,8%</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3,5%</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7-8</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0,9%</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3,3%</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5,3%</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7,6%</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3,8%</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10,5%</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5,2%</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4,2%</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5,9%</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6,7%</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3,5%</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11,3%</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5,2%</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3,4%</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2,1%</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8-9</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4,4%</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6,1%</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7,2%</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2,9%</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7,7%</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5,3%</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3,6%</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4,2%</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3,7%</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6,1%</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7,6%</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5,0%</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5,0%</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4,2%</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9-10</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6,3%</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7,5%</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3,6%</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7,9%</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4,8%</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3,4%</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3,5%</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3,7%</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3,2%</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6,9%</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7,8%</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4,8%</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10,0%</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5,0%</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4,0%</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10-11</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3,7%</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2,1%</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3,0%</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5,9%</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6,4%</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10,3%</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3,3%</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0,9%</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3,5%</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2,8%</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6,3%</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9,6%</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4,7%</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8,6%</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5,7%</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11-12</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3,4%</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6,0%</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7,4%</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6,9%</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8,2%</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4,2%</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4,0%</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3,3%</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4,3%</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3,2%</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7,6%</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3,8%</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11,2%</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4,9%</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2,8%</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4,4%</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12-13</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2,9%</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6,7%</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8,3%</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6,4%</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8,7%</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4,7%</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4,4%</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2,7%</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3,5%</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6,0%</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7,7%</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11,1%</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5,1%</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3,6%</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13-14</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2,7%</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6,7%</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7,5%</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7,9%</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10,3%</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4,0%</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3,5%</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2,1%</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3,6%</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6,6%</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6,1%</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7,9%</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5,7%</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4,4%</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14-15</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3,7%</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2,9%</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6,8%</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7,5%</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4,2%</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8,3%</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5,2%</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5,1%</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3,3%</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3,7%</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3,7%</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7,4%</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8,9%</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4,4%</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10,1%</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5,9%</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15-16</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3,7%</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3,3%</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7,6%</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8,1%</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6,0%</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6,2%</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5,2%</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4,4%</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3,6%</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2,1%</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3,8%</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8,2%</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8,2%</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3,6%</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8,9%</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5,5%</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3,8%</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2,1%</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16-17</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4,8%</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8,1%</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7,2%</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6,5%</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3,5%</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2,8%</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4,3%</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3,6%</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7,6%</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8,4%</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3,8%</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9,8%</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4,0%</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17-18</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0,9%</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4,7%</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8,6%</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7,2%</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6,3%</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8,3%</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6,7%</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4,3%</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3,6%</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2,1%</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w:t>
            </w:r>
          </w:p>
        </w:tc>
      </w:tr>
      <w:tr w:rsidR="00D95FE8" w:rsidRPr="00A20A4D" w:rsidTr="0043747D">
        <w:trPr>
          <w:trHeight w:val="22"/>
        </w:trPr>
        <w:tc>
          <w:tcPr>
            <w:tcW w:w="847" w:type="dxa"/>
            <w:tcBorders>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7,6%</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8,8%</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6,8%</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4,0%</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r>
      <w:tr w:rsidR="00D95FE8" w:rsidRPr="00A20A4D" w:rsidTr="0043747D">
        <w:trPr>
          <w:trHeight w:val="22"/>
        </w:trPr>
        <w:tc>
          <w:tcPr>
            <w:tcW w:w="847" w:type="dxa"/>
            <w:tcBorders>
              <w:top w:val="nil"/>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18-19</w:t>
            </w:r>
          </w:p>
        </w:tc>
        <w:tc>
          <w:tcPr>
            <w:tcW w:w="53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Boys</w:t>
            </w:r>
          </w:p>
        </w:tc>
        <w:tc>
          <w:tcPr>
            <w:tcW w:w="64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0,9%</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8,4%</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6,8%</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3,0%</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6,5%</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87"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5,2%</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r>
      <w:tr w:rsidR="00D95FE8" w:rsidRPr="00A20A4D" w:rsidTr="0043747D">
        <w:trPr>
          <w:trHeight w:val="22"/>
        </w:trPr>
        <w:tc>
          <w:tcPr>
            <w:tcW w:w="847" w:type="dxa"/>
            <w:tcBorders>
              <w:bottom w:val="single" w:sz="4" w:space="0" w:color="auto"/>
              <w:right w:val="single" w:sz="4" w:space="0" w:color="auto"/>
            </w:tcBorders>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90" w:type="dxa"/>
            <w:vMerge/>
            <w:tcBorders>
              <w:left w:val="single" w:sz="4" w:space="0" w:color="auto"/>
              <w:bottom w:val="doub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530" w:type="dxa"/>
            <w:tcBorders>
              <w:top w:val="nil"/>
              <w:left w:val="nil"/>
              <w:bottom w:val="doub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Girls</w:t>
            </w:r>
          </w:p>
        </w:tc>
        <w:tc>
          <w:tcPr>
            <w:tcW w:w="640"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w:t>
            </w:r>
          </w:p>
        </w:tc>
        <w:tc>
          <w:tcPr>
            <w:tcW w:w="539"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4,4%</w:t>
            </w:r>
          </w:p>
        </w:tc>
        <w:tc>
          <w:tcPr>
            <w:tcW w:w="590"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490"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491"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3,4%</w:t>
            </w:r>
          </w:p>
        </w:tc>
        <w:tc>
          <w:tcPr>
            <w:tcW w:w="591"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8,8%</w:t>
            </w:r>
          </w:p>
        </w:tc>
        <w:tc>
          <w:tcPr>
            <w:tcW w:w="591"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639"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2,9%</w:t>
            </w:r>
          </w:p>
        </w:tc>
        <w:tc>
          <w:tcPr>
            <w:tcW w:w="639"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3,7%</w:t>
            </w:r>
          </w:p>
        </w:tc>
        <w:tc>
          <w:tcPr>
            <w:tcW w:w="639"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5,4%</w:t>
            </w:r>
          </w:p>
        </w:tc>
        <w:tc>
          <w:tcPr>
            <w:tcW w:w="587"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4,2%</w:t>
            </w:r>
          </w:p>
        </w:tc>
        <w:tc>
          <w:tcPr>
            <w:tcW w:w="581"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4,7%</w:t>
            </w:r>
          </w:p>
        </w:tc>
        <w:tc>
          <w:tcPr>
            <w:tcW w:w="626"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w:t>
            </w:r>
          </w:p>
        </w:tc>
        <w:tc>
          <w:tcPr>
            <w:tcW w:w="539"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r>
      <w:tr w:rsidR="00D95FE8" w:rsidRPr="00A20A4D" w:rsidTr="0043747D">
        <w:trPr>
          <w:trHeight w:val="22"/>
        </w:trPr>
        <w:tc>
          <w:tcPr>
            <w:tcW w:w="84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EFLM</w:t>
            </w:r>
          </w:p>
        </w:tc>
        <w:tc>
          <w:tcPr>
            <w:tcW w:w="1120" w:type="dxa"/>
            <w:gridSpan w:val="2"/>
            <w:tcBorders>
              <w:top w:val="double" w:sz="4" w:space="0" w:color="auto"/>
              <w:left w:val="single" w:sz="4" w:space="0" w:color="auto"/>
              <w:bottom w:val="single" w:sz="4" w:space="0" w:color="auto"/>
              <w:right w:val="single" w:sz="4" w:space="0" w:color="auto"/>
            </w:tcBorders>
            <w:shd w:val="clear" w:color="auto" w:fill="FFFFFF" w:themeFill="background1"/>
            <w:noWrap/>
            <w:vAlign w:val="center"/>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Total Error (Minimum)</w:t>
            </w:r>
          </w:p>
        </w:tc>
        <w:tc>
          <w:tcPr>
            <w:tcW w:w="640" w:type="dxa"/>
            <w:tcBorders>
              <w:top w:val="double" w:sz="4" w:space="0" w:color="auto"/>
              <w:left w:val="single" w:sz="4" w:space="0" w:color="auto"/>
              <w:bottom w:val="single" w:sz="4" w:space="0" w:color="auto"/>
              <w:right w:val="single" w:sz="4" w:space="0" w:color="auto"/>
            </w:tcBorders>
            <w:shd w:val="clear" w:color="auto" w:fill="auto"/>
            <w:noWrap/>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w:t>
            </w:r>
          </w:p>
        </w:tc>
        <w:tc>
          <w:tcPr>
            <w:tcW w:w="539"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7.3%</w:t>
            </w:r>
          </w:p>
        </w:tc>
        <w:tc>
          <w:tcPr>
            <w:tcW w:w="590"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w:t>
            </w:r>
          </w:p>
        </w:tc>
        <w:tc>
          <w:tcPr>
            <w:tcW w:w="490" w:type="dxa"/>
            <w:vMerge w:val="restart"/>
            <w:tcBorders>
              <w:top w:val="double" w:sz="4" w:space="0" w:color="auto"/>
              <w:left w:val="single" w:sz="4" w:space="0" w:color="auto"/>
              <w:right w:val="single" w:sz="4" w:space="0" w:color="auto"/>
            </w:tcBorders>
            <w:vAlign w:val="center"/>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N/A</w:t>
            </w:r>
          </w:p>
        </w:tc>
        <w:tc>
          <w:tcPr>
            <w:tcW w:w="491" w:type="dxa"/>
            <w:vMerge w:val="restart"/>
            <w:tcBorders>
              <w:top w:val="double" w:sz="4" w:space="0" w:color="auto"/>
              <w:left w:val="single" w:sz="4" w:space="0" w:color="auto"/>
              <w:right w:val="single" w:sz="4" w:space="0" w:color="auto"/>
            </w:tcBorders>
            <w:vAlign w:val="center"/>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N/A</w:t>
            </w:r>
          </w:p>
        </w:tc>
        <w:tc>
          <w:tcPr>
            <w:tcW w:w="491" w:type="dxa"/>
            <w:vMerge w:val="restart"/>
            <w:tcBorders>
              <w:top w:val="double" w:sz="4" w:space="0" w:color="auto"/>
              <w:left w:val="single" w:sz="4" w:space="0" w:color="auto"/>
              <w:right w:val="single" w:sz="4" w:space="0" w:color="auto"/>
            </w:tcBorders>
            <w:vAlign w:val="center"/>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N/A</w:t>
            </w:r>
          </w:p>
        </w:tc>
        <w:tc>
          <w:tcPr>
            <w:tcW w:w="591"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20.5%</w:t>
            </w:r>
          </w:p>
        </w:tc>
        <w:tc>
          <w:tcPr>
            <w:tcW w:w="591"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24.1%</w:t>
            </w:r>
          </w:p>
        </w:tc>
        <w:tc>
          <w:tcPr>
            <w:tcW w:w="639"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15.9%</w:t>
            </w:r>
          </w:p>
        </w:tc>
        <w:tc>
          <w:tcPr>
            <w:tcW w:w="639" w:type="dxa"/>
            <w:tcBorders>
              <w:top w:val="double" w:sz="4" w:space="0" w:color="auto"/>
              <w:left w:val="single" w:sz="4" w:space="0" w:color="auto"/>
              <w:bottom w:val="single" w:sz="4" w:space="0" w:color="auto"/>
              <w:right w:val="single" w:sz="4" w:space="0" w:color="auto"/>
            </w:tcBorders>
            <w:shd w:val="clear" w:color="auto" w:fill="auto"/>
            <w:noWrap/>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28.3%</w:t>
            </w:r>
          </w:p>
        </w:tc>
        <w:tc>
          <w:tcPr>
            <w:tcW w:w="639" w:type="dxa"/>
            <w:tcBorders>
              <w:top w:val="double" w:sz="4" w:space="0" w:color="auto"/>
              <w:left w:val="single" w:sz="4" w:space="0" w:color="auto"/>
              <w:bottom w:val="single" w:sz="4" w:space="0" w:color="auto"/>
              <w:right w:val="single" w:sz="4" w:space="0" w:color="auto"/>
            </w:tcBorders>
            <w:shd w:val="clear" w:color="auto" w:fill="auto"/>
            <w:noWrap/>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11.5%</w:t>
            </w:r>
          </w:p>
        </w:tc>
        <w:tc>
          <w:tcPr>
            <w:tcW w:w="587" w:type="dxa"/>
            <w:tcBorders>
              <w:top w:val="double" w:sz="4" w:space="0" w:color="auto"/>
              <w:left w:val="single" w:sz="4" w:space="0" w:color="auto"/>
              <w:bottom w:val="single" w:sz="4" w:space="0" w:color="auto"/>
              <w:right w:val="single" w:sz="4" w:space="0" w:color="auto"/>
            </w:tcBorders>
            <w:shd w:val="clear" w:color="auto" w:fill="auto"/>
            <w:noWrap/>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11.2%</w:t>
            </w:r>
          </w:p>
        </w:tc>
        <w:tc>
          <w:tcPr>
            <w:tcW w:w="581"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26.6%</w:t>
            </w:r>
          </w:p>
        </w:tc>
        <w:tc>
          <w:tcPr>
            <w:tcW w:w="626"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5.2%</w:t>
            </w:r>
          </w:p>
        </w:tc>
        <w:tc>
          <w:tcPr>
            <w:tcW w:w="539" w:type="dxa"/>
            <w:tcBorders>
              <w:top w:val="double" w:sz="4" w:space="0" w:color="auto"/>
              <w:left w:val="nil"/>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r>
      <w:tr w:rsidR="00D95FE8" w:rsidRPr="00A20A4D" w:rsidTr="0043747D">
        <w:trPr>
          <w:trHeight w:val="22"/>
        </w:trPr>
        <w:tc>
          <w:tcPr>
            <w:tcW w:w="8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11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Total Error (</w:t>
            </w:r>
            <w:proofErr w:type="spellStart"/>
            <w:r w:rsidRPr="00A20A4D">
              <w:rPr>
                <w:rFonts w:ascii="Arial" w:eastAsia="Times New Roman" w:hAnsi="Arial" w:cs="Arial"/>
                <w:bCs/>
                <w:sz w:val="18"/>
                <w:szCs w:val="18"/>
                <w:lang w:val="de-DE" w:eastAsia="de-DE"/>
              </w:rPr>
              <w:t>Desirable</w:t>
            </w:r>
            <w:proofErr w:type="spellEnd"/>
            <w:r w:rsidRPr="00A20A4D">
              <w:rPr>
                <w:rFonts w:ascii="Arial" w:eastAsia="Times New Roman" w:hAnsi="Arial" w:cs="Arial"/>
                <w:bCs/>
                <w:sz w:val="18"/>
                <w:szCs w:val="18"/>
                <w:lang w:val="de-DE" w:eastAsia="de-DE"/>
              </w:rPr>
              <w:t>)</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4.8%</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490" w:type="dxa"/>
            <w:vMerge/>
            <w:tcBorders>
              <w:left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491" w:type="dxa"/>
            <w:vMerge/>
            <w:tcBorders>
              <w:left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491" w:type="dxa"/>
            <w:vMerge/>
            <w:tcBorders>
              <w:left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13.6%</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16.1%</w:t>
            </w:r>
          </w:p>
        </w:tc>
        <w:tc>
          <w:tcPr>
            <w:tcW w:w="6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10.6%</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18.9%</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7.7%</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7.5%</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17.8%</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3.5%</w:t>
            </w:r>
          </w:p>
        </w:tc>
        <w:tc>
          <w:tcPr>
            <w:tcW w:w="539" w:type="dxa"/>
            <w:tcBorders>
              <w:top w:val="single" w:sz="4" w:space="0" w:color="auto"/>
              <w:left w:val="nil"/>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r>
      <w:tr w:rsidR="00D95FE8" w:rsidRPr="00A20A4D" w:rsidTr="0043747D">
        <w:trPr>
          <w:trHeight w:val="22"/>
        </w:trPr>
        <w:tc>
          <w:tcPr>
            <w:tcW w:w="8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1120" w:type="dxa"/>
            <w:gridSpan w:val="2"/>
            <w:tcBorders>
              <w:top w:val="single" w:sz="4" w:space="0" w:color="auto"/>
              <w:left w:val="single" w:sz="4" w:space="0" w:color="auto"/>
              <w:bottom w:val="double" w:sz="4" w:space="0" w:color="auto"/>
              <w:right w:val="single" w:sz="4" w:space="0" w:color="auto"/>
            </w:tcBorders>
            <w:shd w:val="clear" w:color="auto" w:fill="FFFFFF" w:themeFill="background1"/>
            <w:noWrap/>
            <w:vAlign w:val="center"/>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RCV 95%</w:t>
            </w:r>
          </w:p>
        </w:tc>
        <w:tc>
          <w:tcPr>
            <w:tcW w:w="640" w:type="dxa"/>
            <w:tcBorders>
              <w:top w:val="single" w:sz="4" w:space="0" w:color="auto"/>
              <w:left w:val="single" w:sz="4" w:space="0" w:color="auto"/>
              <w:bottom w:val="double" w:sz="4" w:space="0" w:color="auto"/>
              <w:right w:val="single" w:sz="4" w:space="0" w:color="auto"/>
            </w:tcBorders>
            <w:shd w:val="clear" w:color="auto" w:fill="auto"/>
            <w:noWrap/>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539"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11.4%</w:t>
            </w:r>
          </w:p>
        </w:tc>
        <w:tc>
          <w:tcPr>
            <w:tcW w:w="590"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3.0%</w:t>
            </w:r>
          </w:p>
        </w:tc>
        <w:tc>
          <w:tcPr>
            <w:tcW w:w="490" w:type="dxa"/>
            <w:vMerge/>
            <w:tcBorders>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491" w:type="dxa"/>
            <w:vMerge/>
            <w:tcBorders>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491" w:type="dxa"/>
            <w:vMerge/>
            <w:tcBorders>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591"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26.6%</w:t>
            </w:r>
          </w:p>
        </w:tc>
        <w:tc>
          <w:tcPr>
            <w:tcW w:w="591"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28.0%</w:t>
            </w:r>
          </w:p>
        </w:tc>
        <w:tc>
          <w:tcPr>
            <w:tcW w:w="639"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14.7%</w:t>
            </w:r>
          </w:p>
        </w:tc>
        <w:tc>
          <w:tcPr>
            <w:tcW w:w="639" w:type="dxa"/>
            <w:tcBorders>
              <w:top w:val="single" w:sz="4" w:space="0" w:color="auto"/>
              <w:left w:val="single" w:sz="4" w:space="0" w:color="auto"/>
              <w:bottom w:val="double" w:sz="4" w:space="0" w:color="auto"/>
              <w:right w:val="single" w:sz="4" w:space="0" w:color="auto"/>
            </w:tcBorders>
            <w:shd w:val="clear" w:color="auto" w:fill="auto"/>
            <w:noWrap/>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25.2%</w:t>
            </w:r>
          </w:p>
        </w:tc>
        <w:tc>
          <w:tcPr>
            <w:tcW w:w="639" w:type="dxa"/>
            <w:tcBorders>
              <w:top w:val="single" w:sz="4" w:space="0" w:color="auto"/>
              <w:left w:val="single" w:sz="4" w:space="0" w:color="auto"/>
              <w:bottom w:val="double" w:sz="4" w:space="0" w:color="auto"/>
              <w:right w:val="single" w:sz="4" w:space="0" w:color="auto"/>
            </w:tcBorders>
            <w:shd w:val="clear" w:color="auto" w:fill="auto"/>
            <w:noWrap/>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14.4%</w:t>
            </w:r>
          </w:p>
        </w:tc>
        <w:tc>
          <w:tcPr>
            <w:tcW w:w="587" w:type="dxa"/>
            <w:tcBorders>
              <w:top w:val="single" w:sz="4" w:space="0" w:color="auto"/>
              <w:left w:val="single" w:sz="4" w:space="0" w:color="auto"/>
              <w:bottom w:val="double" w:sz="4" w:space="0" w:color="auto"/>
              <w:right w:val="single" w:sz="4" w:space="0" w:color="auto"/>
            </w:tcBorders>
            <w:shd w:val="clear" w:color="auto" w:fill="auto"/>
            <w:noWrap/>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12.5%</w:t>
            </w:r>
          </w:p>
        </w:tc>
        <w:tc>
          <w:tcPr>
            <w:tcW w:w="581"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38.5%</w:t>
            </w:r>
          </w:p>
        </w:tc>
        <w:tc>
          <w:tcPr>
            <w:tcW w:w="626" w:type="dxa"/>
            <w:tcBorders>
              <w:top w:val="single" w:sz="4" w:space="0" w:color="auto"/>
              <w:left w:val="single" w:sz="4" w:space="0" w:color="auto"/>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7.2%</w:t>
            </w:r>
          </w:p>
        </w:tc>
        <w:tc>
          <w:tcPr>
            <w:tcW w:w="539" w:type="dxa"/>
            <w:tcBorders>
              <w:top w:val="single" w:sz="4" w:space="0" w:color="auto"/>
              <w:left w:val="nil"/>
              <w:bottom w:val="doub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r>
      <w:tr w:rsidR="00D95FE8" w:rsidRPr="00A20A4D" w:rsidTr="0043747D">
        <w:trPr>
          <w:trHeight w:val="22"/>
        </w:trPr>
        <w:tc>
          <w:tcPr>
            <w:tcW w:w="84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roofErr w:type="spellStart"/>
            <w:r w:rsidRPr="00A20A4D">
              <w:rPr>
                <w:rFonts w:ascii="Arial" w:eastAsia="Times New Roman" w:hAnsi="Arial" w:cs="Arial"/>
                <w:bCs/>
                <w:sz w:val="18"/>
                <w:szCs w:val="18"/>
                <w:lang w:val="de-DE" w:eastAsia="de-DE"/>
              </w:rPr>
              <w:t>Ricós</w:t>
            </w:r>
            <w:proofErr w:type="spellEnd"/>
            <w:r w:rsidRPr="00A20A4D">
              <w:rPr>
                <w:rFonts w:ascii="Arial" w:eastAsia="Times New Roman" w:hAnsi="Arial" w:cs="Arial"/>
                <w:bCs/>
                <w:sz w:val="18"/>
                <w:szCs w:val="18"/>
                <w:lang w:val="de-DE" w:eastAsia="de-DE"/>
              </w:rPr>
              <w:t xml:space="preserve"> et al. / </w:t>
            </w:r>
            <w:proofErr w:type="spellStart"/>
            <w:r w:rsidRPr="00A20A4D">
              <w:rPr>
                <w:rFonts w:ascii="Arial" w:eastAsia="Times New Roman" w:hAnsi="Arial" w:cs="Arial"/>
                <w:bCs/>
                <w:sz w:val="18"/>
                <w:szCs w:val="18"/>
                <w:lang w:val="de-DE" w:eastAsia="de-DE"/>
              </w:rPr>
              <w:t>Westgard</w:t>
            </w:r>
            <w:proofErr w:type="spellEnd"/>
          </w:p>
        </w:tc>
        <w:tc>
          <w:tcPr>
            <w:tcW w:w="1120" w:type="dxa"/>
            <w:gridSpan w:val="2"/>
            <w:tcBorders>
              <w:top w:val="double" w:sz="4" w:space="0" w:color="auto"/>
              <w:left w:val="single" w:sz="4" w:space="0" w:color="auto"/>
              <w:bottom w:val="single" w:sz="4" w:space="0" w:color="auto"/>
              <w:right w:val="single" w:sz="4" w:space="0" w:color="auto"/>
            </w:tcBorders>
            <w:shd w:val="clear" w:color="auto" w:fill="FFFFFF" w:themeFill="background1"/>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roofErr w:type="spellStart"/>
            <w:r w:rsidRPr="00A20A4D">
              <w:rPr>
                <w:rFonts w:ascii="Arial" w:eastAsia="Times New Roman" w:hAnsi="Arial" w:cs="Arial"/>
                <w:bCs/>
                <w:sz w:val="18"/>
                <w:szCs w:val="18"/>
                <w:lang w:val="de-DE" w:eastAsia="de-DE"/>
              </w:rPr>
              <w:t>Imprecision</w:t>
            </w:r>
            <w:proofErr w:type="spellEnd"/>
          </w:p>
        </w:tc>
        <w:tc>
          <w:tcPr>
            <w:tcW w:w="64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3,2%</w:t>
            </w:r>
          </w:p>
        </w:tc>
        <w:tc>
          <w:tcPr>
            <w:tcW w:w="539"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0,9%</w:t>
            </w:r>
          </w:p>
        </w:tc>
        <w:tc>
          <w:tcPr>
            <w:tcW w:w="590"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6,8%</w:t>
            </w:r>
          </w:p>
        </w:tc>
        <w:tc>
          <w:tcPr>
            <w:tcW w:w="490"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491"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w:t>
            </w:r>
          </w:p>
        </w:tc>
        <w:tc>
          <w:tcPr>
            <w:tcW w:w="491"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2,8%</w:t>
            </w:r>
          </w:p>
        </w:tc>
        <w:tc>
          <w:tcPr>
            <w:tcW w:w="591"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591"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6,2%</w:t>
            </w:r>
          </w:p>
        </w:tc>
        <w:tc>
          <w:tcPr>
            <w:tcW w:w="639"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9,7%</w:t>
            </w:r>
          </w:p>
        </w:tc>
        <w:tc>
          <w:tcPr>
            <w:tcW w:w="63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6,7%</w:t>
            </w:r>
          </w:p>
        </w:tc>
        <w:tc>
          <w:tcPr>
            <w:tcW w:w="63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4,3%</w:t>
            </w:r>
          </w:p>
        </w:tc>
        <w:tc>
          <w:tcPr>
            <w:tcW w:w="58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581"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3,0%</w:t>
            </w:r>
          </w:p>
        </w:tc>
        <w:tc>
          <w:tcPr>
            <w:tcW w:w="626" w:type="dxa"/>
            <w:tcBorders>
              <w:top w:val="doub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6,1%</w:t>
            </w:r>
          </w:p>
        </w:tc>
        <w:tc>
          <w:tcPr>
            <w:tcW w:w="539" w:type="dxa"/>
            <w:tcBorders>
              <w:top w:val="double" w:sz="4" w:space="0" w:color="auto"/>
              <w:left w:val="nil"/>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r>
      <w:tr w:rsidR="00D95FE8" w:rsidRPr="00A20A4D" w:rsidTr="0043747D">
        <w:trPr>
          <w:trHeight w:val="22"/>
        </w:trPr>
        <w:tc>
          <w:tcPr>
            <w:tcW w:w="84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112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Bias</w:t>
            </w:r>
          </w:p>
        </w:tc>
        <w:tc>
          <w:tcPr>
            <w:tcW w:w="64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6,7%</w:t>
            </w:r>
          </w:p>
        </w:tc>
        <w:tc>
          <w:tcPr>
            <w:tcW w:w="539" w:type="dxa"/>
            <w:tcBorders>
              <w:top w:val="single" w:sz="4" w:space="0" w:color="auto"/>
              <w:left w:val="nil"/>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5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4,8%</w:t>
            </w:r>
          </w:p>
        </w:tc>
        <w:tc>
          <w:tcPr>
            <w:tcW w:w="490"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w:t>
            </w:r>
          </w:p>
        </w:tc>
        <w:tc>
          <w:tcPr>
            <w:tcW w:w="4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3,2%</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3,4%</w:t>
            </w:r>
          </w:p>
        </w:tc>
        <w:tc>
          <w:tcPr>
            <w:tcW w:w="59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6,5%</w:t>
            </w:r>
          </w:p>
        </w:tc>
        <w:tc>
          <w:tcPr>
            <w:tcW w:w="6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11,5%</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11,1%</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4,3%</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581"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4,0%</w:t>
            </w:r>
          </w:p>
        </w:tc>
        <w:tc>
          <w:tcPr>
            <w:tcW w:w="626"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5,6%</w:t>
            </w:r>
          </w:p>
        </w:tc>
        <w:tc>
          <w:tcPr>
            <w:tcW w:w="539" w:type="dxa"/>
            <w:tcBorders>
              <w:top w:val="single" w:sz="4" w:space="0" w:color="auto"/>
              <w:left w:val="single" w:sz="4" w:space="0" w:color="auto"/>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r>
      <w:tr w:rsidR="00D95FE8" w:rsidRPr="00A20A4D" w:rsidTr="0043747D">
        <w:trPr>
          <w:trHeight w:val="22"/>
        </w:trPr>
        <w:tc>
          <w:tcPr>
            <w:tcW w:w="84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D95FE8" w:rsidRPr="00A20A4D" w:rsidRDefault="00D95FE8" w:rsidP="0043747D">
            <w:pPr>
              <w:spacing w:after="0" w:line="240" w:lineRule="auto"/>
              <w:jc w:val="center"/>
              <w:rPr>
                <w:rFonts w:ascii="Arial" w:eastAsia="Times New Roman" w:hAnsi="Arial" w:cs="Arial"/>
                <w:bCs/>
                <w:sz w:val="18"/>
                <w:szCs w:val="18"/>
                <w:lang w:val="de-DE" w:eastAsia="de-DE"/>
              </w:rPr>
            </w:pPr>
          </w:p>
        </w:tc>
        <w:tc>
          <w:tcPr>
            <w:tcW w:w="112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D95FE8" w:rsidRPr="00A20A4D" w:rsidRDefault="00D95FE8" w:rsidP="0043747D">
            <w:pPr>
              <w:spacing w:after="0" w:line="240" w:lineRule="auto"/>
              <w:jc w:val="center"/>
              <w:rPr>
                <w:rFonts w:ascii="Arial" w:eastAsia="Times New Roman" w:hAnsi="Arial" w:cs="Arial"/>
                <w:bCs/>
                <w:sz w:val="18"/>
                <w:szCs w:val="18"/>
                <w:lang w:val="de-DE" w:eastAsia="de-DE"/>
              </w:rPr>
            </w:pPr>
            <w:r w:rsidRPr="00A20A4D">
              <w:rPr>
                <w:rFonts w:ascii="Arial" w:eastAsia="Times New Roman" w:hAnsi="Arial" w:cs="Arial"/>
                <w:bCs/>
                <w:sz w:val="18"/>
                <w:szCs w:val="18"/>
                <w:lang w:val="de-DE" w:eastAsia="de-DE"/>
              </w:rPr>
              <w:t xml:space="preserve">Total </w:t>
            </w:r>
            <w:proofErr w:type="spellStart"/>
            <w:r w:rsidRPr="00A20A4D">
              <w:rPr>
                <w:rFonts w:ascii="Arial" w:eastAsia="Times New Roman" w:hAnsi="Arial" w:cs="Arial"/>
                <w:bCs/>
                <w:sz w:val="18"/>
                <w:szCs w:val="18"/>
                <w:lang w:val="de-DE" w:eastAsia="de-DE"/>
              </w:rPr>
              <w:t>error</w:t>
            </w:r>
            <w:proofErr w:type="spellEnd"/>
          </w:p>
        </w:tc>
        <w:tc>
          <w:tcPr>
            <w:tcW w:w="640"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12,0%</w:t>
            </w:r>
          </w:p>
        </w:tc>
        <w:tc>
          <w:tcPr>
            <w:tcW w:w="539" w:type="dxa"/>
            <w:tcBorders>
              <w:top w:val="nil"/>
              <w:left w:val="nil"/>
              <w:bottom w:val="single" w:sz="4" w:space="0" w:color="auto"/>
              <w:right w:val="nil"/>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c>
          <w:tcPr>
            <w:tcW w:w="590" w:type="dxa"/>
            <w:tcBorders>
              <w:top w:val="nil"/>
              <w:left w:val="nil"/>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16,0%</w:t>
            </w:r>
          </w:p>
        </w:tc>
        <w:tc>
          <w:tcPr>
            <w:tcW w:w="490" w:type="dxa"/>
            <w:tcBorders>
              <w:top w:val="nil"/>
              <w:left w:val="nil"/>
              <w:bottom w:val="single" w:sz="4" w:space="0" w:color="auto"/>
              <w:right w:val="nil"/>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491" w:type="dxa"/>
            <w:tcBorders>
              <w:top w:val="nil"/>
              <w:left w:val="nil"/>
              <w:bottom w:val="single" w:sz="4" w:space="0" w:color="auto"/>
              <w:right w:val="nil"/>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491" w:type="dxa"/>
            <w:tcBorders>
              <w:top w:val="nil"/>
              <w:left w:val="nil"/>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7,8%</w:t>
            </w:r>
          </w:p>
        </w:tc>
        <w:tc>
          <w:tcPr>
            <w:tcW w:w="591" w:type="dxa"/>
            <w:tcBorders>
              <w:top w:val="nil"/>
              <w:left w:val="nil"/>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10,1%</w:t>
            </w:r>
          </w:p>
        </w:tc>
        <w:tc>
          <w:tcPr>
            <w:tcW w:w="591" w:type="dxa"/>
            <w:tcBorders>
              <w:top w:val="nil"/>
              <w:left w:val="nil"/>
              <w:bottom w:val="single" w:sz="4" w:space="0" w:color="auto"/>
              <w:right w:val="nil"/>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16,7%</w:t>
            </w:r>
          </w:p>
        </w:tc>
        <w:tc>
          <w:tcPr>
            <w:tcW w:w="639" w:type="dxa"/>
            <w:tcBorders>
              <w:top w:val="nil"/>
              <w:left w:val="nil"/>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27,5%</w:t>
            </w:r>
          </w:p>
        </w:tc>
        <w:tc>
          <w:tcPr>
            <w:tcW w:w="639"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22,1%</w:t>
            </w:r>
          </w:p>
        </w:tc>
        <w:tc>
          <w:tcPr>
            <w:tcW w:w="639"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11,4%</w:t>
            </w:r>
          </w:p>
        </w:tc>
        <w:tc>
          <w:tcPr>
            <w:tcW w:w="587"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581" w:type="dxa"/>
            <w:tcBorders>
              <w:top w:val="nil"/>
              <w:left w:val="nil"/>
              <w:bottom w:val="single" w:sz="4" w:space="0" w:color="auto"/>
              <w:right w:val="nil"/>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8,9%</w:t>
            </w:r>
          </w:p>
        </w:tc>
        <w:tc>
          <w:tcPr>
            <w:tcW w:w="626" w:type="dxa"/>
            <w:tcBorders>
              <w:top w:val="nil"/>
              <w:left w:val="nil"/>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15,6%</w:t>
            </w:r>
          </w:p>
        </w:tc>
        <w:tc>
          <w:tcPr>
            <w:tcW w:w="539" w:type="dxa"/>
            <w:tcBorders>
              <w:top w:val="nil"/>
              <w:left w:val="nil"/>
              <w:bottom w:val="single" w:sz="4" w:space="0" w:color="auto"/>
              <w:right w:val="single" w:sz="4" w:space="0" w:color="auto"/>
            </w:tcBorders>
            <w:vAlign w:val="center"/>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3,6%</w:t>
            </w:r>
          </w:p>
        </w:tc>
      </w:tr>
    </w:tbl>
    <w:p w:rsidR="00D95FE8" w:rsidRPr="00A20A4D" w:rsidRDefault="00D95FE8" w:rsidP="00A20A4D">
      <w:pPr>
        <w:spacing w:before="120" w:after="0" w:line="276" w:lineRule="auto"/>
        <w:rPr>
          <w:rFonts w:ascii="Arial" w:hAnsi="Arial" w:cs="Arial"/>
        </w:rPr>
      </w:pPr>
      <w:proofErr w:type="gramStart"/>
      <w:r w:rsidRPr="00A20A4D">
        <w:rPr>
          <w:rFonts w:ascii="Arial" w:hAnsi="Arial" w:cs="Arial"/>
        </w:rPr>
        <w:t>CV</w:t>
      </w:r>
      <w:r w:rsidRPr="00A20A4D">
        <w:rPr>
          <w:rFonts w:ascii="Arial" w:hAnsi="Arial" w:cs="Arial"/>
          <w:vertAlign w:val="subscript"/>
        </w:rPr>
        <w:t>(</w:t>
      </w:r>
      <w:proofErr w:type="gramEnd"/>
      <w:r w:rsidRPr="00A20A4D">
        <w:rPr>
          <w:rFonts w:ascii="Arial" w:hAnsi="Arial" w:cs="Arial"/>
          <w:vertAlign w:val="subscript"/>
        </w:rPr>
        <w:t>between-center Medians)</w:t>
      </w:r>
      <w:r w:rsidRPr="00A20A4D">
        <w:rPr>
          <w:rFonts w:ascii="Arial" w:hAnsi="Arial" w:cs="Arial"/>
        </w:rPr>
        <w:t xml:space="preserve"> denotes the CV of all centers’ medians. Total Error and RCV 95% (reference change value, α=95 %) denote the respective values from the </w:t>
      </w:r>
      <w:r w:rsidRPr="00A20A4D">
        <w:rPr>
          <w:rFonts w:ascii="Arial" w:hAnsi="Arial" w:cs="Arial"/>
          <w:i/>
        </w:rPr>
        <w:t xml:space="preserve">EFLM Biological Variation Database </w:t>
      </w:r>
      <w:r w:rsidRPr="00A20A4D">
        <w:rPr>
          <w:rFonts w:ascii="Arial" w:hAnsi="Arial" w:cs="Arial"/>
        </w:rPr>
        <w:t xml:space="preserve">specifications available at </w:t>
      </w:r>
      <w:r w:rsidRPr="00A20A4D">
        <w:rPr>
          <w:rStyle w:val="Hyperlink"/>
          <w:rFonts w:ascii="Arial" w:hAnsi="Arial" w:cs="Arial"/>
        </w:rPr>
        <w:t>https://biologicalvariation.eu/</w:t>
      </w:r>
      <w:r w:rsidRPr="00A20A4D">
        <w:rPr>
          <w:rFonts w:ascii="Arial" w:hAnsi="Arial" w:cs="Arial"/>
        </w:rPr>
        <w:t xml:space="preserve">. Imprecision, Bias, and Total Error denote the respective values from the </w:t>
      </w:r>
      <w:r w:rsidRPr="00A20A4D">
        <w:rPr>
          <w:rFonts w:ascii="Arial" w:hAnsi="Arial" w:cs="Arial"/>
          <w:i/>
        </w:rPr>
        <w:t>Desirable Biological Variation Database</w:t>
      </w:r>
      <w:r w:rsidRPr="00A20A4D">
        <w:rPr>
          <w:rFonts w:ascii="Arial" w:hAnsi="Arial" w:cs="Arial"/>
        </w:rPr>
        <w:t xml:space="preserve"> specifications based on data by </w:t>
      </w:r>
      <w:proofErr w:type="spellStart"/>
      <w:r w:rsidRPr="00A20A4D">
        <w:rPr>
          <w:rFonts w:ascii="Arial" w:hAnsi="Arial" w:cs="Arial"/>
        </w:rPr>
        <w:t>Ricós</w:t>
      </w:r>
      <w:proofErr w:type="spellEnd"/>
      <w:r w:rsidRPr="00A20A4D">
        <w:rPr>
          <w:rFonts w:ascii="Arial" w:hAnsi="Arial" w:cs="Arial"/>
        </w:rPr>
        <w:t xml:space="preserve"> et al. </w:t>
      </w:r>
      <w:r w:rsidRPr="00A20A4D">
        <w:rPr>
          <w:rFonts w:ascii="Arial" w:hAnsi="Arial" w:cs="Arial"/>
        </w:rPr>
        <w:fldChar w:fldCharType="begin"/>
      </w:r>
      <w:r w:rsidRPr="00A20A4D">
        <w:rPr>
          <w:rFonts w:ascii="Arial" w:hAnsi="Arial" w:cs="Arial"/>
        </w:rPr>
        <w:instrText xml:space="preserve"> ADDIN ZOTERO_ITEM CSL_CITATION {"citationID":"2Vd17b6B","properties":{"formattedCitation":"[15]","plainCitation":"[15]","noteIndex":0},"citationItems":[{"id":"C4wE5CEm/sYJgrzQ7","uris":["http://zotero.org/users/1724655/items/R65FW7ZE"],"uri":["http://zotero.org/users/1724655/items/R65FW7ZE"],"itemData":{"id":1657,"type":"article-journal","abstract":"A database with reliable information to derive definitive analytical quality specifications for a large number of clinical laboratory tests was prepared in this work. This was achieved by comparing and correlating descriptive data and relevant observations with the biological variation information, an approach that had not been used in the previous efforts of this type. The material compiled in the database was obtained from published articles referenced in BIOS, CURRENT CONTENTS, EMBASE and MEDLINE using \"biological variation &amp; laboratory medicine\" as key words, as well as books and doctoral theses provided by their authors. The database covers 316 quantities and reviews 191 articles, fewer than 10 of which had to be rejected. The within- and between-subject coefficients of variation and the subsequent desirable quality specifications for precision, bias and total error for all the quantities accepted are presented. Sex-related stratification of results was justified for only four quantities and, in these cases, quality specifications were derived from the group with lower within-subject variation. For certain quantities, biological variation in pathological states was higher than in the healthy state. In these cases, quality specifications were derived only from the healthy population (most stringent). Several quantities (particularly hormones) have been treated in very few articles and the results found are highly discrepant. Therefore, professionals in laboratory medicine should be strongly encouraged to study the quantities for which results are discrepant, the 90 quantities described in only one paper and the numerous quantities that have not been the subject of study.","container-title":"Scandinavian Journal of Clinical and Laboratory Investigation","DOI":"10.1080/00365519950185229","ISSN":"0036-5513","issue":"7","journalAbbreviation":"Scand J Clin Lab Invest","language":"eng","note":"PMID: 10667686","page":"491-500","source":"PubMed","title":"Current databases on biological variation: pros, cons and progress","title-short":"Current databases on biological variation","volume":"59","author":[{"family":"Ricós","given":"C."},{"family":"Alvarez","given":"V."},{"family":"Cava","given":"F."},{"family":"García-Lario","given":"J. V."},{"family":"Hernández","given":"A."},{"family":"Jiménez","given":"C. V."},{"family":"Minchinela","given":"J."},{"family":"Perich","given":"C."},{"family":"Simón","given":"M."}],"issued":{"date-parts":[["1999",11]]}}}],"schema":"https://github.com/citation-style-language/schema/raw/master/csl-citation.json"} </w:instrText>
      </w:r>
      <w:r w:rsidRPr="00A20A4D">
        <w:rPr>
          <w:rFonts w:ascii="Arial" w:hAnsi="Arial" w:cs="Arial"/>
        </w:rPr>
        <w:fldChar w:fldCharType="separate"/>
      </w:r>
      <w:r w:rsidRPr="00A20A4D">
        <w:rPr>
          <w:rFonts w:ascii="Arial" w:hAnsi="Arial" w:cs="Arial"/>
        </w:rPr>
        <w:t>[15]</w:t>
      </w:r>
      <w:r w:rsidRPr="00A20A4D">
        <w:rPr>
          <w:rFonts w:ascii="Arial" w:hAnsi="Arial" w:cs="Arial"/>
        </w:rPr>
        <w:fldChar w:fldCharType="end"/>
      </w:r>
      <w:r w:rsidRPr="00A20A4D">
        <w:rPr>
          <w:rFonts w:ascii="Arial" w:hAnsi="Arial" w:cs="Arial"/>
        </w:rPr>
        <w:t xml:space="preserve"> and available at </w:t>
      </w:r>
      <w:hyperlink r:id="rId5" w:history="1">
        <w:r w:rsidRPr="00A20A4D">
          <w:rPr>
            <w:rStyle w:val="Hyperlink"/>
            <w:rFonts w:ascii="Arial" w:hAnsi="Arial" w:cs="Arial"/>
          </w:rPr>
          <w:t>https://www.westgard.com/biodatabase1.htm</w:t>
        </w:r>
      </w:hyperlink>
      <w:r w:rsidRPr="00A20A4D">
        <w:rPr>
          <w:rFonts w:ascii="Arial" w:hAnsi="Arial" w:cs="Arial"/>
        </w:rPr>
        <w:t>. See Supplemental Figure 1 for single centers’ data.</w:t>
      </w:r>
    </w:p>
    <w:p w:rsidR="00D95FE8" w:rsidRPr="00A20A4D" w:rsidRDefault="00D95FE8" w:rsidP="00A20A4D">
      <w:pPr>
        <w:spacing w:before="120" w:after="0" w:line="276" w:lineRule="auto"/>
        <w:rPr>
          <w:rFonts w:ascii="Arial" w:hAnsi="Arial" w:cs="Arial"/>
        </w:rPr>
      </w:pPr>
      <w:r w:rsidRPr="00A20A4D">
        <w:rPr>
          <w:rFonts w:ascii="Arial" w:hAnsi="Arial" w:cs="Arial"/>
        </w:rPr>
        <w:t>Na</w:t>
      </w:r>
      <w:r w:rsidRPr="00A20A4D">
        <w:rPr>
          <w:rFonts w:ascii="Arial" w:hAnsi="Arial" w:cs="Arial"/>
          <w:vertAlign w:val="superscript"/>
        </w:rPr>
        <w:t>+</w:t>
      </w:r>
      <w:r w:rsidR="00D324F1" w:rsidRPr="00A20A4D">
        <w:rPr>
          <w:rFonts w:ascii="Arial" w:hAnsi="Arial" w:cs="Arial"/>
        </w:rPr>
        <w:t>,</w:t>
      </w:r>
      <w:r w:rsidRPr="00A20A4D">
        <w:rPr>
          <w:rFonts w:ascii="Arial" w:hAnsi="Arial" w:cs="Arial"/>
        </w:rPr>
        <w:t xml:space="preserve"> </w:t>
      </w:r>
      <w:r w:rsidR="00D324F1" w:rsidRPr="00A20A4D">
        <w:rPr>
          <w:rFonts w:ascii="Arial" w:hAnsi="Arial" w:cs="Arial"/>
        </w:rPr>
        <w:t>s</w:t>
      </w:r>
      <w:r w:rsidRPr="00A20A4D">
        <w:rPr>
          <w:rFonts w:ascii="Arial" w:hAnsi="Arial" w:cs="Arial"/>
        </w:rPr>
        <w:t>odium</w:t>
      </w:r>
      <w:r w:rsidR="00D324F1" w:rsidRPr="00A20A4D">
        <w:rPr>
          <w:rFonts w:ascii="Arial" w:hAnsi="Arial" w:cs="Arial"/>
        </w:rPr>
        <w:t>;</w:t>
      </w:r>
      <w:r w:rsidRPr="00A20A4D">
        <w:rPr>
          <w:rFonts w:ascii="Arial" w:hAnsi="Arial" w:cs="Arial"/>
        </w:rPr>
        <w:t xml:space="preserve"> K</w:t>
      </w:r>
      <w:r w:rsidRPr="00A20A4D">
        <w:rPr>
          <w:rFonts w:ascii="Arial" w:hAnsi="Arial" w:cs="Arial"/>
          <w:vertAlign w:val="superscript"/>
        </w:rPr>
        <w:t>+</w:t>
      </w:r>
      <w:r w:rsidR="00D324F1" w:rsidRPr="00A20A4D">
        <w:rPr>
          <w:rFonts w:ascii="Arial" w:hAnsi="Arial" w:cs="Arial"/>
        </w:rPr>
        <w:t>, p</w:t>
      </w:r>
      <w:r w:rsidRPr="00A20A4D">
        <w:rPr>
          <w:rFonts w:ascii="Arial" w:hAnsi="Arial" w:cs="Arial"/>
        </w:rPr>
        <w:t>otassium</w:t>
      </w:r>
      <w:r w:rsidR="00D324F1" w:rsidRPr="00A20A4D">
        <w:rPr>
          <w:rFonts w:ascii="Arial" w:hAnsi="Arial" w:cs="Arial"/>
        </w:rPr>
        <w:t>;</w:t>
      </w:r>
      <w:r w:rsidRPr="00A20A4D">
        <w:rPr>
          <w:rFonts w:ascii="Arial" w:hAnsi="Arial" w:cs="Arial"/>
        </w:rPr>
        <w:t xml:space="preserve"> Cl</w:t>
      </w:r>
      <w:r w:rsidRPr="00A20A4D">
        <w:rPr>
          <w:rFonts w:ascii="Arial" w:hAnsi="Arial" w:cs="Arial"/>
          <w:vertAlign w:val="superscript"/>
        </w:rPr>
        <w:t>-</w:t>
      </w:r>
      <w:r w:rsidR="00D324F1" w:rsidRPr="00A20A4D">
        <w:rPr>
          <w:rFonts w:ascii="Arial" w:hAnsi="Arial" w:cs="Arial"/>
        </w:rPr>
        <w:t>, c</w:t>
      </w:r>
      <w:r w:rsidRPr="00A20A4D">
        <w:rPr>
          <w:rFonts w:ascii="Arial" w:hAnsi="Arial" w:cs="Arial"/>
        </w:rPr>
        <w:t>hloride</w:t>
      </w:r>
      <w:r w:rsidR="00D324F1" w:rsidRPr="00A20A4D">
        <w:rPr>
          <w:rFonts w:ascii="Arial" w:hAnsi="Arial" w:cs="Arial"/>
        </w:rPr>
        <w:t>;</w:t>
      </w:r>
      <w:r w:rsidRPr="00A20A4D">
        <w:rPr>
          <w:rFonts w:ascii="Arial" w:hAnsi="Arial" w:cs="Arial"/>
        </w:rPr>
        <w:t xml:space="preserve"> Ca</w:t>
      </w:r>
      <w:r w:rsidRPr="00A20A4D">
        <w:rPr>
          <w:rFonts w:ascii="Arial" w:hAnsi="Arial" w:cs="Arial"/>
          <w:vertAlign w:val="superscript"/>
        </w:rPr>
        <w:t>2+</w:t>
      </w:r>
      <w:r w:rsidR="00D324F1" w:rsidRPr="00A20A4D">
        <w:rPr>
          <w:rFonts w:ascii="Arial" w:hAnsi="Arial" w:cs="Arial"/>
        </w:rPr>
        <w:t>, c</w:t>
      </w:r>
      <w:r w:rsidRPr="00A20A4D">
        <w:rPr>
          <w:rFonts w:ascii="Arial" w:hAnsi="Arial" w:cs="Arial"/>
        </w:rPr>
        <w:t>alcium</w:t>
      </w:r>
      <w:r w:rsidR="00D324F1" w:rsidRPr="00A20A4D">
        <w:rPr>
          <w:rFonts w:ascii="Arial" w:hAnsi="Arial" w:cs="Arial"/>
        </w:rPr>
        <w:t>;</w:t>
      </w:r>
      <w:r w:rsidRPr="00A20A4D">
        <w:rPr>
          <w:rFonts w:ascii="Arial" w:hAnsi="Arial" w:cs="Arial"/>
        </w:rPr>
        <w:t xml:space="preserve"> Mg</w:t>
      </w:r>
      <w:r w:rsidRPr="00A20A4D">
        <w:rPr>
          <w:rFonts w:ascii="Arial" w:hAnsi="Arial" w:cs="Arial"/>
          <w:vertAlign w:val="superscript"/>
        </w:rPr>
        <w:t>2+</w:t>
      </w:r>
      <w:r w:rsidR="00D324F1" w:rsidRPr="00A20A4D">
        <w:rPr>
          <w:rFonts w:ascii="Arial" w:hAnsi="Arial" w:cs="Arial"/>
        </w:rPr>
        <w:t>, m</w:t>
      </w:r>
      <w:r w:rsidRPr="00A20A4D">
        <w:rPr>
          <w:rFonts w:ascii="Arial" w:hAnsi="Arial" w:cs="Arial"/>
        </w:rPr>
        <w:t>agnesium</w:t>
      </w:r>
      <w:r w:rsidR="00D324F1" w:rsidRPr="00A20A4D">
        <w:rPr>
          <w:rFonts w:ascii="Arial" w:hAnsi="Arial" w:cs="Arial"/>
        </w:rPr>
        <w:t>;</w:t>
      </w:r>
      <w:r w:rsidRPr="00A20A4D">
        <w:rPr>
          <w:rFonts w:ascii="Arial" w:hAnsi="Arial" w:cs="Arial"/>
        </w:rPr>
        <w:t xml:space="preserve"> </w:t>
      </w:r>
      <w:proofErr w:type="spellStart"/>
      <w:r w:rsidRPr="00A20A4D">
        <w:rPr>
          <w:rFonts w:ascii="Arial" w:hAnsi="Arial" w:cs="Arial"/>
        </w:rPr>
        <w:t>Ph</w:t>
      </w:r>
      <w:proofErr w:type="spellEnd"/>
      <w:r w:rsidRPr="00A20A4D">
        <w:rPr>
          <w:rFonts w:ascii="Arial" w:hAnsi="Arial" w:cs="Arial"/>
          <w:vertAlign w:val="superscript"/>
        </w:rPr>
        <w:t>-</w:t>
      </w:r>
      <w:r w:rsidR="00D324F1" w:rsidRPr="00A20A4D">
        <w:rPr>
          <w:rFonts w:ascii="Arial" w:hAnsi="Arial" w:cs="Arial"/>
        </w:rPr>
        <w:t>, p</w:t>
      </w:r>
      <w:r w:rsidRPr="00A20A4D">
        <w:rPr>
          <w:rFonts w:ascii="Arial" w:hAnsi="Arial" w:cs="Arial"/>
        </w:rPr>
        <w:t>hosphate</w:t>
      </w:r>
      <w:r w:rsidR="00D324F1" w:rsidRPr="00A20A4D">
        <w:rPr>
          <w:rFonts w:ascii="Arial" w:hAnsi="Arial" w:cs="Arial"/>
        </w:rPr>
        <w:t>;</w:t>
      </w:r>
      <w:r w:rsidRPr="00A20A4D">
        <w:rPr>
          <w:rFonts w:ascii="Arial" w:hAnsi="Arial" w:cs="Arial"/>
        </w:rPr>
        <w:t xml:space="preserve"> AST</w:t>
      </w:r>
      <w:r w:rsidR="00D324F1" w:rsidRPr="00A20A4D">
        <w:rPr>
          <w:rFonts w:ascii="Arial" w:hAnsi="Arial" w:cs="Arial"/>
        </w:rPr>
        <w:t>,</w:t>
      </w:r>
      <w:r w:rsidRPr="00A20A4D">
        <w:rPr>
          <w:rFonts w:ascii="Arial" w:hAnsi="Arial" w:cs="Arial"/>
        </w:rPr>
        <w:t xml:space="preserve"> aspartate transaminase</w:t>
      </w:r>
      <w:r w:rsidR="00D324F1" w:rsidRPr="00A20A4D">
        <w:rPr>
          <w:rFonts w:ascii="Arial" w:hAnsi="Arial" w:cs="Arial"/>
        </w:rPr>
        <w:t>;</w:t>
      </w:r>
      <w:r w:rsidRPr="00A20A4D">
        <w:rPr>
          <w:rFonts w:ascii="Arial" w:hAnsi="Arial" w:cs="Arial"/>
        </w:rPr>
        <w:t xml:space="preserve"> ALT</w:t>
      </w:r>
      <w:r w:rsidR="00D324F1" w:rsidRPr="00A20A4D">
        <w:rPr>
          <w:rFonts w:ascii="Arial" w:hAnsi="Arial" w:cs="Arial"/>
        </w:rPr>
        <w:t>,</w:t>
      </w:r>
      <w:r w:rsidRPr="00A20A4D">
        <w:rPr>
          <w:rFonts w:ascii="Arial" w:hAnsi="Arial" w:cs="Arial"/>
        </w:rPr>
        <w:t xml:space="preserve"> alanine transaminase</w:t>
      </w:r>
      <w:r w:rsidR="00D324F1" w:rsidRPr="00A20A4D">
        <w:rPr>
          <w:rFonts w:ascii="Arial" w:hAnsi="Arial" w:cs="Arial"/>
        </w:rPr>
        <w:t>;</w:t>
      </w:r>
      <w:r w:rsidRPr="00A20A4D">
        <w:rPr>
          <w:rFonts w:ascii="Arial" w:hAnsi="Arial" w:cs="Arial"/>
        </w:rPr>
        <w:t xml:space="preserve"> </w:t>
      </w:r>
      <w:proofErr w:type="spellStart"/>
      <w:r w:rsidRPr="00A20A4D">
        <w:rPr>
          <w:rFonts w:ascii="Arial" w:hAnsi="Arial" w:cs="Arial"/>
        </w:rPr>
        <w:t>aP</w:t>
      </w:r>
      <w:proofErr w:type="spellEnd"/>
      <w:r w:rsidR="00D324F1" w:rsidRPr="00A20A4D">
        <w:rPr>
          <w:rFonts w:ascii="Arial" w:hAnsi="Arial" w:cs="Arial"/>
        </w:rPr>
        <w:t>,</w:t>
      </w:r>
      <w:r w:rsidRPr="00A20A4D">
        <w:rPr>
          <w:rFonts w:ascii="Arial" w:hAnsi="Arial" w:cs="Arial"/>
        </w:rPr>
        <w:t xml:space="preserve"> alkaline phosphatase</w:t>
      </w:r>
      <w:r w:rsidR="00D324F1" w:rsidRPr="00A20A4D">
        <w:rPr>
          <w:rFonts w:ascii="Arial" w:hAnsi="Arial" w:cs="Arial"/>
        </w:rPr>
        <w:t>;</w:t>
      </w:r>
      <w:r w:rsidRPr="00A20A4D">
        <w:rPr>
          <w:rFonts w:ascii="Arial" w:hAnsi="Arial" w:cs="Arial"/>
        </w:rPr>
        <w:t xml:space="preserve"> y-GT</w:t>
      </w:r>
      <w:r w:rsidR="00D324F1" w:rsidRPr="00A20A4D">
        <w:rPr>
          <w:rFonts w:ascii="Arial" w:hAnsi="Arial" w:cs="Arial"/>
        </w:rPr>
        <w:t>,</w:t>
      </w:r>
      <w:r w:rsidRPr="00A20A4D">
        <w:rPr>
          <w:rFonts w:ascii="Arial" w:hAnsi="Arial" w:cs="Arial"/>
        </w:rPr>
        <w:t xml:space="preserve"> </w:t>
      </w:r>
      <w:r w:rsidR="00D324F1" w:rsidRPr="00A20A4D">
        <w:rPr>
          <w:rFonts w:ascii="Arial" w:hAnsi="Arial" w:cs="Arial"/>
        </w:rPr>
        <w:t>γ</w:t>
      </w:r>
      <w:r w:rsidRPr="00A20A4D">
        <w:rPr>
          <w:rFonts w:ascii="Arial" w:hAnsi="Arial" w:cs="Arial"/>
        </w:rPr>
        <w:t>-</w:t>
      </w:r>
      <w:proofErr w:type="spellStart"/>
      <w:r w:rsidRPr="00A20A4D">
        <w:rPr>
          <w:rFonts w:ascii="Arial" w:hAnsi="Arial" w:cs="Arial"/>
        </w:rPr>
        <w:t>glutamyltransferase</w:t>
      </w:r>
      <w:proofErr w:type="spellEnd"/>
      <w:r w:rsidR="00D324F1" w:rsidRPr="00A20A4D">
        <w:rPr>
          <w:rFonts w:ascii="Arial" w:hAnsi="Arial" w:cs="Arial"/>
        </w:rPr>
        <w:t>;</w:t>
      </w:r>
      <w:r w:rsidRPr="00A20A4D">
        <w:rPr>
          <w:rFonts w:ascii="Arial" w:hAnsi="Arial" w:cs="Arial"/>
        </w:rPr>
        <w:t xml:space="preserve"> LDH</w:t>
      </w:r>
      <w:r w:rsidR="00D324F1" w:rsidRPr="00A20A4D">
        <w:rPr>
          <w:rFonts w:ascii="Arial" w:hAnsi="Arial" w:cs="Arial"/>
        </w:rPr>
        <w:t>,</w:t>
      </w:r>
      <w:r w:rsidRPr="00A20A4D">
        <w:rPr>
          <w:rFonts w:ascii="Arial" w:hAnsi="Arial" w:cs="Arial"/>
        </w:rPr>
        <w:t xml:space="preserve"> lactate dehydrogenase</w:t>
      </w:r>
      <w:r w:rsidR="00D324F1" w:rsidRPr="00A20A4D">
        <w:rPr>
          <w:rFonts w:ascii="Arial" w:hAnsi="Arial" w:cs="Arial"/>
        </w:rPr>
        <w:t>;</w:t>
      </w:r>
      <w:r w:rsidRPr="00A20A4D">
        <w:rPr>
          <w:rFonts w:ascii="Arial" w:hAnsi="Arial" w:cs="Arial"/>
        </w:rPr>
        <w:t xml:space="preserve"> </w:t>
      </w:r>
      <w:proofErr w:type="spellStart"/>
      <w:r w:rsidRPr="00A20A4D">
        <w:rPr>
          <w:rFonts w:ascii="Arial" w:hAnsi="Arial" w:cs="Arial"/>
        </w:rPr>
        <w:t>Crea</w:t>
      </w:r>
      <w:proofErr w:type="spellEnd"/>
      <w:r w:rsidR="00D324F1" w:rsidRPr="00A20A4D">
        <w:rPr>
          <w:rFonts w:ascii="Arial" w:hAnsi="Arial" w:cs="Arial"/>
        </w:rPr>
        <w:t>, c</w:t>
      </w:r>
      <w:r w:rsidRPr="00A20A4D">
        <w:rPr>
          <w:rFonts w:ascii="Arial" w:hAnsi="Arial" w:cs="Arial"/>
        </w:rPr>
        <w:t>reatinine</w:t>
      </w:r>
      <w:r w:rsidR="00D324F1" w:rsidRPr="00A20A4D">
        <w:rPr>
          <w:rFonts w:ascii="Arial" w:hAnsi="Arial" w:cs="Arial"/>
        </w:rPr>
        <w:t>;</w:t>
      </w:r>
      <w:r w:rsidRPr="00A20A4D">
        <w:rPr>
          <w:rFonts w:ascii="Arial" w:hAnsi="Arial" w:cs="Arial"/>
        </w:rPr>
        <w:t xml:space="preserve"> </w:t>
      </w:r>
      <w:proofErr w:type="spellStart"/>
      <w:r w:rsidRPr="00A20A4D">
        <w:rPr>
          <w:rFonts w:ascii="Arial" w:hAnsi="Arial" w:cs="Arial"/>
        </w:rPr>
        <w:t>Prot</w:t>
      </w:r>
      <w:proofErr w:type="spellEnd"/>
      <w:r w:rsidR="00D324F1" w:rsidRPr="00A20A4D">
        <w:rPr>
          <w:rFonts w:ascii="Arial" w:hAnsi="Arial" w:cs="Arial"/>
        </w:rPr>
        <w:t>, t</w:t>
      </w:r>
      <w:r w:rsidRPr="00A20A4D">
        <w:rPr>
          <w:rFonts w:ascii="Arial" w:hAnsi="Arial" w:cs="Arial"/>
        </w:rPr>
        <w:t>otal protein</w:t>
      </w:r>
      <w:r w:rsidR="00D324F1" w:rsidRPr="00A20A4D">
        <w:rPr>
          <w:rFonts w:ascii="Arial" w:hAnsi="Arial" w:cs="Arial"/>
        </w:rPr>
        <w:t>;</w:t>
      </w:r>
      <w:r w:rsidRPr="00A20A4D">
        <w:rPr>
          <w:rFonts w:ascii="Arial" w:hAnsi="Arial" w:cs="Arial"/>
        </w:rPr>
        <w:t xml:space="preserve"> Alb</w:t>
      </w:r>
      <w:r w:rsidR="00D324F1" w:rsidRPr="00A20A4D">
        <w:rPr>
          <w:rFonts w:ascii="Arial" w:hAnsi="Arial" w:cs="Arial"/>
        </w:rPr>
        <w:t>,</w:t>
      </w:r>
      <w:r w:rsidRPr="00A20A4D">
        <w:rPr>
          <w:rFonts w:ascii="Arial" w:hAnsi="Arial" w:cs="Arial"/>
        </w:rPr>
        <w:t xml:space="preserve"> albumin</w:t>
      </w:r>
      <w:r w:rsidR="00D324F1" w:rsidRPr="00A20A4D">
        <w:rPr>
          <w:rFonts w:ascii="Arial" w:hAnsi="Arial" w:cs="Arial"/>
        </w:rPr>
        <w:t>;</w:t>
      </w:r>
      <w:r w:rsidRPr="00A20A4D">
        <w:rPr>
          <w:rFonts w:ascii="Arial" w:hAnsi="Arial" w:cs="Arial"/>
        </w:rPr>
        <w:t xml:space="preserve"> EFLM</w:t>
      </w:r>
      <w:r w:rsidR="00D324F1" w:rsidRPr="00A20A4D">
        <w:rPr>
          <w:rFonts w:ascii="Arial" w:hAnsi="Arial" w:cs="Arial"/>
        </w:rPr>
        <w:t>,</w:t>
      </w:r>
      <w:r w:rsidRPr="00A20A4D">
        <w:rPr>
          <w:rFonts w:ascii="Arial" w:hAnsi="Arial" w:cs="Arial"/>
        </w:rPr>
        <w:t xml:space="preserve"> European Federation of Clinical Chemistry and Laboratory Medicine.</w:t>
      </w:r>
    </w:p>
    <w:p w:rsidR="00D95FE8" w:rsidRPr="00A20A4D" w:rsidRDefault="00D95FE8" w:rsidP="00D95FE8">
      <w:pPr>
        <w:rPr>
          <w:rFonts w:ascii="Arial" w:hAnsi="Arial" w:cs="Arial"/>
        </w:rPr>
      </w:pPr>
    </w:p>
    <w:p w:rsidR="00D95FE8" w:rsidRPr="00A20A4D" w:rsidRDefault="00D95FE8" w:rsidP="00D95FE8">
      <w:pPr>
        <w:spacing w:before="120" w:after="0"/>
        <w:rPr>
          <w:rFonts w:ascii="Arial" w:hAnsi="Arial" w:cs="Arial"/>
          <w:color w:val="0563C1" w:themeColor="hyperlink"/>
          <w:u w:val="single"/>
        </w:rPr>
        <w:sectPr w:rsidR="00D95FE8" w:rsidRPr="00A20A4D" w:rsidSect="00620E77">
          <w:footnotePr>
            <w:numFmt w:val="chicago"/>
          </w:footnotePr>
          <w:pgSz w:w="11906" w:h="16838"/>
          <w:pgMar w:top="720" w:right="720" w:bottom="720" w:left="720" w:header="708" w:footer="708" w:gutter="0"/>
          <w:cols w:space="708"/>
          <w:docGrid w:linePitch="360"/>
        </w:sectPr>
      </w:pPr>
    </w:p>
    <w:p w:rsidR="00D95FE8" w:rsidRPr="00A20A4D" w:rsidRDefault="00D95FE8" w:rsidP="00D95FE8">
      <w:pPr>
        <w:pStyle w:val="berschrift1"/>
        <w:rPr>
          <w:rFonts w:ascii="Arial" w:hAnsi="Arial" w:cs="Arial"/>
          <w:u w:val="none"/>
        </w:rPr>
      </w:pPr>
      <w:r w:rsidRPr="00A20A4D">
        <w:rPr>
          <w:rFonts w:ascii="Arial" w:hAnsi="Arial" w:cs="Arial"/>
          <w:u w:val="none"/>
        </w:rPr>
        <w:lastRenderedPageBreak/>
        <w:t>Supplemental Table 4</w:t>
      </w:r>
      <w:r w:rsidR="00D324F1" w:rsidRPr="00A20A4D">
        <w:rPr>
          <w:rFonts w:ascii="Arial" w:hAnsi="Arial" w:cs="Arial"/>
          <w:u w:val="none"/>
        </w:rPr>
        <w:t xml:space="preserve"> </w:t>
      </w:r>
      <w:r w:rsidR="00D324F1" w:rsidRPr="00A20A4D">
        <w:rPr>
          <w:rFonts w:ascii="Arial" w:hAnsi="Arial" w:cs="Arial"/>
          <w:b w:val="0"/>
          <w:u w:val="none"/>
        </w:rPr>
        <w:t>Median test results over time.</w:t>
      </w: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67"/>
        <w:gridCol w:w="667"/>
        <w:gridCol w:w="607"/>
        <w:gridCol w:w="567"/>
        <w:gridCol w:w="607"/>
        <w:gridCol w:w="667"/>
        <w:gridCol w:w="667"/>
        <w:gridCol w:w="667"/>
        <w:gridCol w:w="667"/>
        <w:gridCol w:w="667"/>
        <w:gridCol w:w="667"/>
        <w:gridCol w:w="667"/>
        <w:gridCol w:w="667"/>
        <w:gridCol w:w="567"/>
        <w:gridCol w:w="567"/>
      </w:tblGrid>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eastAsia="de-DE"/>
              </w:rPr>
            </w:pPr>
          </w:p>
        </w:tc>
        <w:tc>
          <w:tcPr>
            <w:tcW w:w="567"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b/>
                <w:bCs/>
                <w:sz w:val="18"/>
                <w:szCs w:val="18"/>
                <w:lang w:val="de-DE" w:eastAsia="de-DE"/>
              </w:rPr>
              <w:t>Na</w:t>
            </w:r>
            <w:r w:rsidRPr="00A20A4D">
              <w:rPr>
                <w:rFonts w:ascii="Arial" w:eastAsia="Times New Roman" w:hAnsi="Arial" w:cs="Arial"/>
                <w:b/>
                <w:bCs/>
                <w:sz w:val="18"/>
                <w:szCs w:val="18"/>
                <w:vertAlign w:val="superscript"/>
                <w:lang w:val="de-DE" w:eastAsia="de-DE"/>
              </w:rPr>
              <w:t>+</w:t>
            </w:r>
          </w:p>
        </w:tc>
        <w:tc>
          <w:tcPr>
            <w:tcW w:w="667"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b/>
                <w:bCs/>
                <w:sz w:val="18"/>
                <w:szCs w:val="18"/>
                <w:lang w:val="de-DE" w:eastAsia="de-DE"/>
              </w:rPr>
              <w:t>K</w:t>
            </w:r>
            <w:r w:rsidRPr="00A20A4D">
              <w:rPr>
                <w:rFonts w:ascii="Arial" w:eastAsia="Times New Roman" w:hAnsi="Arial" w:cs="Arial"/>
                <w:b/>
                <w:bCs/>
                <w:sz w:val="18"/>
                <w:szCs w:val="18"/>
                <w:vertAlign w:val="superscript"/>
                <w:lang w:val="de-DE" w:eastAsia="de-DE"/>
              </w:rPr>
              <w:t>+</w:t>
            </w:r>
          </w:p>
        </w:tc>
        <w:tc>
          <w:tcPr>
            <w:tcW w:w="607"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b/>
                <w:bCs/>
                <w:sz w:val="18"/>
                <w:szCs w:val="18"/>
                <w:lang w:val="de-DE" w:eastAsia="de-DE"/>
              </w:rPr>
              <w:t>Cl</w:t>
            </w:r>
            <w:r w:rsidRPr="00A20A4D">
              <w:rPr>
                <w:rFonts w:ascii="Arial" w:eastAsia="Times New Roman" w:hAnsi="Arial" w:cs="Arial"/>
                <w:b/>
                <w:bCs/>
                <w:sz w:val="18"/>
                <w:szCs w:val="18"/>
                <w:vertAlign w:val="superscript"/>
                <w:lang w:val="de-DE" w:eastAsia="de-DE"/>
              </w:rPr>
              <w:t>-</w:t>
            </w:r>
          </w:p>
        </w:tc>
        <w:tc>
          <w:tcPr>
            <w:tcW w:w="567"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b/>
                <w:bCs/>
                <w:sz w:val="18"/>
                <w:szCs w:val="18"/>
                <w:lang w:val="de-DE" w:eastAsia="de-DE"/>
              </w:rPr>
              <w:t>Ca</w:t>
            </w:r>
            <w:r w:rsidRPr="00A20A4D">
              <w:rPr>
                <w:rFonts w:ascii="Arial" w:eastAsia="Times New Roman" w:hAnsi="Arial" w:cs="Arial"/>
                <w:b/>
                <w:bCs/>
                <w:sz w:val="18"/>
                <w:szCs w:val="18"/>
                <w:vertAlign w:val="superscript"/>
                <w:lang w:val="de-DE" w:eastAsia="de-DE"/>
              </w:rPr>
              <w:t>2+</w:t>
            </w:r>
          </w:p>
        </w:tc>
        <w:tc>
          <w:tcPr>
            <w:tcW w:w="607"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b/>
                <w:bCs/>
                <w:sz w:val="18"/>
                <w:szCs w:val="18"/>
                <w:lang w:val="de-DE" w:eastAsia="de-DE"/>
              </w:rPr>
              <w:t>Mg</w:t>
            </w:r>
            <w:r w:rsidRPr="00A20A4D">
              <w:rPr>
                <w:rFonts w:ascii="Arial" w:eastAsia="Times New Roman" w:hAnsi="Arial" w:cs="Arial"/>
                <w:b/>
                <w:bCs/>
                <w:sz w:val="18"/>
                <w:szCs w:val="18"/>
                <w:vertAlign w:val="superscript"/>
                <w:lang w:val="de-DE" w:eastAsia="de-DE"/>
              </w:rPr>
              <w:t>2+</w:t>
            </w:r>
          </w:p>
        </w:tc>
        <w:tc>
          <w:tcPr>
            <w:tcW w:w="667"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proofErr w:type="spellStart"/>
            <w:r w:rsidRPr="00A20A4D">
              <w:rPr>
                <w:rFonts w:ascii="Arial" w:eastAsia="Times New Roman" w:hAnsi="Arial" w:cs="Arial"/>
                <w:b/>
                <w:bCs/>
                <w:sz w:val="18"/>
                <w:szCs w:val="18"/>
                <w:lang w:val="de-DE" w:eastAsia="de-DE"/>
              </w:rPr>
              <w:t>Ph</w:t>
            </w:r>
            <w:proofErr w:type="spellEnd"/>
            <w:r w:rsidRPr="00A20A4D">
              <w:rPr>
                <w:rFonts w:ascii="Arial" w:eastAsia="Times New Roman" w:hAnsi="Arial" w:cs="Arial"/>
                <w:b/>
                <w:bCs/>
                <w:sz w:val="18"/>
                <w:szCs w:val="18"/>
                <w:vertAlign w:val="superscript"/>
                <w:lang w:val="de-DE" w:eastAsia="de-DE"/>
              </w:rPr>
              <w:t>-</w:t>
            </w:r>
          </w:p>
        </w:tc>
        <w:tc>
          <w:tcPr>
            <w:tcW w:w="667"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b/>
                <w:bCs/>
                <w:sz w:val="18"/>
                <w:szCs w:val="18"/>
                <w:lang w:val="de-DE" w:eastAsia="de-DE"/>
              </w:rPr>
              <w:t>AST</w:t>
            </w:r>
          </w:p>
        </w:tc>
        <w:tc>
          <w:tcPr>
            <w:tcW w:w="667"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b/>
                <w:bCs/>
                <w:sz w:val="18"/>
                <w:szCs w:val="18"/>
                <w:lang w:val="de-DE" w:eastAsia="de-DE"/>
              </w:rPr>
              <w:t>ALT</w:t>
            </w:r>
          </w:p>
        </w:tc>
        <w:tc>
          <w:tcPr>
            <w:tcW w:w="667"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proofErr w:type="spellStart"/>
            <w:r w:rsidRPr="00A20A4D">
              <w:rPr>
                <w:rFonts w:ascii="Arial" w:eastAsia="Times New Roman" w:hAnsi="Arial" w:cs="Arial"/>
                <w:b/>
                <w:bCs/>
                <w:sz w:val="18"/>
                <w:szCs w:val="18"/>
                <w:lang w:val="de-DE" w:eastAsia="de-DE"/>
              </w:rPr>
              <w:t>aP</w:t>
            </w:r>
            <w:proofErr w:type="spellEnd"/>
          </w:p>
        </w:tc>
        <w:tc>
          <w:tcPr>
            <w:tcW w:w="667"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b/>
                <w:bCs/>
                <w:sz w:val="18"/>
                <w:szCs w:val="18"/>
                <w:lang w:val="de-DE" w:eastAsia="de-DE"/>
              </w:rPr>
              <w:t>γ-GT</w:t>
            </w:r>
          </w:p>
        </w:tc>
        <w:tc>
          <w:tcPr>
            <w:tcW w:w="667"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b/>
                <w:bCs/>
                <w:sz w:val="18"/>
                <w:szCs w:val="18"/>
                <w:lang w:val="de-DE" w:eastAsia="de-DE"/>
              </w:rPr>
              <w:t>LDH</w:t>
            </w:r>
          </w:p>
        </w:tc>
        <w:tc>
          <w:tcPr>
            <w:tcW w:w="667"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proofErr w:type="spellStart"/>
            <w:r w:rsidRPr="00A20A4D">
              <w:rPr>
                <w:rFonts w:ascii="Arial" w:eastAsia="Times New Roman" w:hAnsi="Arial" w:cs="Arial"/>
                <w:b/>
                <w:bCs/>
                <w:sz w:val="18"/>
                <w:szCs w:val="18"/>
                <w:lang w:val="de-DE" w:eastAsia="de-DE"/>
              </w:rPr>
              <w:t>Crea</w:t>
            </w:r>
            <w:proofErr w:type="spellEnd"/>
          </w:p>
        </w:tc>
        <w:tc>
          <w:tcPr>
            <w:tcW w:w="667"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b/>
                <w:bCs/>
                <w:sz w:val="18"/>
                <w:szCs w:val="18"/>
                <w:lang w:val="de-DE" w:eastAsia="de-DE"/>
              </w:rPr>
              <w:t>Urea</w:t>
            </w:r>
          </w:p>
        </w:tc>
        <w:tc>
          <w:tcPr>
            <w:tcW w:w="567"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proofErr w:type="spellStart"/>
            <w:r w:rsidRPr="00A20A4D">
              <w:rPr>
                <w:rFonts w:ascii="Arial" w:eastAsia="Times New Roman" w:hAnsi="Arial" w:cs="Arial"/>
                <w:b/>
                <w:bCs/>
                <w:sz w:val="18"/>
                <w:szCs w:val="18"/>
                <w:lang w:val="de-DE" w:eastAsia="de-DE"/>
              </w:rPr>
              <w:t>Prot</w:t>
            </w:r>
            <w:proofErr w:type="spellEnd"/>
          </w:p>
        </w:tc>
        <w:tc>
          <w:tcPr>
            <w:tcW w:w="567"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b/>
                <w:bCs/>
                <w:sz w:val="18"/>
                <w:szCs w:val="18"/>
                <w:lang w:val="de-DE" w:eastAsia="de-DE"/>
              </w:rPr>
              <w:t>Alb</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2008/1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4,2</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2,42</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29,5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212,5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2008/2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2,32</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43</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2008/3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2,36</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43</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2008/4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211,5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75</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42</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2009/1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2,35</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43</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2009/2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2,35</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2009/3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101,5</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2,33</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202,5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213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43</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2009/4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2,32</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43</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2010/1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2,35</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2,36</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69,5</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2010/3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2,38</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2010/4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2,38</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189,5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2011/1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2,37</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2011/2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2011/3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2,39</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69</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2011/4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2,38</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2012/1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2,39</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2012/2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2,39</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24,5</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2012/3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2013/1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2,37</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2013/2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2,39</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2013/3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2,39</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2013/4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0,495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2014/1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2,39</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2014/2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2014/3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2014/4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2015/1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2,42</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0,865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2015/2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2,42</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2015/3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2,42</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2015/4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2,42</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0,855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0,58</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2016/1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2016/2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2,42</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70</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2016/3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2,42</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2016/4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2,42</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2017/1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2,42</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2017/2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2,42</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189</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237</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0,54</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2017/3</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140</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2,42</w:t>
            </w:r>
          </w:p>
        </w:tc>
        <w:tc>
          <w:tcPr>
            <w:tcW w:w="60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231</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0,52</w:t>
            </w:r>
          </w:p>
        </w:tc>
        <w:tc>
          <w:tcPr>
            <w:tcW w:w="6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67" w:type="dxa"/>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45</w:t>
            </w:r>
          </w:p>
        </w:tc>
      </w:tr>
      <w:tr w:rsidR="00D95FE8" w:rsidRPr="00A20A4D" w:rsidTr="0043747D">
        <w:trPr>
          <w:trHeight w:val="20"/>
        </w:trPr>
        <w:tc>
          <w:tcPr>
            <w:tcW w:w="1134" w:type="dxa"/>
            <w:tcBorders>
              <w:bottom w:val="double" w:sz="4" w:space="0" w:color="auto"/>
            </w:tcBorders>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2017/4</w:t>
            </w:r>
          </w:p>
        </w:tc>
        <w:tc>
          <w:tcPr>
            <w:tcW w:w="567" w:type="dxa"/>
            <w:tcBorders>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139</w:t>
            </w:r>
          </w:p>
        </w:tc>
        <w:tc>
          <w:tcPr>
            <w:tcW w:w="667" w:type="dxa"/>
            <w:tcBorders>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4,3</w:t>
            </w:r>
          </w:p>
        </w:tc>
        <w:tc>
          <w:tcPr>
            <w:tcW w:w="607" w:type="dxa"/>
            <w:tcBorders>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102</w:t>
            </w:r>
          </w:p>
        </w:tc>
        <w:tc>
          <w:tcPr>
            <w:tcW w:w="567" w:type="dxa"/>
            <w:tcBorders>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2,35</w:t>
            </w:r>
          </w:p>
        </w:tc>
        <w:tc>
          <w:tcPr>
            <w:tcW w:w="607" w:type="dxa"/>
            <w:tcBorders>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0,86</w:t>
            </w:r>
          </w:p>
        </w:tc>
        <w:tc>
          <w:tcPr>
            <w:tcW w:w="667" w:type="dxa"/>
            <w:tcBorders>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67" w:type="dxa"/>
            <w:tcBorders>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tcBorders>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w:t>
            </w:r>
          </w:p>
        </w:tc>
        <w:tc>
          <w:tcPr>
            <w:tcW w:w="667" w:type="dxa"/>
            <w:tcBorders>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201,5</w:t>
            </w:r>
          </w:p>
        </w:tc>
        <w:tc>
          <w:tcPr>
            <w:tcW w:w="667" w:type="dxa"/>
            <w:tcBorders>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tcBorders>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230</w:t>
            </w:r>
          </w:p>
        </w:tc>
        <w:tc>
          <w:tcPr>
            <w:tcW w:w="667" w:type="dxa"/>
            <w:tcBorders>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0,48</w:t>
            </w:r>
          </w:p>
        </w:tc>
        <w:tc>
          <w:tcPr>
            <w:tcW w:w="667" w:type="dxa"/>
            <w:tcBorders>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c>
          <w:tcPr>
            <w:tcW w:w="567" w:type="dxa"/>
            <w:tcBorders>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71</w:t>
            </w:r>
          </w:p>
        </w:tc>
        <w:tc>
          <w:tcPr>
            <w:tcW w:w="567" w:type="dxa"/>
            <w:tcBorders>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44</w:t>
            </w:r>
          </w:p>
        </w:tc>
      </w:tr>
      <w:tr w:rsidR="00D95FE8" w:rsidRPr="00A20A4D" w:rsidTr="0043747D">
        <w:trPr>
          <w:trHeight w:val="20"/>
        </w:trPr>
        <w:tc>
          <w:tcPr>
            <w:tcW w:w="1134"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CV</w:t>
            </w:r>
          </w:p>
        </w:tc>
        <w:tc>
          <w:tcPr>
            <w:tcW w:w="567"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0,5%</w:t>
            </w:r>
          </w:p>
        </w:tc>
        <w:tc>
          <w:tcPr>
            <w:tcW w:w="667"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07"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0,6%</w:t>
            </w:r>
          </w:p>
        </w:tc>
        <w:tc>
          <w:tcPr>
            <w:tcW w:w="567"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07"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667"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w:t>
            </w:r>
          </w:p>
        </w:tc>
        <w:tc>
          <w:tcPr>
            <w:tcW w:w="667"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6,6%</w:t>
            </w:r>
          </w:p>
        </w:tc>
        <w:tc>
          <w:tcPr>
            <w:tcW w:w="667"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5,4%</w:t>
            </w:r>
          </w:p>
        </w:tc>
        <w:tc>
          <w:tcPr>
            <w:tcW w:w="667"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c>
          <w:tcPr>
            <w:tcW w:w="667"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8,1%</w:t>
            </w:r>
          </w:p>
        </w:tc>
        <w:tc>
          <w:tcPr>
            <w:tcW w:w="667"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8,2%</w:t>
            </w:r>
          </w:p>
        </w:tc>
        <w:tc>
          <w:tcPr>
            <w:tcW w:w="667"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w:t>
            </w:r>
          </w:p>
        </w:tc>
        <w:tc>
          <w:tcPr>
            <w:tcW w:w="567"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1,9%</w:t>
            </w:r>
          </w:p>
        </w:tc>
        <w:tc>
          <w:tcPr>
            <w:tcW w:w="567" w:type="dxa"/>
            <w:tcBorders>
              <w:top w:val="double" w:sz="4" w:space="0" w:color="auto"/>
              <w:bottom w:val="double" w:sz="4" w:space="0" w:color="auto"/>
            </w:tcBorders>
            <w:shd w:val="clear" w:color="auto" w:fill="auto"/>
            <w:noWrap/>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w:t>
            </w:r>
          </w:p>
        </w:tc>
      </w:tr>
      <w:tr w:rsidR="00D95FE8" w:rsidRPr="00A20A4D" w:rsidTr="0043747D">
        <w:trPr>
          <w:trHeight w:val="20"/>
        </w:trPr>
        <w:tc>
          <w:tcPr>
            <w:tcW w:w="1134" w:type="dxa"/>
            <w:tcBorders>
              <w:top w:val="double" w:sz="4" w:space="0" w:color="auto"/>
            </w:tcBorders>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Total Error (Minimum)</w:t>
            </w:r>
          </w:p>
        </w:tc>
        <w:tc>
          <w:tcPr>
            <w:tcW w:w="5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0,7%</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4,8%</w:t>
            </w:r>
          </w:p>
        </w:tc>
        <w:tc>
          <w:tcPr>
            <w:tcW w:w="60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w:t>
            </w:r>
          </w:p>
        </w:tc>
        <w:tc>
          <w:tcPr>
            <w:tcW w:w="567" w:type="dxa"/>
            <w:vMerge w:val="restart"/>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607" w:type="dxa"/>
            <w:vMerge w:val="restart"/>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667" w:type="dxa"/>
            <w:vMerge w:val="restart"/>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13,6%</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16,1%</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10,6%</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18,9%</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7,7%</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7,5%</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17,8%</w:t>
            </w:r>
          </w:p>
        </w:tc>
        <w:tc>
          <w:tcPr>
            <w:tcW w:w="5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3,5%</w:t>
            </w:r>
          </w:p>
        </w:tc>
        <w:tc>
          <w:tcPr>
            <w:tcW w:w="5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r>
      <w:tr w:rsidR="00D95FE8" w:rsidRPr="00A20A4D" w:rsidTr="0043747D">
        <w:trPr>
          <w:trHeight w:val="20"/>
        </w:trPr>
        <w:tc>
          <w:tcPr>
            <w:tcW w:w="1134" w:type="dxa"/>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Total Error (</w:t>
            </w:r>
            <w:proofErr w:type="spellStart"/>
            <w:r w:rsidRPr="00A20A4D">
              <w:rPr>
                <w:rFonts w:ascii="Arial" w:eastAsia="Times New Roman" w:hAnsi="Arial" w:cs="Arial"/>
                <w:sz w:val="18"/>
                <w:szCs w:val="18"/>
                <w:lang w:val="de-DE" w:eastAsia="de-DE"/>
              </w:rPr>
              <w:t>Desirable</w:t>
            </w:r>
            <w:proofErr w:type="spellEnd"/>
            <w:r w:rsidRPr="00A20A4D">
              <w:rPr>
                <w:rFonts w:ascii="Arial" w:eastAsia="Times New Roman" w:hAnsi="Arial" w:cs="Arial"/>
                <w:sz w:val="18"/>
                <w:szCs w:val="18"/>
                <w:lang w:val="de-DE" w:eastAsia="de-DE"/>
              </w:rPr>
              <w:t>)</w:t>
            </w:r>
          </w:p>
        </w:tc>
        <w:tc>
          <w:tcPr>
            <w:tcW w:w="567" w:type="dxa"/>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w:t>
            </w:r>
          </w:p>
        </w:tc>
        <w:tc>
          <w:tcPr>
            <w:tcW w:w="667" w:type="dxa"/>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7,3%</w:t>
            </w:r>
          </w:p>
        </w:tc>
        <w:tc>
          <w:tcPr>
            <w:tcW w:w="607" w:type="dxa"/>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w:t>
            </w:r>
          </w:p>
        </w:tc>
        <w:tc>
          <w:tcPr>
            <w:tcW w:w="567" w:type="dxa"/>
            <w:vMerge/>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607" w:type="dxa"/>
            <w:vMerge/>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667" w:type="dxa"/>
            <w:vMerge/>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667" w:type="dxa"/>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20,5%</w:t>
            </w:r>
          </w:p>
        </w:tc>
        <w:tc>
          <w:tcPr>
            <w:tcW w:w="667" w:type="dxa"/>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24,1%</w:t>
            </w:r>
          </w:p>
        </w:tc>
        <w:tc>
          <w:tcPr>
            <w:tcW w:w="667" w:type="dxa"/>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15,9%</w:t>
            </w:r>
          </w:p>
        </w:tc>
        <w:tc>
          <w:tcPr>
            <w:tcW w:w="667" w:type="dxa"/>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28,3%</w:t>
            </w:r>
          </w:p>
        </w:tc>
        <w:tc>
          <w:tcPr>
            <w:tcW w:w="667" w:type="dxa"/>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11,5%</w:t>
            </w:r>
          </w:p>
        </w:tc>
        <w:tc>
          <w:tcPr>
            <w:tcW w:w="667" w:type="dxa"/>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11,2%</w:t>
            </w:r>
          </w:p>
        </w:tc>
        <w:tc>
          <w:tcPr>
            <w:tcW w:w="667" w:type="dxa"/>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26,6%</w:t>
            </w:r>
          </w:p>
        </w:tc>
        <w:tc>
          <w:tcPr>
            <w:tcW w:w="567" w:type="dxa"/>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5,2%</w:t>
            </w:r>
          </w:p>
        </w:tc>
        <w:tc>
          <w:tcPr>
            <w:tcW w:w="567" w:type="dxa"/>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r>
      <w:tr w:rsidR="00D95FE8" w:rsidRPr="00A20A4D" w:rsidTr="0043747D">
        <w:trPr>
          <w:trHeight w:val="20"/>
        </w:trPr>
        <w:tc>
          <w:tcPr>
            <w:tcW w:w="1134" w:type="dxa"/>
            <w:tcBorders>
              <w:bottom w:val="double" w:sz="4" w:space="0" w:color="auto"/>
            </w:tcBorders>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RCV 95%</w:t>
            </w:r>
          </w:p>
        </w:tc>
        <w:tc>
          <w:tcPr>
            <w:tcW w:w="567" w:type="dxa"/>
            <w:tcBorders>
              <w:bottom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w:t>
            </w:r>
          </w:p>
        </w:tc>
        <w:tc>
          <w:tcPr>
            <w:tcW w:w="667" w:type="dxa"/>
            <w:tcBorders>
              <w:bottom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11,4%</w:t>
            </w:r>
          </w:p>
        </w:tc>
        <w:tc>
          <w:tcPr>
            <w:tcW w:w="607" w:type="dxa"/>
            <w:tcBorders>
              <w:bottom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3,0%</w:t>
            </w:r>
          </w:p>
        </w:tc>
        <w:tc>
          <w:tcPr>
            <w:tcW w:w="567" w:type="dxa"/>
            <w:vMerge/>
            <w:tcBorders>
              <w:bottom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607" w:type="dxa"/>
            <w:vMerge/>
            <w:tcBorders>
              <w:bottom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667" w:type="dxa"/>
            <w:vMerge/>
            <w:tcBorders>
              <w:bottom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p>
        </w:tc>
        <w:tc>
          <w:tcPr>
            <w:tcW w:w="667" w:type="dxa"/>
            <w:tcBorders>
              <w:bottom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26,6%</w:t>
            </w:r>
          </w:p>
        </w:tc>
        <w:tc>
          <w:tcPr>
            <w:tcW w:w="667" w:type="dxa"/>
            <w:tcBorders>
              <w:bottom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28,0%</w:t>
            </w:r>
          </w:p>
        </w:tc>
        <w:tc>
          <w:tcPr>
            <w:tcW w:w="667" w:type="dxa"/>
            <w:tcBorders>
              <w:bottom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14,7%</w:t>
            </w:r>
          </w:p>
        </w:tc>
        <w:tc>
          <w:tcPr>
            <w:tcW w:w="667" w:type="dxa"/>
            <w:tcBorders>
              <w:bottom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25,2%</w:t>
            </w:r>
          </w:p>
        </w:tc>
        <w:tc>
          <w:tcPr>
            <w:tcW w:w="667" w:type="dxa"/>
            <w:tcBorders>
              <w:bottom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14,4%</w:t>
            </w:r>
          </w:p>
        </w:tc>
        <w:tc>
          <w:tcPr>
            <w:tcW w:w="667" w:type="dxa"/>
            <w:tcBorders>
              <w:bottom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12,5%</w:t>
            </w:r>
          </w:p>
        </w:tc>
        <w:tc>
          <w:tcPr>
            <w:tcW w:w="667" w:type="dxa"/>
            <w:tcBorders>
              <w:bottom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38,5%</w:t>
            </w:r>
          </w:p>
        </w:tc>
        <w:tc>
          <w:tcPr>
            <w:tcW w:w="567" w:type="dxa"/>
            <w:tcBorders>
              <w:bottom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7,2%</w:t>
            </w:r>
          </w:p>
        </w:tc>
        <w:tc>
          <w:tcPr>
            <w:tcW w:w="567" w:type="dxa"/>
            <w:tcBorders>
              <w:bottom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3,9%</w:t>
            </w:r>
          </w:p>
        </w:tc>
      </w:tr>
      <w:tr w:rsidR="00D95FE8" w:rsidRPr="00A20A4D" w:rsidTr="0043747D">
        <w:trPr>
          <w:trHeight w:val="20"/>
        </w:trPr>
        <w:tc>
          <w:tcPr>
            <w:tcW w:w="1134" w:type="dxa"/>
            <w:tcBorders>
              <w:top w:val="double" w:sz="4" w:space="0" w:color="auto"/>
            </w:tcBorders>
            <w:shd w:val="clear" w:color="auto" w:fill="auto"/>
            <w:noWrap/>
            <w:hideMark/>
          </w:tcPr>
          <w:p w:rsidR="00D95FE8" w:rsidRPr="00A20A4D" w:rsidRDefault="00D95FE8" w:rsidP="0043747D">
            <w:pPr>
              <w:spacing w:after="0" w:line="240" w:lineRule="auto"/>
              <w:jc w:val="center"/>
              <w:rPr>
                <w:rFonts w:ascii="Arial" w:eastAsia="Times New Roman" w:hAnsi="Arial" w:cs="Arial"/>
                <w:sz w:val="18"/>
                <w:szCs w:val="18"/>
                <w:lang w:val="de-DE" w:eastAsia="de-DE"/>
              </w:rPr>
            </w:pPr>
            <w:proofErr w:type="spellStart"/>
            <w:r w:rsidRPr="00A20A4D">
              <w:rPr>
                <w:rFonts w:ascii="Arial" w:eastAsia="Times New Roman" w:hAnsi="Arial" w:cs="Arial"/>
                <w:sz w:val="18"/>
                <w:szCs w:val="18"/>
                <w:lang w:val="de-DE" w:eastAsia="de-DE"/>
              </w:rPr>
              <w:t>Ricós</w:t>
            </w:r>
            <w:proofErr w:type="spellEnd"/>
            <w:r w:rsidRPr="00A20A4D">
              <w:rPr>
                <w:rFonts w:ascii="Arial" w:eastAsia="Times New Roman" w:hAnsi="Arial" w:cs="Arial"/>
                <w:sz w:val="18"/>
                <w:szCs w:val="18"/>
                <w:lang w:val="de-DE" w:eastAsia="de-DE"/>
              </w:rPr>
              <w:t xml:space="preserve"> Total Error</w:t>
            </w:r>
          </w:p>
        </w:tc>
        <w:tc>
          <w:tcPr>
            <w:tcW w:w="5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12,0%</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4,6%</w:t>
            </w:r>
          </w:p>
        </w:tc>
        <w:tc>
          <w:tcPr>
            <w:tcW w:w="60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16,0%</w:t>
            </w:r>
          </w:p>
        </w:tc>
        <w:tc>
          <w:tcPr>
            <w:tcW w:w="5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w:t>
            </w:r>
          </w:p>
        </w:tc>
        <w:tc>
          <w:tcPr>
            <w:tcW w:w="60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2,6%</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7,8%</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10,1%</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16,7%</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27,5%</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22,1%</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11,4%</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4,1%</w:t>
            </w:r>
          </w:p>
        </w:tc>
        <w:tc>
          <w:tcPr>
            <w:tcW w:w="6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8,9%</w:t>
            </w:r>
          </w:p>
        </w:tc>
        <w:tc>
          <w:tcPr>
            <w:tcW w:w="5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15,6%</w:t>
            </w:r>
          </w:p>
        </w:tc>
        <w:tc>
          <w:tcPr>
            <w:tcW w:w="567" w:type="dxa"/>
            <w:tcBorders>
              <w:top w:val="double" w:sz="4" w:space="0" w:color="auto"/>
            </w:tcBorders>
            <w:shd w:val="clear" w:color="auto" w:fill="auto"/>
            <w:noWrap/>
            <w:vAlign w:val="center"/>
            <w:hideMark/>
          </w:tcPr>
          <w:p w:rsidR="00D95FE8" w:rsidRPr="00A20A4D" w:rsidRDefault="00D95FE8" w:rsidP="0043747D">
            <w:pPr>
              <w:spacing w:after="0" w:line="240" w:lineRule="auto"/>
              <w:jc w:val="right"/>
              <w:rPr>
                <w:rFonts w:ascii="Arial" w:eastAsia="Times New Roman" w:hAnsi="Arial" w:cs="Arial"/>
                <w:sz w:val="18"/>
                <w:szCs w:val="18"/>
                <w:lang w:val="de-DE" w:eastAsia="de-DE"/>
              </w:rPr>
            </w:pPr>
            <w:r w:rsidRPr="00A20A4D">
              <w:rPr>
                <w:rFonts w:ascii="Arial" w:eastAsia="Times New Roman" w:hAnsi="Arial" w:cs="Arial"/>
                <w:sz w:val="18"/>
                <w:szCs w:val="18"/>
                <w:lang w:val="de-DE" w:eastAsia="de-DE"/>
              </w:rPr>
              <w:t>3,6%</w:t>
            </w:r>
          </w:p>
        </w:tc>
      </w:tr>
    </w:tbl>
    <w:p w:rsidR="00D95FE8" w:rsidRPr="00A20A4D" w:rsidRDefault="00D95FE8" w:rsidP="00A20A4D">
      <w:pPr>
        <w:spacing w:before="120" w:after="0" w:line="276" w:lineRule="auto"/>
        <w:rPr>
          <w:rFonts w:ascii="Arial" w:hAnsi="Arial" w:cs="Arial"/>
          <w:color w:val="0563C1" w:themeColor="hyperlink"/>
          <w:u w:val="single"/>
        </w:rPr>
        <w:sectPr w:rsidR="00D95FE8" w:rsidRPr="00A20A4D" w:rsidSect="00620E77">
          <w:footnotePr>
            <w:numFmt w:val="chicago"/>
          </w:footnotePr>
          <w:pgSz w:w="11906" w:h="16838"/>
          <w:pgMar w:top="720" w:right="720" w:bottom="720" w:left="720" w:header="708" w:footer="708" w:gutter="0"/>
          <w:cols w:space="708"/>
          <w:docGrid w:linePitch="360"/>
        </w:sectPr>
      </w:pPr>
      <w:r w:rsidRPr="00A20A4D">
        <w:rPr>
          <w:rFonts w:ascii="Arial" w:hAnsi="Arial" w:cs="Arial"/>
        </w:rPr>
        <w:t xml:space="preserve">Absolute median values for each </w:t>
      </w:r>
      <w:proofErr w:type="spellStart"/>
      <w:r w:rsidRPr="00A20A4D">
        <w:rPr>
          <w:rFonts w:ascii="Arial" w:hAnsi="Arial" w:cs="Arial"/>
        </w:rPr>
        <w:t>analyte</w:t>
      </w:r>
      <w:proofErr w:type="spellEnd"/>
      <w:r w:rsidRPr="00A20A4D">
        <w:rPr>
          <w:rFonts w:ascii="Arial" w:hAnsi="Arial" w:cs="Arial"/>
        </w:rPr>
        <w:t xml:space="preserve"> and quarter and CV of quarterly medians. Total Error and RCV 95% (reference change value, α=95 %) denote the respective values from the </w:t>
      </w:r>
      <w:r w:rsidRPr="00A20A4D">
        <w:rPr>
          <w:rFonts w:ascii="Arial" w:hAnsi="Arial" w:cs="Arial"/>
          <w:i/>
        </w:rPr>
        <w:t xml:space="preserve">EFLM Biological Variation Database </w:t>
      </w:r>
      <w:r w:rsidRPr="00A20A4D">
        <w:rPr>
          <w:rFonts w:ascii="Arial" w:hAnsi="Arial" w:cs="Arial"/>
        </w:rPr>
        <w:t xml:space="preserve">specifications available at </w:t>
      </w:r>
      <w:r w:rsidRPr="00A20A4D">
        <w:rPr>
          <w:rStyle w:val="Hyperlink"/>
          <w:rFonts w:ascii="Arial" w:hAnsi="Arial" w:cs="Arial"/>
        </w:rPr>
        <w:t>https://biologicalvariation.eu/</w:t>
      </w:r>
      <w:r w:rsidRPr="00A20A4D">
        <w:rPr>
          <w:rFonts w:ascii="Arial" w:hAnsi="Arial" w:cs="Arial"/>
        </w:rPr>
        <w:t xml:space="preserve">. </w:t>
      </w:r>
      <w:proofErr w:type="spellStart"/>
      <w:r w:rsidRPr="00A20A4D">
        <w:rPr>
          <w:rFonts w:ascii="Arial" w:hAnsi="Arial" w:cs="Arial"/>
        </w:rPr>
        <w:t>Ricós</w:t>
      </w:r>
      <w:proofErr w:type="spellEnd"/>
      <w:r w:rsidRPr="00A20A4D">
        <w:rPr>
          <w:rFonts w:ascii="Arial" w:hAnsi="Arial" w:cs="Arial"/>
        </w:rPr>
        <w:t xml:space="preserve"> Total Error denotes the respective value from the </w:t>
      </w:r>
      <w:r w:rsidRPr="00A20A4D">
        <w:rPr>
          <w:rFonts w:ascii="Arial" w:hAnsi="Arial" w:cs="Arial"/>
          <w:i/>
        </w:rPr>
        <w:t>Desirable Biological Variation Database</w:t>
      </w:r>
      <w:r w:rsidRPr="00A20A4D">
        <w:rPr>
          <w:rFonts w:ascii="Arial" w:hAnsi="Arial" w:cs="Arial"/>
        </w:rPr>
        <w:t xml:space="preserve"> specifications based on data by </w:t>
      </w:r>
      <w:proofErr w:type="spellStart"/>
      <w:r w:rsidRPr="00A20A4D">
        <w:rPr>
          <w:rFonts w:ascii="Arial" w:hAnsi="Arial" w:cs="Arial"/>
        </w:rPr>
        <w:t>Ricós</w:t>
      </w:r>
      <w:proofErr w:type="spellEnd"/>
      <w:r w:rsidRPr="00A20A4D">
        <w:rPr>
          <w:rFonts w:ascii="Arial" w:hAnsi="Arial" w:cs="Arial"/>
        </w:rPr>
        <w:t xml:space="preserve"> et al. </w:t>
      </w:r>
      <w:r w:rsidRPr="00A20A4D">
        <w:rPr>
          <w:rFonts w:ascii="Arial" w:hAnsi="Arial" w:cs="Arial"/>
        </w:rPr>
        <w:fldChar w:fldCharType="begin"/>
      </w:r>
      <w:r w:rsidRPr="00A20A4D">
        <w:rPr>
          <w:rFonts w:ascii="Arial" w:hAnsi="Arial" w:cs="Arial"/>
        </w:rPr>
        <w:instrText xml:space="preserve"> ADDIN ZOTERO_ITEM CSL_CITATION {"citationID":"H7bUCl6c","properties":{"formattedCitation":"[15]","plainCitation":"[15]","noteIndex":0},"citationItems":[{"id":"C4wE5CEm/sYJgrzQ7","uris":["http://zotero.org/users/1724655/items/R65FW7ZE"],"uri":["http://zotero.org/users/1724655/items/R65FW7ZE"],"itemData":{"id":1657,"type":"article-journal","abstract":"A database with reliable information to derive definitive analytical quality specifications for a large number of clinical laboratory tests was prepared in this work. This was achieved by comparing and correlating descriptive data and relevant observations with the biological variation information, an approach that had not been used in the previous efforts of this type. The material compiled in the database was obtained from published articles referenced in BIOS, CURRENT CONTENTS, EMBASE and MEDLINE using \"biological variation &amp; laboratory medicine\" as key words, as well as books and doctoral theses provided by their authors. The database covers 316 quantities and reviews 191 articles, fewer than 10 of which had to be rejected. The within- and between-subject coefficients of variation and the subsequent desirable quality specifications for precision, bias and total error for all the quantities accepted are presented. Sex-related stratification of results was justified for only four quantities and, in these cases, quality specifications were derived from the group with lower within-subject variation. For certain quantities, biological variation in pathological states was higher than in the healthy state. In these cases, quality specifications were derived only from the healthy population (most stringent). Several quantities (particularly hormones) have been treated in very few articles and the results found are highly discrepant. Therefore, professionals in laboratory medicine should be strongly encouraged to study the quantities for which results are discrepant, the 90 quantities described in only one paper and the numerous quantities that have not been the subject of study.","container-title":"Scandinavian Journal of Clinical and Laboratory Investigation","DOI":"10.1080/00365519950185229","ISSN":"0036-5513","issue":"7","journalAbbreviation":"Scand J Clin Lab Invest","language":"eng","note":"PMID: 10667686","page":"491-500","source":"PubMed","title":"Current databases on biological variation: pros, cons and progress","title-short":"Current databases on biological variation","volume":"59","author":[{"family":"Ricós","given":"C."},{"family":"Alvarez","given":"V."},{"family":"Cava","given":"F."},{"family":"García-Lario","given":"J. V."},{"family":"Hernández","given":"A."},{"family":"Jiménez","given":"C. V."},{"family":"Minchinela","given":"J."},{"family":"Perich","given":"C."},{"family":"Simón","given":"M."}],"issued":{"date-parts":[["1999",11]]}}}],"schema":"https://github.com/citation-style-language/schema/raw/master/csl-citation.json"} </w:instrText>
      </w:r>
      <w:r w:rsidRPr="00A20A4D">
        <w:rPr>
          <w:rFonts w:ascii="Arial" w:hAnsi="Arial" w:cs="Arial"/>
        </w:rPr>
        <w:fldChar w:fldCharType="separate"/>
      </w:r>
      <w:r w:rsidRPr="00A20A4D">
        <w:rPr>
          <w:rFonts w:ascii="Arial" w:hAnsi="Arial" w:cs="Arial"/>
        </w:rPr>
        <w:t>[15]</w:t>
      </w:r>
      <w:r w:rsidRPr="00A20A4D">
        <w:rPr>
          <w:rFonts w:ascii="Arial" w:hAnsi="Arial" w:cs="Arial"/>
        </w:rPr>
        <w:fldChar w:fldCharType="end"/>
      </w:r>
      <w:r w:rsidRPr="00A20A4D">
        <w:rPr>
          <w:rFonts w:ascii="Arial" w:hAnsi="Arial" w:cs="Arial"/>
        </w:rPr>
        <w:t xml:space="preserve"> and available at </w:t>
      </w:r>
      <w:hyperlink r:id="rId6" w:history="1">
        <w:r w:rsidRPr="00A20A4D">
          <w:rPr>
            <w:rStyle w:val="Hyperlink"/>
            <w:rFonts w:ascii="Arial" w:hAnsi="Arial" w:cs="Arial"/>
          </w:rPr>
          <w:t>https://www.westgard.com/biodatabase1.htm</w:t>
        </w:r>
      </w:hyperlink>
      <w:r w:rsidRPr="00A20A4D">
        <w:rPr>
          <w:rFonts w:ascii="Arial" w:hAnsi="Arial" w:cs="Arial"/>
        </w:rPr>
        <w:t>.</w:t>
      </w:r>
      <w:r w:rsidR="00D324F1" w:rsidRPr="00A20A4D">
        <w:rPr>
          <w:rFonts w:ascii="Arial" w:hAnsi="Arial" w:cs="Arial"/>
        </w:rPr>
        <w:t xml:space="preserve"> Na</w:t>
      </w:r>
      <w:r w:rsidR="00D324F1" w:rsidRPr="00A20A4D">
        <w:rPr>
          <w:rFonts w:ascii="Arial" w:hAnsi="Arial" w:cs="Arial"/>
          <w:vertAlign w:val="superscript"/>
        </w:rPr>
        <w:t>+</w:t>
      </w:r>
      <w:r w:rsidR="00D324F1" w:rsidRPr="00A20A4D">
        <w:rPr>
          <w:rFonts w:ascii="Arial" w:hAnsi="Arial" w:cs="Arial"/>
        </w:rPr>
        <w:t>, sodium; K</w:t>
      </w:r>
      <w:r w:rsidR="00D324F1" w:rsidRPr="00A20A4D">
        <w:rPr>
          <w:rFonts w:ascii="Arial" w:hAnsi="Arial" w:cs="Arial"/>
          <w:vertAlign w:val="superscript"/>
        </w:rPr>
        <w:t>+</w:t>
      </w:r>
      <w:r w:rsidR="00D324F1" w:rsidRPr="00A20A4D">
        <w:rPr>
          <w:rFonts w:ascii="Arial" w:hAnsi="Arial" w:cs="Arial"/>
        </w:rPr>
        <w:t>, potassium; Cl</w:t>
      </w:r>
      <w:r w:rsidR="00D324F1" w:rsidRPr="00A20A4D">
        <w:rPr>
          <w:rFonts w:ascii="Arial" w:hAnsi="Arial" w:cs="Arial"/>
          <w:vertAlign w:val="superscript"/>
        </w:rPr>
        <w:t>-</w:t>
      </w:r>
      <w:r w:rsidR="00D324F1" w:rsidRPr="00A20A4D">
        <w:rPr>
          <w:rFonts w:ascii="Arial" w:hAnsi="Arial" w:cs="Arial"/>
        </w:rPr>
        <w:t>, chloride; Ca</w:t>
      </w:r>
      <w:r w:rsidR="00D324F1" w:rsidRPr="00A20A4D">
        <w:rPr>
          <w:rFonts w:ascii="Arial" w:hAnsi="Arial" w:cs="Arial"/>
          <w:vertAlign w:val="superscript"/>
        </w:rPr>
        <w:t>2+</w:t>
      </w:r>
      <w:r w:rsidR="00D324F1" w:rsidRPr="00A20A4D">
        <w:rPr>
          <w:rFonts w:ascii="Arial" w:hAnsi="Arial" w:cs="Arial"/>
        </w:rPr>
        <w:t>, calcium; Mg</w:t>
      </w:r>
      <w:r w:rsidR="00D324F1" w:rsidRPr="00A20A4D">
        <w:rPr>
          <w:rFonts w:ascii="Arial" w:hAnsi="Arial" w:cs="Arial"/>
          <w:vertAlign w:val="superscript"/>
        </w:rPr>
        <w:t>2+</w:t>
      </w:r>
      <w:r w:rsidR="00D324F1" w:rsidRPr="00A20A4D">
        <w:rPr>
          <w:rFonts w:ascii="Arial" w:hAnsi="Arial" w:cs="Arial"/>
        </w:rPr>
        <w:t xml:space="preserve">, magnesium; </w:t>
      </w:r>
      <w:proofErr w:type="spellStart"/>
      <w:r w:rsidR="00D324F1" w:rsidRPr="00A20A4D">
        <w:rPr>
          <w:rFonts w:ascii="Arial" w:hAnsi="Arial" w:cs="Arial"/>
        </w:rPr>
        <w:t>Ph</w:t>
      </w:r>
      <w:proofErr w:type="spellEnd"/>
      <w:r w:rsidR="00D324F1" w:rsidRPr="00A20A4D">
        <w:rPr>
          <w:rFonts w:ascii="Arial" w:hAnsi="Arial" w:cs="Arial"/>
          <w:vertAlign w:val="superscript"/>
        </w:rPr>
        <w:t>-</w:t>
      </w:r>
      <w:r w:rsidR="00D324F1" w:rsidRPr="00A20A4D">
        <w:rPr>
          <w:rFonts w:ascii="Arial" w:hAnsi="Arial" w:cs="Arial"/>
        </w:rPr>
        <w:t xml:space="preserve">, phosphate; AST, aspartate transaminase; ALT, alanine transaminase; </w:t>
      </w:r>
      <w:proofErr w:type="spellStart"/>
      <w:r w:rsidR="00D324F1" w:rsidRPr="00A20A4D">
        <w:rPr>
          <w:rFonts w:ascii="Arial" w:hAnsi="Arial" w:cs="Arial"/>
        </w:rPr>
        <w:t>aP</w:t>
      </w:r>
      <w:proofErr w:type="spellEnd"/>
      <w:r w:rsidR="00D324F1" w:rsidRPr="00A20A4D">
        <w:rPr>
          <w:rFonts w:ascii="Arial" w:hAnsi="Arial" w:cs="Arial"/>
        </w:rPr>
        <w:t>, alkaline phosphatase; y-GT, γ-</w:t>
      </w:r>
      <w:proofErr w:type="spellStart"/>
      <w:r w:rsidR="00D324F1" w:rsidRPr="00A20A4D">
        <w:rPr>
          <w:rFonts w:ascii="Arial" w:hAnsi="Arial" w:cs="Arial"/>
        </w:rPr>
        <w:t>glutamyltransferase</w:t>
      </w:r>
      <w:proofErr w:type="spellEnd"/>
      <w:r w:rsidR="00D324F1" w:rsidRPr="00A20A4D">
        <w:rPr>
          <w:rFonts w:ascii="Arial" w:hAnsi="Arial" w:cs="Arial"/>
        </w:rPr>
        <w:t xml:space="preserve">; LDH, lactate dehydrogenase; </w:t>
      </w:r>
      <w:proofErr w:type="spellStart"/>
      <w:r w:rsidR="00D324F1" w:rsidRPr="00A20A4D">
        <w:rPr>
          <w:rFonts w:ascii="Arial" w:hAnsi="Arial" w:cs="Arial"/>
        </w:rPr>
        <w:t>Crea</w:t>
      </w:r>
      <w:proofErr w:type="spellEnd"/>
      <w:r w:rsidR="00D324F1" w:rsidRPr="00A20A4D">
        <w:rPr>
          <w:rFonts w:ascii="Arial" w:hAnsi="Arial" w:cs="Arial"/>
        </w:rPr>
        <w:t xml:space="preserve">, creatinine; </w:t>
      </w:r>
      <w:proofErr w:type="spellStart"/>
      <w:r w:rsidR="00D324F1" w:rsidRPr="00A20A4D">
        <w:rPr>
          <w:rFonts w:ascii="Arial" w:hAnsi="Arial" w:cs="Arial"/>
        </w:rPr>
        <w:t>Prot</w:t>
      </w:r>
      <w:proofErr w:type="spellEnd"/>
      <w:r w:rsidR="00D324F1" w:rsidRPr="00A20A4D">
        <w:rPr>
          <w:rFonts w:ascii="Arial" w:hAnsi="Arial" w:cs="Arial"/>
        </w:rPr>
        <w:t>, total protein; Alb, albumin; EFLM, European Federation of Clinical Chemistry and Laboratory Medicine.</w:t>
      </w:r>
      <w:r w:rsidR="00D324F1" w:rsidRPr="00A20A4D">
        <w:rPr>
          <w:rFonts w:ascii="Arial" w:hAnsi="Arial" w:cs="Arial"/>
          <w:color w:val="0563C1" w:themeColor="hyperlink"/>
          <w:u w:val="single"/>
        </w:rPr>
        <w:t xml:space="preserve"> </w:t>
      </w:r>
    </w:p>
    <w:p w:rsidR="00D95FE8" w:rsidRPr="00A20A4D" w:rsidRDefault="00D95FE8" w:rsidP="00D95FE8">
      <w:pPr>
        <w:pStyle w:val="berschrift1"/>
        <w:rPr>
          <w:rFonts w:ascii="Arial" w:hAnsi="Arial" w:cs="Arial"/>
          <w:u w:val="none"/>
        </w:rPr>
      </w:pPr>
      <w:r w:rsidRPr="00A20A4D">
        <w:rPr>
          <w:rFonts w:ascii="Arial" w:hAnsi="Arial" w:cs="Arial"/>
          <w:u w:val="none"/>
        </w:rPr>
        <w:lastRenderedPageBreak/>
        <w:t>Supplemental Table 5</w:t>
      </w:r>
      <w:r w:rsidR="00D324F1" w:rsidRPr="00A20A4D">
        <w:rPr>
          <w:rFonts w:ascii="Arial" w:hAnsi="Arial" w:cs="Arial"/>
          <w:u w:val="none"/>
        </w:rPr>
        <w:t xml:space="preserve"> </w:t>
      </w:r>
      <w:r w:rsidR="00D324F1" w:rsidRPr="00A20A4D">
        <w:rPr>
          <w:rFonts w:ascii="Arial" w:hAnsi="Arial" w:cs="Arial"/>
          <w:b w:val="0"/>
          <w:u w:val="none"/>
        </w:rPr>
        <w:t>Reported reference intervals’ fractional polynomials.</w:t>
      </w:r>
    </w:p>
    <w:tbl>
      <w:tblPr>
        <w:tblW w:w="5058" w:type="pct"/>
        <w:tblCellMar>
          <w:left w:w="70" w:type="dxa"/>
          <w:right w:w="70" w:type="dxa"/>
        </w:tblCellMar>
        <w:tblLook w:val="04A0" w:firstRow="1" w:lastRow="0" w:firstColumn="1" w:lastColumn="0" w:noHBand="0" w:noVBand="1"/>
      </w:tblPr>
      <w:tblGrid>
        <w:gridCol w:w="803"/>
        <w:gridCol w:w="585"/>
        <w:gridCol w:w="994"/>
        <w:gridCol w:w="13185"/>
      </w:tblGrid>
      <w:tr w:rsidR="00D95FE8" w:rsidRPr="00A20A4D" w:rsidTr="0043747D">
        <w:trPr>
          <w:trHeight w:val="255"/>
        </w:trPr>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bCs/>
                <w:sz w:val="16"/>
                <w:szCs w:val="16"/>
                <w:lang w:val="de-DE" w:eastAsia="de-DE"/>
              </w:rPr>
            </w:pPr>
            <w:proofErr w:type="spellStart"/>
            <w:r w:rsidRPr="00A20A4D">
              <w:rPr>
                <w:rFonts w:ascii="Arial" w:eastAsia="Times New Roman" w:hAnsi="Arial" w:cs="Arial"/>
                <w:b/>
                <w:bCs/>
                <w:sz w:val="16"/>
                <w:szCs w:val="16"/>
                <w:lang w:val="de-DE" w:eastAsia="de-DE"/>
              </w:rPr>
              <w:t>Analyte</w:t>
            </w:r>
            <w:proofErr w:type="spellEnd"/>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bCs/>
                <w:sz w:val="16"/>
                <w:szCs w:val="16"/>
                <w:lang w:val="de-DE" w:eastAsia="de-DE"/>
              </w:rPr>
            </w:pPr>
            <w:r w:rsidRPr="00A20A4D">
              <w:rPr>
                <w:rFonts w:ascii="Arial" w:eastAsia="Times New Roman" w:hAnsi="Arial" w:cs="Arial"/>
                <w:b/>
                <w:bCs/>
                <w:sz w:val="16"/>
                <w:szCs w:val="16"/>
                <w:lang w:val="de-DE" w:eastAsia="de-DE"/>
              </w:rPr>
              <w:t>Sex</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bCs/>
                <w:sz w:val="16"/>
                <w:szCs w:val="16"/>
                <w:lang w:val="de-DE" w:eastAsia="de-DE"/>
              </w:rPr>
            </w:pPr>
            <w:proofErr w:type="spellStart"/>
            <w:r w:rsidRPr="00A20A4D">
              <w:rPr>
                <w:rFonts w:ascii="Arial" w:eastAsia="Times New Roman" w:hAnsi="Arial" w:cs="Arial"/>
                <w:b/>
                <w:bCs/>
                <w:sz w:val="16"/>
                <w:szCs w:val="16"/>
                <w:lang w:val="de-DE" w:eastAsia="de-DE"/>
              </w:rPr>
              <w:t>Percentile</w:t>
            </w:r>
            <w:proofErr w:type="spellEnd"/>
          </w:p>
        </w:tc>
        <w:tc>
          <w:tcPr>
            <w:tcW w:w="13185" w:type="dxa"/>
            <w:tcBorders>
              <w:top w:val="single" w:sz="4" w:space="0" w:color="auto"/>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bCs/>
                <w:sz w:val="16"/>
                <w:szCs w:val="16"/>
                <w:lang w:val="de-DE" w:eastAsia="de-DE"/>
              </w:rPr>
            </w:pPr>
            <w:proofErr w:type="spellStart"/>
            <w:r w:rsidRPr="00A20A4D">
              <w:rPr>
                <w:rFonts w:ascii="Arial" w:eastAsia="Times New Roman" w:hAnsi="Arial" w:cs="Arial"/>
                <w:b/>
                <w:bCs/>
                <w:sz w:val="16"/>
                <w:szCs w:val="16"/>
                <w:lang w:val="de-DE" w:eastAsia="de-DE"/>
              </w:rPr>
              <w:t>Fractional</w:t>
            </w:r>
            <w:proofErr w:type="spellEnd"/>
            <w:r w:rsidRPr="00A20A4D">
              <w:rPr>
                <w:rFonts w:ascii="Arial" w:eastAsia="Times New Roman" w:hAnsi="Arial" w:cs="Arial"/>
                <w:b/>
                <w:bCs/>
                <w:sz w:val="16"/>
                <w:szCs w:val="16"/>
                <w:lang w:val="de-DE" w:eastAsia="de-DE"/>
              </w:rPr>
              <w:t xml:space="preserve"> </w:t>
            </w:r>
            <w:proofErr w:type="spellStart"/>
            <w:r w:rsidRPr="00A20A4D">
              <w:rPr>
                <w:rFonts w:ascii="Arial" w:eastAsia="Times New Roman" w:hAnsi="Arial" w:cs="Arial"/>
                <w:b/>
                <w:bCs/>
                <w:sz w:val="16"/>
                <w:szCs w:val="16"/>
                <w:lang w:val="de-DE" w:eastAsia="de-DE"/>
              </w:rPr>
              <w:t>Polynomial</w:t>
            </w:r>
            <w:proofErr w:type="spellEnd"/>
          </w:p>
        </w:tc>
      </w:tr>
      <w:tr w:rsidR="00D95FE8" w:rsidRPr="00A20A4D" w:rsidTr="0043747D">
        <w:trPr>
          <w:trHeight w:val="255"/>
        </w:trPr>
        <w:tc>
          <w:tcPr>
            <w:tcW w:w="803"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r w:rsidRPr="00A20A4D">
              <w:rPr>
                <w:rFonts w:ascii="Arial" w:eastAsia="Times New Roman" w:hAnsi="Arial" w:cs="Arial"/>
                <w:b/>
                <w:sz w:val="16"/>
                <w:szCs w:val="16"/>
                <w:lang w:val="de-DE" w:eastAsia="de-DE"/>
              </w:rPr>
              <w:t>Na</w:t>
            </w:r>
            <w:r w:rsidRPr="00A20A4D">
              <w:rPr>
                <w:rFonts w:ascii="Arial" w:eastAsia="Times New Roman" w:hAnsi="Arial" w:cs="Arial"/>
                <w:b/>
                <w:sz w:val="16"/>
                <w:szCs w:val="16"/>
                <w:vertAlign w:val="superscript"/>
                <w:lang w:val="de-DE" w:eastAsia="de-DE"/>
              </w:rPr>
              <w:t>+</w:t>
            </w: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Boys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-5.466900E-03 × log(x+2)⁵ + 1.572536E-01 × log(x+2)⁴ + -1.681973E+00 × log(x+2)³ + 8.549127E+00 × log(x+2)² + -2.213044E+01 × log(x+2)¹ + 1.631409E+02 + 8.549127E+00 × log(x+2)</w:t>
            </w:r>
            <w:r w:rsidRPr="00A20A4D">
              <w:rPr>
                <w:rFonts w:ascii="Cambria Math" w:hAnsi="Cambria Math" w:cs="Cambria Math"/>
                <w:sz w:val="16"/>
                <w:szCs w:val="18"/>
                <w:lang w:val="de-DE"/>
              </w:rPr>
              <w:t>⁻</w:t>
            </w:r>
            <w:r w:rsidRPr="00A20A4D">
              <w:rPr>
                <w:rFonts w:ascii="Arial" w:hAnsi="Arial" w:cs="Arial"/>
                <w:sz w:val="16"/>
                <w:szCs w:val="18"/>
                <w:lang w:val="de-DE"/>
              </w:rPr>
              <w:t>¹ + -2.213044E+01 × log(x+2)</w:t>
            </w:r>
            <w:r w:rsidRPr="00A20A4D">
              <w:rPr>
                <w:rFonts w:ascii="Cambria Math" w:hAnsi="Cambria Math" w:cs="Cambria Math"/>
                <w:sz w:val="16"/>
                <w:szCs w:val="18"/>
                <w:lang w:val="de-DE"/>
              </w:rPr>
              <w:t>⁻</w:t>
            </w:r>
            <w:r w:rsidRPr="00A20A4D">
              <w:rPr>
                <w:rFonts w:ascii="Arial" w:hAnsi="Arial" w:cs="Arial"/>
                <w:sz w:val="16"/>
                <w:szCs w:val="18"/>
                <w:lang w:val="de-DE"/>
              </w:rPr>
              <w:t>²</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-1.529910E-02 × log(x+2)⁵ + 5.240326E-01 × log(x+2)⁴ + -7.030774E+00 × log(x+2)³ + 4.704958E+01 × log(x+2)² + -1.647022E+02 × log(x+2)¹ + 4.299347E+02 + 4.704958E+01 × log(x+2)</w:t>
            </w:r>
            <w:r w:rsidRPr="00A20A4D">
              <w:rPr>
                <w:rFonts w:ascii="Cambria Math" w:hAnsi="Cambria Math" w:cs="Cambria Math"/>
                <w:sz w:val="16"/>
                <w:szCs w:val="18"/>
                <w:lang w:val="de-DE"/>
              </w:rPr>
              <w:t>⁻</w:t>
            </w:r>
            <w:r w:rsidRPr="00A20A4D">
              <w:rPr>
                <w:rFonts w:ascii="Arial" w:hAnsi="Arial" w:cs="Arial"/>
                <w:sz w:val="16"/>
                <w:szCs w:val="18"/>
                <w:lang w:val="de-DE"/>
              </w:rPr>
              <w:t>¹ + -1.647022E+02 × log(x+2)</w:t>
            </w:r>
            <w:r w:rsidRPr="00A20A4D">
              <w:rPr>
                <w:rFonts w:ascii="Cambria Math" w:hAnsi="Cambria Math" w:cs="Cambria Math"/>
                <w:sz w:val="16"/>
                <w:szCs w:val="18"/>
                <w:lang w:val="de-DE"/>
              </w:rPr>
              <w:t>⁻</w:t>
            </w:r>
            <w:r w:rsidRPr="00A20A4D">
              <w:rPr>
                <w:rFonts w:ascii="Arial" w:hAnsi="Arial" w:cs="Arial"/>
                <w:sz w:val="16"/>
                <w:szCs w:val="18"/>
                <w:lang w:val="de-DE"/>
              </w:rPr>
              <w:t>²</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Girls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-3.607123E-02 × log(x+2)⁵ + 1.095962E+00 × log(x+2)⁴ + -1.317952E+01 × log(x+2)³ + 8.032934E+01 × log(x+2)² + -2.639971E+02 × log(x+2)¹ + 5.926697E+02 + 8.032934E+01 × log(x+2)</w:t>
            </w:r>
            <w:r w:rsidRPr="00A20A4D">
              <w:rPr>
                <w:rFonts w:ascii="Cambria Math" w:hAnsi="Cambria Math" w:cs="Cambria Math"/>
                <w:sz w:val="16"/>
                <w:szCs w:val="18"/>
                <w:lang w:val="de-DE"/>
              </w:rPr>
              <w:t>⁻</w:t>
            </w:r>
            <w:r w:rsidRPr="00A20A4D">
              <w:rPr>
                <w:rFonts w:ascii="Arial" w:hAnsi="Arial" w:cs="Arial"/>
                <w:sz w:val="16"/>
                <w:szCs w:val="18"/>
                <w:lang w:val="de-DE"/>
              </w:rPr>
              <w:t>¹ + -2.639971E+02 × log(x+2)</w:t>
            </w:r>
            <w:r w:rsidRPr="00A20A4D">
              <w:rPr>
                <w:rFonts w:ascii="Cambria Math" w:hAnsi="Cambria Math" w:cs="Cambria Math"/>
                <w:sz w:val="16"/>
                <w:szCs w:val="18"/>
                <w:lang w:val="de-DE"/>
              </w:rPr>
              <w:t>⁻</w:t>
            </w:r>
            <w:r w:rsidRPr="00A20A4D">
              <w:rPr>
                <w:rFonts w:ascii="Arial" w:hAnsi="Arial" w:cs="Arial"/>
                <w:sz w:val="16"/>
                <w:szCs w:val="18"/>
                <w:lang w:val="de-DE"/>
              </w:rPr>
              <w:t>²</w:t>
            </w:r>
          </w:p>
        </w:tc>
      </w:tr>
      <w:tr w:rsidR="00D95FE8" w:rsidRPr="00A20A4D" w:rsidTr="0043747D">
        <w:trPr>
          <w:trHeight w:val="255"/>
        </w:trPr>
        <w:tc>
          <w:tcPr>
            <w:tcW w:w="803"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-1.734937E-02 × log(x+2)⁵ + 5.570149E-01 × log(x+2)⁴ + -7.104185E+00 × log(x+2)³ + 4.568977E+01 × log(x+2)² + -1.545218E+02 × log(x+2)¹ + 4.018736E+02 + 4.568977E+01 × log(x+2)</w:t>
            </w:r>
            <w:r w:rsidRPr="00A20A4D">
              <w:rPr>
                <w:rFonts w:ascii="Cambria Math" w:hAnsi="Cambria Math" w:cs="Cambria Math"/>
                <w:sz w:val="16"/>
                <w:szCs w:val="18"/>
                <w:lang w:val="de-DE"/>
              </w:rPr>
              <w:t>⁻</w:t>
            </w:r>
            <w:r w:rsidRPr="00A20A4D">
              <w:rPr>
                <w:rFonts w:ascii="Arial" w:hAnsi="Arial" w:cs="Arial"/>
                <w:sz w:val="16"/>
                <w:szCs w:val="18"/>
                <w:lang w:val="de-DE"/>
              </w:rPr>
              <w:t>¹ + -1.545218E+02 × log(x+2)</w:t>
            </w:r>
            <w:r w:rsidRPr="00A20A4D">
              <w:rPr>
                <w:rFonts w:ascii="Cambria Math" w:hAnsi="Cambria Math" w:cs="Cambria Math"/>
                <w:sz w:val="16"/>
                <w:szCs w:val="18"/>
                <w:lang w:val="de-DE"/>
              </w:rPr>
              <w:t>⁻</w:t>
            </w:r>
            <w:r w:rsidRPr="00A20A4D">
              <w:rPr>
                <w:rFonts w:ascii="Arial" w:hAnsi="Arial" w:cs="Arial"/>
                <w:sz w:val="16"/>
                <w:szCs w:val="18"/>
                <w:lang w:val="de-DE"/>
              </w:rPr>
              <w:t>²</w:t>
            </w:r>
          </w:p>
        </w:tc>
      </w:tr>
      <w:tr w:rsidR="00D95FE8" w:rsidRPr="00A20A4D" w:rsidTr="0043747D">
        <w:trPr>
          <w:trHeight w:val="255"/>
        </w:trPr>
        <w:tc>
          <w:tcPr>
            <w:tcW w:w="803"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r w:rsidRPr="00A20A4D">
              <w:rPr>
                <w:rFonts w:ascii="Arial" w:eastAsia="Times New Roman" w:hAnsi="Arial" w:cs="Arial"/>
                <w:b/>
                <w:sz w:val="16"/>
                <w:szCs w:val="16"/>
                <w:lang w:val="de-DE" w:eastAsia="de-DE"/>
              </w:rPr>
              <w:t>K</w:t>
            </w:r>
            <w:r w:rsidRPr="00A20A4D">
              <w:rPr>
                <w:rFonts w:ascii="Arial" w:eastAsia="Times New Roman" w:hAnsi="Arial" w:cs="Arial"/>
                <w:b/>
                <w:sz w:val="16"/>
                <w:szCs w:val="16"/>
                <w:vertAlign w:val="superscript"/>
                <w:lang w:val="de-DE" w:eastAsia="de-DE"/>
              </w:rPr>
              <w:t>+</w:t>
            </w: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Boys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-2.210687E-03 × log(x+2)⁵ + 5.861890E-02 × log(x+2)⁴ + -5.734904E-01 × log(x+2)³ + 2.504300E+00 × log(x+2)² + -4.770076E+00 × log(x+2)¹ + 7.471546E+00 + -5.734904E-01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-2.581843E-04 × log(x+2)⁵ + 5.806790E-03 × log(x+2)⁴ + -2.030765E-02 × log(x+2)³ + -3.093769E-01 × log(x+2)² + 2.242748E+00 × log(x+2)¹ + 1.242464E+00 + -2.030765E-02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Girls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-2.760320E-03 × log(x+2)⁵ + 7.461104E-02 × log(x+2)⁴ + -7.549238E-01 × log(x+2)³ + 3.517520E+00 × log(x+2)² + -7.639790E+00 × log(x+2)¹ + 1.119239E+01 + -7.549238E-01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4.478865E-04 × log(x+2)⁵ + -1.646007E-02 × log(x+2)⁴ + 2.505910E-01 × log(x+2)³ + -1.908687E+00 × log(x+2)² + 6.899537E+00 × log(x+2)¹ + -4.704962E+00 + 2.505910E-01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r w:rsidRPr="00A20A4D">
              <w:rPr>
                <w:rFonts w:ascii="Arial" w:eastAsia="Times New Roman" w:hAnsi="Arial" w:cs="Arial"/>
                <w:b/>
                <w:sz w:val="16"/>
                <w:szCs w:val="16"/>
                <w:lang w:val="de-DE" w:eastAsia="de-DE"/>
              </w:rPr>
              <w:t>Cl</w:t>
            </w:r>
            <w:r w:rsidRPr="00A20A4D">
              <w:rPr>
                <w:rFonts w:ascii="Arial" w:eastAsia="Times New Roman" w:hAnsi="Arial" w:cs="Arial"/>
                <w:b/>
                <w:sz w:val="16"/>
                <w:szCs w:val="16"/>
                <w:vertAlign w:val="superscript"/>
                <w:lang w:val="de-DE" w:eastAsia="de-DE"/>
              </w:rPr>
              <w:t>-</w:t>
            </w: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Boys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-4.336209E-02 × log(x+2)⁴ + 1.085150E+00 × log(x+2)³ + -9.775667E+00 × log(x+2)² + 3.761112E+01 × log(x+2)¹ + 4.016699E+01 + -9.775667E+00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8.692442E-03 × log(x+2)⁴ + -2.636235E-01 × log(x+2)³ + 2.822761E+00 × log(x+2)² + -1.303864E+01 × log(x+2)¹ + 1.297021E+02 + 2.822761E+00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Girls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-3.448300E-02 × log(x+2)⁴ + 9.203049E-01 × log(x+2)³ + -8.665922E+00 × log(x+2)² + 3.413262E+01 × log(x+2)¹ + 4.543635E+01 + -8.665922E+00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6.925164E-02 × log(x+2)⁴ + -1.698317E+00 × log(x+2)³ + 1.515171E+01 × log(x+2)² + -5.937502E+01 × log(x+2)¹ + 2.022397E+02 + 1.515171E+01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r w:rsidRPr="00A20A4D">
              <w:rPr>
                <w:rFonts w:ascii="Arial" w:eastAsia="Times New Roman" w:hAnsi="Arial" w:cs="Arial"/>
                <w:b/>
                <w:sz w:val="16"/>
                <w:szCs w:val="16"/>
                <w:lang w:val="de-DE" w:eastAsia="de-DE"/>
              </w:rPr>
              <w:t>Ca</w:t>
            </w:r>
            <w:r w:rsidRPr="00A20A4D">
              <w:rPr>
                <w:rFonts w:ascii="Arial" w:eastAsia="Times New Roman" w:hAnsi="Arial" w:cs="Arial"/>
                <w:b/>
                <w:sz w:val="16"/>
                <w:szCs w:val="16"/>
                <w:vertAlign w:val="superscript"/>
                <w:lang w:val="de-DE" w:eastAsia="de-DE"/>
              </w:rPr>
              <w:t>2+</w:t>
            </w: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Boys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2.861807E-05 × log(x+2)⁷ + -9.512163E-04 × log(x+2)⁶ + 1.249006E-02 × log(x+2)⁵ + -8.198761E-02 × log(x+2)⁴ + 2.851175E-01 × log(x+2)³ + -5.567311E-01 × log(x+2)² + 7.776306E-01 × log(x+2)¹ + 1.544215E+00</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-7.289020E-05 × log(x+2)⁷ + 2.372796E-03 × log(x+2)⁶ + -3.076438E-02 × log(x+2)⁵ + 2.026860E-01 × log(x+2)⁴ + -7.159583E-01 × log(x+2)³ + 1.293251E+00 × log(x+2)² + -9.682648E-01 × log(x+2)¹ + 2.833021E+00</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Girls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1.961702E-05 × log(x+2)⁷ + -8.305845E-04 × log(x+2)⁶ + 1.376111E-02 × log(x+2)⁵ + -1.152910E-01 × log(x+2)⁴ + 5.262677E-01 × log(x+2)³ + -1.331258E+00 × log(x+2)² + 1.851757E+00 × log(x+2)¹ + 1.080736E+00</w:t>
            </w:r>
          </w:p>
        </w:tc>
      </w:tr>
      <w:tr w:rsidR="00D95FE8" w:rsidRPr="00A20A4D" w:rsidTr="0043747D">
        <w:trPr>
          <w:trHeight w:val="255"/>
        </w:trPr>
        <w:tc>
          <w:tcPr>
            <w:tcW w:w="803"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2.323471E-05 × log(x+2)⁷ + -9.495143E-04 × log(x+2)⁶ + 1.559355E-02 × log(x+2)⁵ + -1.317453E-01 × log(x+2)⁴ + 6.090171E-01 × log(x+2)³ + -1.519977E+00 × log(x+2)² + 1.875104E+00 × log(x+2)¹ + 1.886082E+00</w:t>
            </w:r>
          </w:p>
        </w:tc>
      </w:tr>
      <w:tr w:rsidR="00D95FE8" w:rsidRPr="00A20A4D" w:rsidTr="0043747D">
        <w:trPr>
          <w:trHeight w:val="255"/>
        </w:trPr>
        <w:tc>
          <w:tcPr>
            <w:tcW w:w="803"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r w:rsidRPr="00A20A4D">
              <w:rPr>
                <w:rFonts w:ascii="Arial" w:eastAsia="Times New Roman" w:hAnsi="Arial" w:cs="Arial"/>
                <w:b/>
                <w:sz w:val="16"/>
                <w:szCs w:val="16"/>
                <w:lang w:val="de-DE" w:eastAsia="de-DE"/>
              </w:rPr>
              <w:t>Mg</w:t>
            </w:r>
            <w:r w:rsidRPr="00A20A4D">
              <w:rPr>
                <w:rFonts w:ascii="Arial" w:eastAsia="Times New Roman" w:hAnsi="Arial" w:cs="Arial"/>
                <w:b/>
                <w:sz w:val="16"/>
                <w:szCs w:val="16"/>
                <w:vertAlign w:val="superscript"/>
                <w:lang w:val="de-DE" w:eastAsia="de-DE"/>
              </w:rPr>
              <w:t>2+</w:t>
            </w: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Boys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-6.289770E-04 × log(x+2)⁵ + 1.816650E-02 × log(x+2)⁴ + -2.010771E-01 × log(x+2)³ + 1.059944E+00 × log(x+2)² + -2.693445E+00 × log(x+2)¹ + 3.743622E+00 + -2.010771E-01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2.050952E-04 × log(x+2)⁵ + -4.769223E-03 × log(x+2)⁴ + 3.975841E-02 × log(x+2)³ + -1.448281E-01 × log(x+2)² + 2.302315E-01 × log(x+2)¹ + 8.561713E-01 + 3.975841E-02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Girls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-6.714481E-04 × log(x+2)⁵ + 1.885974E-02 × log(x+2)⁴ + -2.021637E-01 × log(x+2)³ + 1.024027E+00 × log(x+2)² + -2.460533E+00 × log(x+2)¹ + 3.259975E+00 + -2.021637E-01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9.382911E-05 × log(x+2)⁵ + -9.655676E-04 × log(x+2)⁴ + -1.028334E-02 × log(x+2)³ + 1.694754E-01 × log(x+2)² + -7.260755E-01 × log(x+2)¹ + 2.127922E+00 + -1.028334E-02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roofErr w:type="spellStart"/>
            <w:r w:rsidRPr="00A20A4D">
              <w:rPr>
                <w:rFonts w:ascii="Arial" w:eastAsia="Times New Roman" w:hAnsi="Arial" w:cs="Arial"/>
                <w:b/>
                <w:sz w:val="16"/>
                <w:szCs w:val="16"/>
                <w:lang w:eastAsia="de-DE"/>
              </w:rPr>
              <w:t>Ph</w:t>
            </w:r>
            <w:proofErr w:type="spellEnd"/>
            <w:r w:rsidRPr="00A20A4D">
              <w:rPr>
                <w:rFonts w:ascii="Arial" w:eastAsia="Times New Roman" w:hAnsi="Arial" w:cs="Arial"/>
                <w:b/>
                <w:sz w:val="16"/>
                <w:szCs w:val="16"/>
                <w:vertAlign w:val="superscript"/>
                <w:lang w:eastAsia="de-DE"/>
              </w:rPr>
              <w:t>-</w:t>
            </w: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Boys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-2.982412E-05 × log(x+2)⁷ + 1.046264E-03 × log(x+2)⁶ + -1.669180E-02 × log(x+2)⁵ + 1.538100E-01 × log(x+2)⁴ + -8.348750E-01 × log(x+2)³ + 2.454100E+00 × log(x+2)² + -3.248350E+00 × log(x+2)¹ + 2.787172E+00</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-2.388961E-04 × log(x+2)⁷ + 8.122822E-03 × log(x+2)⁶ + -1.122513E-01 × log(x+2)⁵ + 8.086037E-01 × log(x+2)⁴ + -3.229391E+00 × log(x+2)³ + 6.976122E+00 × log(x+2)² + -7.338228E+00 × log(x+2)¹ + 5.373448E+00</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Girls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6.812996E-05 × log(x+2)⁷ + -2.495246E-03 × log(x+2)⁶ + 3.601563E-02 × log(x+2)⁵ + -2.615195E-01 × log(x+2)⁴ + 1.013855E+00 × log(x+2)³ + -2.101316E+00 × log(x+2)² + 2.298180E+00 × log(x+2)¹ + 4.370886E-01</w:t>
            </w:r>
          </w:p>
        </w:tc>
      </w:tr>
      <w:tr w:rsidR="00D95FE8" w:rsidRPr="00A20A4D" w:rsidTr="0043747D">
        <w:trPr>
          <w:trHeight w:val="255"/>
        </w:trPr>
        <w:tc>
          <w:tcPr>
            <w:tcW w:w="803"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-7.829363E-05 × log(x+2)⁷ + 2.286711E-03 × log(x+2)⁶ + -2.576784E-02 × log(x+2)⁵ + 1.381980E-01 × log(x+2)⁴ + -3.367763E-01 × log(x+2)³ + 1.808197E-01 × log(x+2)² + 4.283325E-01 × log(x+2)¹ + 2.271395E+00</w:t>
            </w:r>
          </w:p>
        </w:tc>
      </w:tr>
      <w:tr w:rsidR="00D95FE8" w:rsidRPr="00A20A4D" w:rsidTr="0043747D">
        <w:trPr>
          <w:trHeight w:val="255"/>
        </w:trPr>
        <w:tc>
          <w:tcPr>
            <w:tcW w:w="803"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r w:rsidRPr="00A20A4D">
              <w:rPr>
                <w:rFonts w:ascii="Arial" w:eastAsia="Times New Roman" w:hAnsi="Arial" w:cs="Arial"/>
                <w:b/>
                <w:sz w:val="16"/>
                <w:szCs w:val="16"/>
                <w:lang w:val="de-DE" w:eastAsia="de-DE"/>
              </w:rPr>
              <w:t>AST</w:t>
            </w: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Boys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-3.496102E-02 × log(x+2)⁵ + 1.087389E+00 × log(x+2)⁴ + -1.326796E+01 × log(x+2)³ + 7.839206E+01 × log(x+2)² + -2.249077E+02 × log(x+2)¹ + 2.991621E+02 + -1.326796E+01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-8.520642E-02 × log(x+2)⁵ + 2.759923E+00 × log(x+2)⁴ + -3.434506E+01 × log(x+2)³ + 2.036273E+02 × log(x+2)² + -5.819611E+02 × log(x+2)¹ + 7.636933E+02 + -3.434506E+01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Girls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-3.768769E-02 × log(x+2)⁵ + 1.166509E+00 × log(x+2)⁴ + -1.428234E+01 × log(x+2)³ + 8.543429E+01 × log(x+2)² + -2.508139E+02 × log(x+2)¹ + 3.436192E+02 + -1.428234E+01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-5.567429E-02 × log(x+2)⁵ + 1.824311E+00 × log(x+2)⁴ + -2.283132E+01 × log(x+2)³ + 1.347191E+02 × log(x+2)² + -3.796924E+02 × log(x+2)¹ + 5.104127E+02 + -2.283132E+01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r w:rsidRPr="00A20A4D">
              <w:rPr>
                <w:rFonts w:ascii="Arial" w:eastAsia="Times New Roman" w:hAnsi="Arial" w:cs="Arial"/>
                <w:b/>
                <w:sz w:val="16"/>
                <w:szCs w:val="16"/>
                <w:lang w:val="de-DE" w:eastAsia="de-DE"/>
              </w:rPr>
              <w:t>ALT</w:t>
            </w: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Boys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3.003289E-15 × (x+100)⁴ + 4.995707E-11 × (x+100)³ + -9.275093E-07 × (x+100)² + 4.176859E-03 × (x+100)¹ + 1.977716E+00 + 4.176859E-03 × (x+100)</w:t>
            </w:r>
            <w:r w:rsidRPr="00A20A4D">
              <w:rPr>
                <w:rFonts w:ascii="Cambria Math" w:hAnsi="Cambria Math" w:cs="Cambria Math"/>
                <w:sz w:val="16"/>
                <w:szCs w:val="18"/>
                <w:lang w:val="de-DE"/>
              </w:rPr>
              <w:t>⁻</w:t>
            </w:r>
            <w:r w:rsidRPr="00A20A4D">
              <w:rPr>
                <w:rFonts w:ascii="Arial" w:hAnsi="Arial" w:cs="Arial"/>
                <w:sz w:val="16"/>
                <w:szCs w:val="18"/>
                <w:lang w:val="de-DE"/>
              </w:rPr>
              <w:t>¹ + 1.977716E+00 × (x+100)</w:t>
            </w:r>
            <w:r w:rsidRPr="00A20A4D">
              <w:rPr>
                <w:rFonts w:ascii="Cambria Math" w:hAnsi="Cambria Math" w:cs="Cambria Math"/>
                <w:sz w:val="16"/>
                <w:szCs w:val="18"/>
                <w:lang w:val="de-DE"/>
              </w:rPr>
              <w:t>⁻</w:t>
            </w:r>
            <w:r w:rsidRPr="00A20A4D">
              <w:rPr>
                <w:rFonts w:ascii="Arial" w:hAnsi="Arial" w:cs="Arial"/>
                <w:sz w:val="16"/>
                <w:szCs w:val="18"/>
                <w:lang w:val="de-DE"/>
              </w:rPr>
              <w:t>²</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3.327182E-14 × (x+100)⁴ + -3.798998E-10 × (x+100)³ + 8.104373E-07 × (x+100)² + 5.488685E-03 × (x+100)¹ + 4.060696E+00 + 5.488685E-03 × (x+100)</w:t>
            </w:r>
            <w:r w:rsidRPr="00A20A4D">
              <w:rPr>
                <w:rFonts w:ascii="Cambria Math" w:hAnsi="Cambria Math" w:cs="Cambria Math"/>
                <w:sz w:val="16"/>
                <w:szCs w:val="18"/>
                <w:lang w:val="de-DE"/>
              </w:rPr>
              <w:t>⁻</w:t>
            </w:r>
            <w:r w:rsidRPr="00A20A4D">
              <w:rPr>
                <w:rFonts w:ascii="Arial" w:hAnsi="Arial" w:cs="Arial"/>
                <w:sz w:val="16"/>
                <w:szCs w:val="18"/>
                <w:lang w:val="de-DE"/>
              </w:rPr>
              <w:t>¹ + 4.060696E+00 × (x+100)</w:t>
            </w:r>
            <w:r w:rsidRPr="00A20A4D">
              <w:rPr>
                <w:rFonts w:ascii="Cambria Math" w:hAnsi="Cambria Math" w:cs="Cambria Math"/>
                <w:sz w:val="16"/>
                <w:szCs w:val="18"/>
                <w:lang w:val="de-DE"/>
              </w:rPr>
              <w:t>⁻</w:t>
            </w:r>
            <w:r w:rsidRPr="00A20A4D">
              <w:rPr>
                <w:rFonts w:ascii="Arial" w:hAnsi="Arial" w:cs="Arial"/>
                <w:sz w:val="16"/>
                <w:szCs w:val="18"/>
                <w:lang w:val="de-DE"/>
              </w:rPr>
              <w:t>²</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Girls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3.474901E-14 × (x+100)⁴ + -4.958705E-10 × (x+100)³ + 2.212358E-06 × (x+100)² + -3.304234E-03 × (x+100)¹ + 9.154869E+00 + -3.304234E-03 × (x+100)</w:t>
            </w:r>
            <w:r w:rsidRPr="00A20A4D">
              <w:rPr>
                <w:rFonts w:ascii="Cambria Math" w:hAnsi="Cambria Math" w:cs="Cambria Math"/>
                <w:sz w:val="16"/>
                <w:szCs w:val="18"/>
                <w:lang w:val="de-DE"/>
              </w:rPr>
              <w:t>⁻</w:t>
            </w:r>
            <w:r w:rsidRPr="00A20A4D">
              <w:rPr>
                <w:rFonts w:ascii="Arial" w:hAnsi="Arial" w:cs="Arial"/>
                <w:sz w:val="16"/>
                <w:szCs w:val="18"/>
                <w:lang w:val="de-DE"/>
              </w:rPr>
              <w:t>¹ + 9.154869E+00 × (x+100)</w:t>
            </w:r>
            <w:r w:rsidRPr="00A20A4D">
              <w:rPr>
                <w:rFonts w:ascii="Cambria Math" w:hAnsi="Cambria Math" w:cs="Cambria Math"/>
                <w:sz w:val="16"/>
                <w:szCs w:val="18"/>
                <w:lang w:val="de-DE"/>
              </w:rPr>
              <w:t>⁻</w:t>
            </w:r>
            <w:r w:rsidRPr="00A20A4D">
              <w:rPr>
                <w:rFonts w:ascii="Arial" w:hAnsi="Arial" w:cs="Arial"/>
                <w:sz w:val="16"/>
                <w:szCs w:val="18"/>
                <w:lang w:val="de-DE"/>
              </w:rPr>
              <w:t>²</w:t>
            </w:r>
          </w:p>
        </w:tc>
      </w:tr>
      <w:tr w:rsidR="00D95FE8" w:rsidRPr="00A20A4D" w:rsidTr="0043747D">
        <w:trPr>
          <w:trHeight w:val="255"/>
        </w:trPr>
        <w:tc>
          <w:tcPr>
            <w:tcW w:w="803"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5.369642E-15 × (x+100)⁴ + 3.396878E-10 × (x+100)³ + -5.062514E-06 × (x+100)² + 2.258300E-02 × (x+100)¹ + -1.386523E+01 + 2.258300E-02 × (x+100)</w:t>
            </w:r>
            <w:r w:rsidRPr="00A20A4D">
              <w:rPr>
                <w:rFonts w:ascii="Cambria Math" w:hAnsi="Cambria Math" w:cs="Cambria Math"/>
                <w:sz w:val="16"/>
                <w:szCs w:val="18"/>
                <w:lang w:val="de-DE"/>
              </w:rPr>
              <w:t>⁻</w:t>
            </w:r>
            <w:r w:rsidRPr="00A20A4D">
              <w:rPr>
                <w:rFonts w:ascii="Arial" w:hAnsi="Arial" w:cs="Arial"/>
                <w:sz w:val="16"/>
                <w:szCs w:val="18"/>
                <w:lang w:val="de-DE"/>
              </w:rPr>
              <w:t>¹ + -1.386523E+01 × (x+100)</w:t>
            </w:r>
            <w:r w:rsidRPr="00A20A4D">
              <w:rPr>
                <w:rFonts w:ascii="Cambria Math" w:hAnsi="Cambria Math" w:cs="Cambria Math"/>
                <w:sz w:val="16"/>
                <w:szCs w:val="18"/>
                <w:lang w:val="de-DE"/>
              </w:rPr>
              <w:t>⁻</w:t>
            </w:r>
            <w:r w:rsidRPr="00A20A4D">
              <w:rPr>
                <w:rFonts w:ascii="Arial" w:hAnsi="Arial" w:cs="Arial"/>
                <w:sz w:val="16"/>
                <w:szCs w:val="18"/>
                <w:lang w:val="de-DE"/>
              </w:rPr>
              <w:t>²</w:t>
            </w:r>
          </w:p>
        </w:tc>
      </w:tr>
      <w:tr w:rsidR="00D95FE8" w:rsidRPr="00A20A4D" w:rsidTr="0043747D">
        <w:trPr>
          <w:trHeight w:val="255"/>
        </w:trPr>
        <w:tc>
          <w:tcPr>
            <w:tcW w:w="803"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roofErr w:type="spellStart"/>
            <w:r w:rsidRPr="00A20A4D">
              <w:rPr>
                <w:rFonts w:ascii="Arial" w:eastAsia="Times New Roman" w:hAnsi="Arial" w:cs="Arial"/>
                <w:b/>
                <w:sz w:val="16"/>
                <w:szCs w:val="16"/>
                <w:lang w:val="de-DE" w:eastAsia="de-DE"/>
              </w:rPr>
              <w:t>aP</w:t>
            </w:r>
            <w:proofErr w:type="spellEnd"/>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Boys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-3.620156E-20 × (x+100)⁶ + 1.341838E-15 × (x+100)⁵ + -1.661066E-11 × (x+100)⁴ + 9.210268E-08 × (x+100)³ + -2.497292E-04 × (x+100)² + 3.389191E-01 × (x+100)¹ + -9.551326E+01 + 9.210268E-08 × (x+100)</w:t>
            </w:r>
            <w:r w:rsidRPr="00A20A4D">
              <w:rPr>
                <w:rFonts w:ascii="Cambria Math" w:hAnsi="Cambria Math" w:cs="Cambria Math"/>
                <w:sz w:val="16"/>
                <w:szCs w:val="18"/>
                <w:lang w:val="de-DE"/>
              </w:rPr>
              <w:t>⁻</w:t>
            </w:r>
            <w:r w:rsidRPr="00A20A4D">
              <w:rPr>
                <w:rFonts w:ascii="Arial" w:hAnsi="Arial" w:cs="Arial"/>
                <w:sz w:val="16"/>
                <w:szCs w:val="18"/>
                <w:lang w:val="de-DE"/>
              </w:rPr>
              <w:t>¹ + -2.497292E-04 × (x+100)</w:t>
            </w:r>
            <w:r w:rsidRPr="00A20A4D">
              <w:rPr>
                <w:rFonts w:ascii="Cambria Math" w:hAnsi="Cambria Math" w:cs="Cambria Math"/>
                <w:sz w:val="16"/>
                <w:szCs w:val="18"/>
                <w:lang w:val="de-DE"/>
              </w:rPr>
              <w:t>⁻</w:t>
            </w:r>
            <w:r w:rsidRPr="00A20A4D">
              <w:rPr>
                <w:rFonts w:ascii="Arial" w:hAnsi="Arial" w:cs="Arial"/>
                <w:sz w:val="16"/>
                <w:szCs w:val="18"/>
                <w:lang w:val="de-DE"/>
              </w:rPr>
              <w:t>²</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7.402425E-19 × (x+100)⁶ + -1.526194E-14 × (x+100)⁵ + 1.175098E-10 × (x+100)⁴ + -4.196572E-07 × (x+100)³ + 6.905870E-04 × (x+100)² + -3.812376E-01 × (x+100)¹ + 1.632102E+02 + -4.196572E-07 × (x+100)</w:t>
            </w:r>
            <w:r w:rsidRPr="00A20A4D">
              <w:rPr>
                <w:rFonts w:ascii="Cambria Math" w:hAnsi="Cambria Math" w:cs="Cambria Math"/>
                <w:sz w:val="16"/>
                <w:szCs w:val="18"/>
                <w:lang w:val="de-DE"/>
              </w:rPr>
              <w:t>⁻</w:t>
            </w:r>
            <w:r w:rsidRPr="00A20A4D">
              <w:rPr>
                <w:rFonts w:ascii="Arial" w:hAnsi="Arial" w:cs="Arial"/>
                <w:sz w:val="16"/>
                <w:szCs w:val="18"/>
                <w:lang w:val="de-DE"/>
              </w:rPr>
              <w:t>¹ + 6.905870E-04 × (x+100)</w:t>
            </w:r>
            <w:r w:rsidRPr="00A20A4D">
              <w:rPr>
                <w:rFonts w:ascii="Cambria Math" w:hAnsi="Cambria Math" w:cs="Cambria Math"/>
                <w:sz w:val="16"/>
                <w:szCs w:val="18"/>
                <w:lang w:val="de-DE"/>
              </w:rPr>
              <w:t>⁻</w:t>
            </w:r>
            <w:r w:rsidRPr="00A20A4D">
              <w:rPr>
                <w:rFonts w:ascii="Arial" w:hAnsi="Arial" w:cs="Arial"/>
                <w:sz w:val="16"/>
                <w:szCs w:val="18"/>
                <w:lang w:val="de-DE"/>
              </w:rPr>
              <w:t>²</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Girls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-2.058591E-19 × (x+100)⁶ + 4.622112E-15 × (x+100)⁵ + -3.907476E-11 × (x+100)⁴ + 1.553694E-07 × (x+100)³ + -3.078833E-04 × (x+100)² + 3.193392E-01 × (x+100)¹ + -5.651997E+01 + 1.553694E-07 × (x+100)</w:t>
            </w:r>
            <w:r w:rsidRPr="00A20A4D">
              <w:rPr>
                <w:rFonts w:ascii="Cambria Math" w:hAnsi="Cambria Math" w:cs="Cambria Math"/>
                <w:sz w:val="16"/>
                <w:szCs w:val="18"/>
                <w:lang w:val="de-DE"/>
              </w:rPr>
              <w:t>⁻</w:t>
            </w:r>
            <w:r w:rsidRPr="00A20A4D">
              <w:rPr>
                <w:rFonts w:ascii="Arial" w:hAnsi="Arial" w:cs="Arial"/>
                <w:sz w:val="16"/>
                <w:szCs w:val="18"/>
                <w:lang w:val="de-DE"/>
              </w:rPr>
              <w:t>¹ + -3.078833E-04 × (x+100)</w:t>
            </w:r>
            <w:r w:rsidRPr="00A20A4D">
              <w:rPr>
                <w:rFonts w:ascii="Cambria Math" w:hAnsi="Cambria Math" w:cs="Cambria Math"/>
                <w:sz w:val="16"/>
                <w:szCs w:val="18"/>
                <w:lang w:val="de-DE"/>
              </w:rPr>
              <w:t>⁻</w:t>
            </w:r>
            <w:r w:rsidRPr="00A20A4D">
              <w:rPr>
                <w:rFonts w:ascii="Arial" w:hAnsi="Arial" w:cs="Arial"/>
                <w:sz w:val="16"/>
                <w:szCs w:val="18"/>
                <w:lang w:val="de-DE"/>
              </w:rPr>
              <w:t>²</w:t>
            </w:r>
          </w:p>
        </w:tc>
      </w:tr>
      <w:tr w:rsidR="00D95FE8" w:rsidRPr="00A20A4D" w:rsidTr="0043747D">
        <w:trPr>
          <w:trHeight w:val="255"/>
        </w:trPr>
        <w:tc>
          <w:tcPr>
            <w:tcW w:w="803"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-4.236768E-19 × (x+100)⁶ + 1.108686E-14 × (x+100)⁵ + -1.103230E-10 × (x+100)⁴ + 5.276242E-07 × (x+100)³ + -1.291016E-03 × (x+100)² + 1.648014E+00 × (x+100)¹ + -7.794730E+02 + 5.276242E-07 × (x+100)</w:t>
            </w:r>
            <w:r w:rsidRPr="00A20A4D">
              <w:rPr>
                <w:rFonts w:ascii="Cambria Math" w:hAnsi="Cambria Math" w:cs="Cambria Math"/>
                <w:sz w:val="16"/>
                <w:szCs w:val="18"/>
                <w:lang w:val="de-DE"/>
              </w:rPr>
              <w:t>⁻</w:t>
            </w:r>
            <w:r w:rsidRPr="00A20A4D">
              <w:rPr>
                <w:rFonts w:ascii="Arial" w:hAnsi="Arial" w:cs="Arial"/>
                <w:sz w:val="16"/>
                <w:szCs w:val="18"/>
                <w:lang w:val="de-DE"/>
              </w:rPr>
              <w:t>¹ + -1.291016E-03 × (x+100)</w:t>
            </w:r>
            <w:r w:rsidRPr="00A20A4D">
              <w:rPr>
                <w:rFonts w:ascii="Cambria Math" w:hAnsi="Cambria Math" w:cs="Cambria Math"/>
                <w:sz w:val="16"/>
                <w:szCs w:val="18"/>
                <w:lang w:val="de-DE"/>
              </w:rPr>
              <w:t>⁻</w:t>
            </w:r>
            <w:r w:rsidRPr="00A20A4D">
              <w:rPr>
                <w:rFonts w:ascii="Arial" w:hAnsi="Arial" w:cs="Arial"/>
                <w:sz w:val="16"/>
                <w:szCs w:val="18"/>
                <w:lang w:val="de-DE"/>
              </w:rPr>
              <w:t>²</w:t>
            </w:r>
          </w:p>
        </w:tc>
      </w:tr>
      <w:tr w:rsidR="00D95FE8" w:rsidRPr="00A20A4D" w:rsidTr="0043747D">
        <w:trPr>
          <w:trHeight w:val="255"/>
        </w:trPr>
        <w:tc>
          <w:tcPr>
            <w:tcW w:w="803"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r w:rsidRPr="00A20A4D">
              <w:rPr>
                <w:rFonts w:ascii="Arial" w:eastAsia="Times New Roman" w:hAnsi="Arial" w:cs="Arial"/>
                <w:b/>
                <w:sz w:val="16"/>
                <w:szCs w:val="16"/>
                <w:lang w:val="de-DE" w:eastAsia="de-DE"/>
              </w:rPr>
              <w:t>y-GT</w:t>
            </w: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Boys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2.559819E-02 × log(x+2)⁵ + -8.052516E-01 × log(x+2)⁴ + 9.559124E+00 × log(x+2)³ + -5.161319E+01 × log(x+2)² + 1.164240E+02 × log(x+2)¹ + -5.516207E+01</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2.328517E-01 × log(x+2)⁵ + -6.835443E+00 × log(x+2)⁴ + 7.555986E+01 × log(x+2)³ + -3.746626E+02 × log(x+2)² + 7.226264E+02 × log(x+2)¹ + -1.044995E+02</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Girls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9.702593E-03 × log(x+2)⁵ + -3.634597E-01 × log(x+2)⁴ + 4.785199E+00 × log(x+2)³ + -2.687611E+01 × log(x+2)² + 5.664209E+01 × log(x+2)¹ + -4.773611E+00</w:t>
            </w:r>
          </w:p>
        </w:tc>
      </w:tr>
      <w:tr w:rsidR="00D95FE8" w:rsidRPr="00A20A4D" w:rsidTr="0043747D">
        <w:trPr>
          <w:trHeight w:val="255"/>
        </w:trPr>
        <w:tc>
          <w:tcPr>
            <w:tcW w:w="803"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1.604953E-01 × log(x+2)⁵ + -4.946350E+00 × log(x+2)⁴ + 5.709555E+01 × log(x+2)³ + -2.935169E+02 × log(x+2)² + 5.793705E+02 × log(x+2)¹ + -6.478201E+01</w:t>
            </w:r>
          </w:p>
        </w:tc>
      </w:tr>
      <w:tr w:rsidR="00D95FE8" w:rsidRPr="00A20A4D" w:rsidTr="0043747D">
        <w:trPr>
          <w:trHeight w:val="255"/>
        </w:trPr>
        <w:tc>
          <w:tcPr>
            <w:tcW w:w="803"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r w:rsidRPr="00A20A4D">
              <w:rPr>
                <w:rFonts w:ascii="Arial" w:eastAsia="Times New Roman" w:hAnsi="Arial" w:cs="Arial"/>
                <w:b/>
                <w:sz w:val="16"/>
                <w:szCs w:val="16"/>
                <w:lang w:val="de-DE" w:eastAsia="de-DE"/>
              </w:rPr>
              <w:t>LDH</w:t>
            </w: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Boys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-1.506446E-01 × log(x+2)⁶ + 4.778181E+00 × log(x+2)⁵ + -6.023151E+01 × log(x+2)⁴ + 3.810933E+02 × log(x+2)³ + -1.256377E+03 × log(x+2)² + 2.024993E+03 × log(x+2)¹ + -1.145381E+03 + -6.023151E+01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-3.224887E-01 × log(x+2)⁶ + 1.054728E+01 × log(x+2)⁵ + -1.371752E+02 × log(x+2)⁴ + 8.981188E+02 × log(x+2)³ + -3.089220E+03 × log(x+2)² + 5.317352E+03 × log(x+2)¹ + -3.771752E+03 + -1.371752E+02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Girls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-1.705634E-02 × log(x+2)⁶ + 4.916030E-01 × log(x+2)⁵ + -5.312120E+00 × log(x+2)⁴ + 2.245187E+01 × log(x+2)³ + 7.253686E+00 × log(x+2)² + -3.181127E+02 × log(x+2)¹ + 9.164586E+02 + -5.312120E+00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4.073791E-02 × log(x+2)⁶ + -1.817377E+00 × log(x+2)⁵ + 3.235564E+01 × log(x+2)⁴ + -2.991937E+02 × log(x+2)³ + 1.529706E+03 × log(x+2)² + -4.180702E+03 × log(x+2)¹ + 5.592973E+03 + 3.235564E+01 × log(x+2)</w:t>
            </w:r>
            <w:r w:rsidRPr="00A20A4D">
              <w:rPr>
                <w:rFonts w:ascii="Cambria Math" w:hAnsi="Cambria Math" w:cs="Cambria Math"/>
                <w:sz w:val="16"/>
                <w:szCs w:val="18"/>
                <w:lang w:val="de-DE"/>
              </w:rPr>
              <w:t>⁻</w:t>
            </w:r>
            <w:r w:rsidRPr="00A20A4D">
              <w:rPr>
                <w:rFonts w:ascii="Arial" w:hAnsi="Arial" w:cs="Arial"/>
                <w:sz w:val="16"/>
                <w:szCs w:val="18"/>
                <w:lang w:val="de-DE"/>
              </w:rPr>
              <w:t>¹</w:t>
            </w:r>
          </w:p>
        </w:tc>
      </w:tr>
      <w:tr w:rsidR="00D95FE8" w:rsidRPr="00A20A4D" w:rsidTr="0043747D">
        <w:trPr>
          <w:trHeight w:val="255"/>
        </w:trPr>
        <w:tc>
          <w:tcPr>
            <w:tcW w:w="803"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roofErr w:type="spellStart"/>
            <w:r w:rsidRPr="00A20A4D">
              <w:rPr>
                <w:rFonts w:ascii="Arial" w:eastAsia="Times New Roman" w:hAnsi="Arial" w:cs="Arial"/>
                <w:b/>
                <w:sz w:val="16"/>
                <w:szCs w:val="16"/>
                <w:lang w:val="de-DE" w:eastAsia="de-DE"/>
              </w:rPr>
              <w:t>Crea</w:t>
            </w:r>
            <w:proofErr w:type="spellEnd"/>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Boys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2.017745E-04 × log(x+2)⁶ + -5.731068E-03 × log(x+2)⁵ + 6.449192E-02 × log(x+2)⁴ + -3.636973E-01 × log(x+2)³ + 1.082005E+00 × log(x+2)² + -1.662111E+00 × log(x+2)¹ + 1.318322E+00</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4.077732E-04 × log(x+2)⁶ + -1.183998E-02 × log(x+2)⁵ + 1.364085E-01 × log(x+2)⁴ + -7.896426E-01 × log(x+2)³ + 2.420851E+00 × log(x+2)² + -3.852950E+00 × log(x+2)¹ + 3.105118E+00</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Girls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-7.773182E-05 × log(x+2)⁶ + 2.614689E-03 × log(x+2)⁵ + -3.356966E-02 × log(x+2)⁴ + 2.077335E-01 × log(x+2)³ + -6.200100E-01 × log(x+2)² + 7.080658E-01 × log(x+2)¹ + 1.782615E-01</w:t>
            </w:r>
          </w:p>
        </w:tc>
      </w:tr>
      <w:tr w:rsidR="00D95FE8" w:rsidRPr="00A20A4D" w:rsidTr="0043747D">
        <w:trPr>
          <w:trHeight w:val="255"/>
        </w:trPr>
        <w:tc>
          <w:tcPr>
            <w:tcW w:w="803"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-8.473169E-05 × log(x+2)⁶ + 2.817104E-03 × log(x+2)⁵ + -3.556860E-02 × log(x+2)⁴ + 2.148700E-01 × log(x+2)³ + -5.995364E-01 × log(x+2)² + 4.454620E-01 × log(x+2)¹ + 9.589497E-01</w:t>
            </w:r>
          </w:p>
        </w:tc>
      </w:tr>
      <w:tr w:rsidR="00D95FE8" w:rsidRPr="00A20A4D" w:rsidTr="0043747D">
        <w:trPr>
          <w:trHeight w:val="255"/>
        </w:trPr>
        <w:tc>
          <w:tcPr>
            <w:tcW w:w="803"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r w:rsidRPr="00A20A4D">
              <w:rPr>
                <w:rFonts w:ascii="Arial" w:eastAsia="Times New Roman" w:hAnsi="Arial" w:cs="Arial"/>
                <w:b/>
                <w:sz w:val="16"/>
                <w:szCs w:val="16"/>
                <w:lang w:val="de-DE" w:eastAsia="de-DE"/>
              </w:rPr>
              <w:t>Urea</w:t>
            </w: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Boys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3.401435E-03 × log(x+2)⁶ + -1.109747E-01 × log(x+2)⁵ + 1.396219E+00 × log(x+2)⁴ + -8.576735E+00 × log(x+2)³ + 2.702477E+01 × log(x+2)² + -4.035868E+01 × log(x+2)¹ + 2.572213E+01</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7.530530E-03 × log(x+2)⁶ + -1.821004E-01 × log(x+2)⁵ + 1.498051E+00 × log(x+2)⁴ + -4.357489E+00 × log(x+2)³ + 1.333280E-01 × log(x+2)² + 1.095103E+01 × log(x+2)¹ + 3.005284E+01</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Girls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-1.753635E-03 × log(x+2)⁶ + 4.580783E-02 × log(x+2)⁵ + -4.780608E-01 × log(x+2)⁴ + 2.460864E+00 × log(x+2)³ + -5.647349E+00 × log(x+2)² + 3.077566E+00 × log(x+2)¹ + 8.420883E+00</w:t>
            </w:r>
          </w:p>
        </w:tc>
      </w:tr>
      <w:tr w:rsidR="00D95FE8" w:rsidRPr="00A20A4D" w:rsidTr="0043747D">
        <w:trPr>
          <w:trHeight w:val="255"/>
        </w:trPr>
        <w:tc>
          <w:tcPr>
            <w:tcW w:w="803"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-3.731736E-03 × log(x+2)⁶ + 1.803011E-01 × log(x+2)⁵ + -3.091888E+00 × log(x+2)⁴ + 2.452992E+01 × log(x+2)³ + -9.349266E+01 × log(x+2)² + 1.552665E+02 × log(x+2)¹ + -4.954675E+01</w:t>
            </w:r>
          </w:p>
        </w:tc>
      </w:tr>
      <w:tr w:rsidR="00D95FE8" w:rsidRPr="00A20A4D" w:rsidTr="0043747D">
        <w:trPr>
          <w:trHeight w:val="255"/>
        </w:trPr>
        <w:tc>
          <w:tcPr>
            <w:tcW w:w="803"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eastAsia="de-DE"/>
              </w:rPr>
            </w:pPr>
            <w:proofErr w:type="spellStart"/>
            <w:r w:rsidRPr="00A20A4D">
              <w:rPr>
                <w:rFonts w:ascii="Arial" w:eastAsia="Times New Roman" w:hAnsi="Arial" w:cs="Arial"/>
                <w:b/>
                <w:sz w:val="16"/>
                <w:szCs w:val="16"/>
                <w:lang w:eastAsia="de-DE"/>
              </w:rPr>
              <w:t>Prot</w:t>
            </w:r>
            <w:proofErr w:type="spellEnd"/>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Boys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1.119899E-02 × log(x+2)⁵ + -2.809659E-01 × log(x+2)⁴ + 2.448309E+00 × log(x+2)³ + -8.253738E+00 × log(x+2)² + 1.023707E+01 × log(x+2)¹ + 3.937438E+01</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-3.660604E-03 × log(x+2)⁵ + 2.005204E-01 × log(x+2)⁴ + -3.175452E+00 × log(x+2)³ + 2.074155E+01 × log(x+2)² + -5.373630E+01 × log(x+2)¹ + 1.029354E+02</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Girls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-3.446838E-03 × log(x+2)⁵ + 1.281431E-01 × log(x+2)⁴ + -1.903915E+00 × log(x+2)³ + 1.321843E+01 × log(x+2)² + -3.649857E+01 × log(x+2)¹ + 7.194350E+01</w:t>
            </w:r>
          </w:p>
        </w:tc>
      </w:tr>
      <w:tr w:rsidR="00D95FE8" w:rsidRPr="00A20A4D" w:rsidTr="0043747D">
        <w:trPr>
          <w:trHeight w:val="255"/>
        </w:trPr>
        <w:tc>
          <w:tcPr>
            <w:tcW w:w="803"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-1.223772E-02 × log(x+2)⁵ + 3.532708E-01 × log(x+2)⁴ + -3.825692E+00 × log(x+2)³ + 1.924450E+01 × log(x+2)² + -4.166616E+01 × log(x+2)¹ + 9.234409E+01</w:t>
            </w:r>
          </w:p>
        </w:tc>
      </w:tr>
      <w:tr w:rsidR="00D95FE8" w:rsidRPr="00A20A4D" w:rsidTr="0043747D">
        <w:trPr>
          <w:trHeight w:val="255"/>
        </w:trPr>
        <w:tc>
          <w:tcPr>
            <w:tcW w:w="803" w:type="dxa"/>
            <w:vMerge w:val="restart"/>
            <w:tcBorders>
              <w:top w:val="nil"/>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r w:rsidRPr="00A20A4D">
              <w:rPr>
                <w:rFonts w:ascii="Arial" w:eastAsia="Times New Roman" w:hAnsi="Arial" w:cs="Arial"/>
                <w:b/>
                <w:sz w:val="16"/>
                <w:szCs w:val="16"/>
                <w:lang w:val="de-DE" w:eastAsia="de-DE"/>
              </w:rPr>
              <w:t>Alb</w:t>
            </w: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Boys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-4.941084E-03 × log(x+2)⁷ + 2.016825E-01 × log(x+2)⁶ + -3.416820E+00 × log(x+2)⁵ + 3.112538E+01 × log(x+2)⁴ + -1.655493E+02 × log(x+2)³ + 5.252636E+02 × log(x+2)² + -9.799236E+02 × log(x+2)¹ + 1.057426E+03 + 3.112538E+01 × log(x+2)</w:t>
            </w:r>
            <w:r w:rsidRPr="00A20A4D">
              <w:rPr>
                <w:rFonts w:ascii="Cambria Math" w:hAnsi="Cambria Math" w:cs="Cambria Math"/>
                <w:sz w:val="16"/>
                <w:szCs w:val="18"/>
                <w:lang w:val="de-DE"/>
              </w:rPr>
              <w:t>⁻</w:t>
            </w:r>
            <w:r w:rsidRPr="00A20A4D">
              <w:rPr>
                <w:rFonts w:ascii="Arial" w:hAnsi="Arial" w:cs="Arial"/>
                <w:sz w:val="16"/>
                <w:szCs w:val="18"/>
                <w:lang w:val="de-DE"/>
              </w:rPr>
              <w:t>¹ + -1.655493E+02 × log(x+2)</w:t>
            </w:r>
            <w:r w:rsidRPr="00A20A4D">
              <w:rPr>
                <w:rFonts w:ascii="Cambria Math" w:hAnsi="Cambria Math" w:cs="Cambria Math"/>
                <w:sz w:val="16"/>
                <w:szCs w:val="18"/>
                <w:lang w:val="de-DE"/>
              </w:rPr>
              <w:t>⁻</w:t>
            </w:r>
            <w:r w:rsidRPr="00A20A4D">
              <w:rPr>
                <w:rFonts w:ascii="Arial" w:hAnsi="Arial" w:cs="Arial"/>
                <w:sz w:val="16"/>
                <w:szCs w:val="18"/>
                <w:lang w:val="de-DE"/>
              </w:rPr>
              <w:t>²</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-9.085080E-03 × log(x+2)⁷ + 3.544828E-01 × log(x+2)⁶ + -5.809075E+00 × log(x+2)⁵ + 5.224394E+01 × log(x+2)⁴ + -2.830199E+02 × log(x+2)³ + 9.530963E+02 × log(x+2)² + -1.976970E+03 × log(x+2)¹ + 2.444787E+03 + 5.224394E+01 × log(x+2)</w:t>
            </w:r>
            <w:r w:rsidRPr="00A20A4D">
              <w:rPr>
                <w:rFonts w:ascii="Cambria Math" w:hAnsi="Cambria Math" w:cs="Cambria Math"/>
                <w:sz w:val="16"/>
                <w:szCs w:val="18"/>
                <w:lang w:val="de-DE"/>
              </w:rPr>
              <w:t>⁻</w:t>
            </w:r>
            <w:r w:rsidRPr="00A20A4D">
              <w:rPr>
                <w:rFonts w:ascii="Arial" w:hAnsi="Arial" w:cs="Arial"/>
                <w:sz w:val="16"/>
                <w:szCs w:val="18"/>
                <w:lang w:val="de-DE"/>
              </w:rPr>
              <w:t>¹ + -2.830199E+02 × log(x+2)</w:t>
            </w:r>
            <w:r w:rsidRPr="00A20A4D">
              <w:rPr>
                <w:rFonts w:ascii="Cambria Math" w:hAnsi="Cambria Math" w:cs="Cambria Math"/>
                <w:sz w:val="16"/>
                <w:szCs w:val="18"/>
                <w:lang w:val="de-DE"/>
              </w:rPr>
              <w:t>⁻</w:t>
            </w:r>
            <w:r w:rsidRPr="00A20A4D">
              <w:rPr>
                <w:rFonts w:ascii="Arial" w:hAnsi="Arial" w:cs="Arial"/>
                <w:sz w:val="16"/>
                <w:szCs w:val="18"/>
                <w:lang w:val="de-DE"/>
              </w:rPr>
              <w:t>²</w:t>
            </w:r>
          </w:p>
        </w:tc>
      </w:tr>
      <w:tr w:rsidR="00D95FE8" w:rsidRPr="00A20A4D" w:rsidTr="0043747D">
        <w:trPr>
          <w:trHeight w:val="255"/>
        </w:trPr>
        <w:tc>
          <w:tcPr>
            <w:tcW w:w="803" w:type="dxa"/>
            <w:vMerge/>
            <w:tcBorders>
              <w:left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val="restart"/>
            <w:tcBorders>
              <w:top w:val="nil"/>
              <w:left w:val="nil"/>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Girls</w:t>
            </w: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2.5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-5.981222E-03 × log(x+2)⁷ + 2.192934E-01 × log(x+2)⁶ + -3.268948E+00 × log(x+2)⁵ + 2.526921E+01 × log(x+2)⁴ + -1.063379E+02 × log(x+2)³ + 2.277914E+02 × log(x+2)² + -1.645991E+02 × log(x+2)¹ + -1.416366E+02 + 2.526921E+01 × log(x+2)</w:t>
            </w:r>
            <w:r w:rsidRPr="00A20A4D">
              <w:rPr>
                <w:rFonts w:ascii="Cambria Math" w:hAnsi="Cambria Math" w:cs="Cambria Math"/>
                <w:sz w:val="16"/>
                <w:szCs w:val="18"/>
                <w:lang w:val="de-DE"/>
              </w:rPr>
              <w:t>⁻</w:t>
            </w:r>
            <w:r w:rsidRPr="00A20A4D">
              <w:rPr>
                <w:rFonts w:ascii="Arial" w:hAnsi="Arial" w:cs="Arial"/>
                <w:sz w:val="16"/>
                <w:szCs w:val="18"/>
                <w:lang w:val="de-DE"/>
              </w:rPr>
              <w:t>¹ + -1.063379E+02 × log(x+2)</w:t>
            </w:r>
            <w:r w:rsidRPr="00A20A4D">
              <w:rPr>
                <w:rFonts w:ascii="Cambria Math" w:hAnsi="Cambria Math" w:cs="Cambria Math"/>
                <w:sz w:val="16"/>
                <w:szCs w:val="18"/>
                <w:lang w:val="de-DE"/>
              </w:rPr>
              <w:t>⁻</w:t>
            </w:r>
            <w:r w:rsidRPr="00A20A4D">
              <w:rPr>
                <w:rFonts w:ascii="Arial" w:hAnsi="Arial" w:cs="Arial"/>
                <w:sz w:val="16"/>
                <w:szCs w:val="18"/>
                <w:lang w:val="de-DE"/>
              </w:rPr>
              <w:t>²</w:t>
            </w:r>
          </w:p>
        </w:tc>
      </w:tr>
      <w:tr w:rsidR="00D95FE8" w:rsidRPr="00A20A4D" w:rsidTr="0043747D">
        <w:trPr>
          <w:trHeight w:val="255"/>
        </w:trPr>
        <w:tc>
          <w:tcPr>
            <w:tcW w:w="803" w:type="dxa"/>
            <w:vMerge/>
            <w:tcBorders>
              <w:left w:val="single" w:sz="4" w:space="0" w:color="auto"/>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b/>
                <w:sz w:val="16"/>
                <w:szCs w:val="16"/>
                <w:lang w:val="de-DE" w:eastAsia="de-DE"/>
              </w:rPr>
            </w:pPr>
          </w:p>
        </w:tc>
        <w:tc>
          <w:tcPr>
            <w:tcW w:w="585" w:type="dxa"/>
            <w:vMerge/>
            <w:tcBorders>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p>
        </w:tc>
        <w:tc>
          <w:tcPr>
            <w:tcW w:w="994" w:type="dxa"/>
            <w:tcBorders>
              <w:top w:val="nil"/>
              <w:left w:val="nil"/>
              <w:bottom w:val="single" w:sz="4" w:space="0" w:color="auto"/>
              <w:right w:val="single" w:sz="4" w:space="0" w:color="auto"/>
            </w:tcBorders>
            <w:shd w:val="clear" w:color="auto" w:fill="auto"/>
            <w:noWrap/>
            <w:vAlign w:val="center"/>
            <w:hideMark/>
          </w:tcPr>
          <w:p w:rsidR="00D95FE8" w:rsidRPr="00A20A4D" w:rsidRDefault="00D95FE8" w:rsidP="0043747D">
            <w:pPr>
              <w:spacing w:after="0" w:line="240" w:lineRule="auto"/>
              <w:jc w:val="center"/>
              <w:rPr>
                <w:rFonts w:ascii="Arial" w:eastAsia="Times New Roman" w:hAnsi="Arial" w:cs="Arial"/>
                <w:sz w:val="16"/>
                <w:szCs w:val="16"/>
                <w:lang w:val="de-DE" w:eastAsia="de-DE"/>
              </w:rPr>
            </w:pPr>
            <w:r w:rsidRPr="00A20A4D">
              <w:rPr>
                <w:rFonts w:ascii="Arial" w:eastAsia="Times New Roman" w:hAnsi="Arial" w:cs="Arial"/>
                <w:sz w:val="16"/>
                <w:szCs w:val="16"/>
                <w:lang w:val="de-DE" w:eastAsia="de-DE"/>
              </w:rPr>
              <w:t>97.5</w:t>
            </w:r>
            <w:r w:rsidRPr="00A20A4D">
              <w:rPr>
                <w:rFonts w:ascii="Arial" w:eastAsia="Times New Roman" w:hAnsi="Arial" w:cs="Arial"/>
                <w:sz w:val="16"/>
                <w:szCs w:val="16"/>
                <w:vertAlign w:val="superscript"/>
                <w:lang w:val="de-DE" w:eastAsia="de-DE"/>
              </w:rPr>
              <w:t>th</w:t>
            </w:r>
          </w:p>
        </w:tc>
        <w:tc>
          <w:tcPr>
            <w:tcW w:w="13185" w:type="dxa"/>
            <w:tcBorders>
              <w:top w:val="nil"/>
              <w:left w:val="nil"/>
              <w:bottom w:val="single" w:sz="4" w:space="0" w:color="auto"/>
              <w:right w:val="single" w:sz="4" w:space="0" w:color="auto"/>
            </w:tcBorders>
            <w:shd w:val="clear" w:color="auto" w:fill="auto"/>
            <w:noWrap/>
            <w:hideMark/>
          </w:tcPr>
          <w:p w:rsidR="00D95FE8" w:rsidRPr="00A20A4D" w:rsidRDefault="00D95FE8" w:rsidP="0043747D">
            <w:pPr>
              <w:spacing w:after="0" w:line="240" w:lineRule="auto"/>
              <w:rPr>
                <w:rFonts w:ascii="Arial" w:eastAsia="Times New Roman" w:hAnsi="Arial" w:cs="Arial"/>
                <w:sz w:val="16"/>
                <w:szCs w:val="18"/>
                <w:lang w:val="de-DE" w:eastAsia="de-DE"/>
              </w:rPr>
            </w:pPr>
            <w:r w:rsidRPr="00A20A4D">
              <w:rPr>
                <w:rFonts w:ascii="Arial" w:hAnsi="Arial" w:cs="Arial"/>
                <w:sz w:val="16"/>
                <w:szCs w:val="18"/>
                <w:lang w:val="de-DE"/>
              </w:rPr>
              <w:t>5.410911E-03 × log(x+2)⁷ + -2.102956E-01 × log(x+2)⁶ + 3.378071E+00 × log(x+2)⁵ + -2.889714E+01 × log(x+2)⁴ + 1.414631E+02 × log(x+2)³ + -3.975255E+02 × log(x+2)² + 6.177843E+02 × log(x+2)¹ + -4.517135E+02 + -2.889714E+01 × log(x+2)</w:t>
            </w:r>
            <w:r w:rsidRPr="00A20A4D">
              <w:rPr>
                <w:rFonts w:ascii="Cambria Math" w:hAnsi="Cambria Math" w:cs="Cambria Math"/>
                <w:sz w:val="16"/>
                <w:szCs w:val="18"/>
                <w:lang w:val="de-DE"/>
              </w:rPr>
              <w:t>⁻</w:t>
            </w:r>
            <w:r w:rsidRPr="00A20A4D">
              <w:rPr>
                <w:rFonts w:ascii="Arial" w:hAnsi="Arial" w:cs="Arial"/>
                <w:sz w:val="16"/>
                <w:szCs w:val="18"/>
                <w:lang w:val="de-DE"/>
              </w:rPr>
              <w:t>¹ + 1.414631E+02 × log(x+2)</w:t>
            </w:r>
            <w:r w:rsidRPr="00A20A4D">
              <w:rPr>
                <w:rFonts w:ascii="Cambria Math" w:hAnsi="Cambria Math" w:cs="Cambria Math"/>
                <w:sz w:val="16"/>
                <w:szCs w:val="18"/>
                <w:lang w:val="de-DE"/>
              </w:rPr>
              <w:t>⁻</w:t>
            </w:r>
            <w:r w:rsidRPr="00A20A4D">
              <w:rPr>
                <w:rFonts w:ascii="Arial" w:hAnsi="Arial" w:cs="Arial"/>
                <w:sz w:val="16"/>
                <w:szCs w:val="18"/>
                <w:lang w:val="de-DE"/>
              </w:rPr>
              <w:t>²</w:t>
            </w:r>
          </w:p>
        </w:tc>
      </w:tr>
    </w:tbl>
    <w:p w:rsidR="00D324F1" w:rsidRPr="00A20A4D" w:rsidRDefault="00D95FE8" w:rsidP="00A20A4D">
      <w:pPr>
        <w:spacing w:before="120" w:after="0" w:line="276" w:lineRule="auto"/>
        <w:rPr>
          <w:rFonts w:ascii="Arial" w:hAnsi="Arial" w:cs="Arial"/>
        </w:rPr>
      </w:pPr>
      <w:r w:rsidRPr="00A20A4D">
        <w:rPr>
          <w:rFonts w:ascii="Arial" w:hAnsi="Arial" w:cs="Arial"/>
        </w:rPr>
        <w:t>These polynomials can be evaluated using x (age in days, day of birth = 0) as an input parameter and yield the corresponding reference limit.</w:t>
      </w:r>
      <w:r w:rsidR="00D324F1" w:rsidRPr="00A20A4D">
        <w:rPr>
          <w:rFonts w:ascii="Arial" w:hAnsi="Arial" w:cs="Arial"/>
        </w:rPr>
        <w:t xml:space="preserve"> Na</w:t>
      </w:r>
      <w:r w:rsidR="00D324F1" w:rsidRPr="00A20A4D">
        <w:rPr>
          <w:rFonts w:ascii="Arial" w:hAnsi="Arial" w:cs="Arial"/>
          <w:vertAlign w:val="superscript"/>
        </w:rPr>
        <w:t>+</w:t>
      </w:r>
      <w:r w:rsidR="00D324F1" w:rsidRPr="00A20A4D">
        <w:rPr>
          <w:rFonts w:ascii="Arial" w:hAnsi="Arial" w:cs="Arial"/>
        </w:rPr>
        <w:t>, sodium; K</w:t>
      </w:r>
      <w:r w:rsidR="00D324F1" w:rsidRPr="00A20A4D">
        <w:rPr>
          <w:rFonts w:ascii="Arial" w:hAnsi="Arial" w:cs="Arial"/>
          <w:vertAlign w:val="superscript"/>
        </w:rPr>
        <w:t>+</w:t>
      </w:r>
      <w:r w:rsidR="00D324F1" w:rsidRPr="00A20A4D">
        <w:rPr>
          <w:rFonts w:ascii="Arial" w:hAnsi="Arial" w:cs="Arial"/>
        </w:rPr>
        <w:t>, potassium; Cl</w:t>
      </w:r>
      <w:r w:rsidR="00D324F1" w:rsidRPr="00A20A4D">
        <w:rPr>
          <w:rFonts w:ascii="Arial" w:hAnsi="Arial" w:cs="Arial"/>
          <w:vertAlign w:val="superscript"/>
        </w:rPr>
        <w:t>-</w:t>
      </w:r>
      <w:r w:rsidR="00D324F1" w:rsidRPr="00A20A4D">
        <w:rPr>
          <w:rFonts w:ascii="Arial" w:hAnsi="Arial" w:cs="Arial"/>
        </w:rPr>
        <w:t>, chloride; Ca</w:t>
      </w:r>
      <w:r w:rsidR="00D324F1" w:rsidRPr="00A20A4D">
        <w:rPr>
          <w:rFonts w:ascii="Arial" w:hAnsi="Arial" w:cs="Arial"/>
          <w:vertAlign w:val="superscript"/>
        </w:rPr>
        <w:t>2+</w:t>
      </w:r>
      <w:r w:rsidR="00D324F1" w:rsidRPr="00A20A4D">
        <w:rPr>
          <w:rFonts w:ascii="Arial" w:hAnsi="Arial" w:cs="Arial"/>
        </w:rPr>
        <w:t>, calcium; Mg</w:t>
      </w:r>
      <w:r w:rsidR="00D324F1" w:rsidRPr="00A20A4D">
        <w:rPr>
          <w:rFonts w:ascii="Arial" w:hAnsi="Arial" w:cs="Arial"/>
          <w:vertAlign w:val="superscript"/>
        </w:rPr>
        <w:t>2+</w:t>
      </w:r>
      <w:r w:rsidR="00D324F1" w:rsidRPr="00A20A4D">
        <w:rPr>
          <w:rFonts w:ascii="Arial" w:hAnsi="Arial" w:cs="Arial"/>
        </w:rPr>
        <w:t xml:space="preserve">, magnesium; </w:t>
      </w:r>
      <w:proofErr w:type="spellStart"/>
      <w:r w:rsidR="00D324F1" w:rsidRPr="00A20A4D">
        <w:rPr>
          <w:rFonts w:ascii="Arial" w:hAnsi="Arial" w:cs="Arial"/>
        </w:rPr>
        <w:t>Ph</w:t>
      </w:r>
      <w:proofErr w:type="spellEnd"/>
      <w:r w:rsidR="00D324F1" w:rsidRPr="00A20A4D">
        <w:rPr>
          <w:rFonts w:ascii="Arial" w:hAnsi="Arial" w:cs="Arial"/>
          <w:vertAlign w:val="superscript"/>
        </w:rPr>
        <w:t>-</w:t>
      </w:r>
      <w:r w:rsidR="00D324F1" w:rsidRPr="00A20A4D">
        <w:rPr>
          <w:rFonts w:ascii="Arial" w:hAnsi="Arial" w:cs="Arial"/>
        </w:rPr>
        <w:t xml:space="preserve">, phosphate; AST, aspartate transaminase; ALT, alanine transaminase; </w:t>
      </w:r>
      <w:proofErr w:type="spellStart"/>
      <w:r w:rsidR="00D324F1" w:rsidRPr="00A20A4D">
        <w:rPr>
          <w:rFonts w:ascii="Arial" w:hAnsi="Arial" w:cs="Arial"/>
        </w:rPr>
        <w:t>aP</w:t>
      </w:r>
      <w:proofErr w:type="spellEnd"/>
      <w:r w:rsidR="00D324F1" w:rsidRPr="00A20A4D">
        <w:rPr>
          <w:rFonts w:ascii="Arial" w:hAnsi="Arial" w:cs="Arial"/>
        </w:rPr>
        <w:t>, alkaline phosphatase; y-GT, γ-</w:t>
      </w:r>
      <w:proofErr w:type="spellStart"/>
      <w:r w:rsidR="00D324F1" w:rsidRPr="00A20A4D">
        <w:rPr>
          <w:rFonts w:ascii="Arial" w:hAnsi="Arial" w:cs="Arial"/>
        </w:rPr>
        <w:t>glutamyltransferase</w:t>
      </w:r>
      <w:proofErr w:type="spellEnd"/>
      <w:r w:rsidR="00D324F1" w:rsidRPr="00A20A4D">
        <w:rPr>
          <w:rFonts w:ascii="Arial" w:hAnsi="Arial" w:cs="Arial"/>
        </w:rPr>
        <w:t xml:space="preserve">; LDH, lactate dehydrogenase; </w:t>
      </w:r>
      <w:proofErr w:type="spellStart"/>
      <w:r w:rsidR="00D324F1" w:rsidRPr="00A20A4D">
        <w:rPr>
          <w:rFonts w:ascii="Arial" w:hAnsi="Arial" w:cs="Arial"/>
        </w:rPr>
        <w:t>Crea</w:t>
      </w:r>
      <w:proofErr w:type="spellEnd"/>
      <w:r w:rsidR="00D324F1" w:rsidRPr="00A20A4D">
        <w:rPr>
          <w:rFonts w:ascii="Arial" w:hAnsi="Arial" w:cs="Arial"/>
        </w:rPr>
        <w:t xml:space="preserve">, creatinine; </w:t>
      </w:r>
      <w:proofErr w:type="spellStart"/>
      <w:r w:rsidR="00D324F1" w:rsidRPr="00A20A4D">
        <w:rPr>
          <w:rFonts w:ascii="Arial" w:hAnsi="Arial" w:cs="Arial"/>
        </w:rPr>
        <w:t>Prot</w:t>
      </w:r>
      <w:proofErr w:type="spellEnd"/>
      <w:r w:rsidR="00D324F1" w:rsidRPr="00A20A4D">
        <w:rPr>
          <w:rFonts w:ascii="Arial" w:hAnsi="Arial" w:cs="Arial"/>
        </w:rPr>
        <w:t>, total protein; Alb, albumin.</w:t>
      </w:r>
    </w:p>
    <w:p w:rsidR="00D95FE8" w:rsidRPr="00A20A4D" w:rsidRDefault="00D95FE8" w:rsidP="00D95FE8">
      <w:pPr>
        <w:spacing w:before="120"/>
        <w:rPr>
          <w:rFonts w:ascii="Arial" w:hAnsi="Arial" w:cs="Arial"/>
          <w:b/>
        </w:rPr>
      </w:pPr>
    </w:p>
    <w:p w:rsidR="00D324F1" w:rsidRPr="00A20A4D" w:rsidRDefault="00D324F1" w:rsidP="00D95FE8">
      <w:pPr>
        <w:pStyle w:val="berschrift1"/>
        <w:rPr>
          <w:rFonts w:ascii="Arial" w:hAnsi="Arial" w:cs="Arial"/>
        </w:rPr>
        <w:sectPr w:rsidR="00D324F1" w:rsidRPr="00A20A4D" w:rsidSect="00D324F1">
          <w:footnotePr>
            <w:numFmt w:val="chicago"/>
          </w:footnotePr>
          <w:pgSz w:w="16838" w:h="11906" w:orient="landscape"/>
          <w:pgMar w:top="720" w:right="720" w:bottom="720" w:left="720" w:header="708" w:footer="708" w:gutter="0"/>
          <w:cols w:space="708"/>
          <w:docGrid w:linePitch="360"/>
        </w:sectPr>
      </w:pPr>
    </w:p>
    <w:p w:rsidR="00D95FE8" w:rsidRPr="00A20A4D" w:rsidRDefault="00D95FE8" w:rsidP="00D95FE8">
      <w:pPr>
        <w:pStyle w:val="berschrift1"/>
        <w:rPr>
          <w:rFonts w:ascii="Arial" w:hAnsi="Arial" w:cs="Arial"/>
        </w:rPr>
      </w:pPr>
      <w:r w:rsidRPr="00A20A4D">
        <w:rPr>
          <w:rFonts w:ascii="Arial" w:hAnsi="Arial" w:cs="Arial"/>
        </w:rPr>
        <w:lastRenderedPageBreak/>
        <w:t>Supplemental Figure 1</w:t>
      </w:r>
    </w:p>
    <w:p w:rsidR="00D95FE8" w:rsidRPr="00A20A4D" w:rsidRDefault="00D95FE8" w:rsidP="00FB12DE">
      <w:pPr>
        <w:spacing w:after="0"/>
        <w:rPr>
          <w:rFonts w:ascii="Arial" w:hAnsi="Arial" w:cs="Arial"/>
          <w:b/>
        </w:rPr>
      </w:pPr>
      <w:r w:rsidRPr="00A20A4D">
        <w:rPr>
          <w:rFonts w:ascii="Arial" w:hAnsi="Arial" w:cs="Arial"/>
          <w:noProof/>
          <w:lang w:val="de-DE" w:eastAsia="de-DE"/>
        </w:rPr>
        <w:drawing>
          <wp:inline distT="0" distB="0" distL="0" distR="0" wp14:anchorId="2E39AA57" wp14:editId="754887B2">
            <wp:extent cx="6541117" cy="3573780"/>
            <wp:effectExtent l="0" t="0" r="0" b="7620"/>
            <wp:docPr id="3" name="Grafik 3" descr="C:\Users\Jakob\AppData\Local\Microsoft\Windows\INetCache\Content.Word\Center-specific-Medi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kob\AppData\Local\Microsoft\Windows\INetCache\Content.Word\Center-specific-Medians.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485"/>
                    <a:stretch/>
                  </pic:blipFill>
                  <pic:spPr bwMode="auto">
                    <a:xfrm>
                      <a:off x="0" y="0"/>
                      <a:ext cx="6542733" cy="3574663"/>
                    </a:xfrm>
                    <a:prstGeom prst="rect">
                      <a:avLst/>
                    </a:prstGeom>
                    <a:noFill/>
                    <a:ln>
                      <a:noFill/>
                    </a:ln>
                    <a:extLst>
                      <a:ext uri="{53640926-AAD7-44D8-BBD7-CCE9431645EC}">
                        <a14:shadowObscured xmlns:a14="http://schemas.microsoft.com/office/drawing/2010/main"/>
                      </a:ext>
                    </a:extLst>
                  </pic:spPr>
                </pic:pic>
              </a:graphicData>
            </a:graphic>
          </wp:inline>
        </w:drawing>
      </w:r>
    </w:p>
    <w:p w:rsidR="00D95FE8" w:rsidRPr="00A20A4D" w:rsidRDefault="00D95FE8" w:rsidP="00A20A4D">
      <w:pPr>
        <w:spacing w:line="276" w:lineRule="auto"/>
        <w:rPr>
          <w:rFonts w:ascii="Arial" w:hAnsi="Arial" w:cs="Arial"/>
        </w:rPr>
      </w:pPr>
      <w:r w:rsidRPr="00A20A4D">
        <w:rPr>
          <w:rFonts w:ascii="Arial" w:hAnsi="Arial" w:cs="Arial"/>
          <w:b/>
        </w:rPr>
        <w:t xml:space="preserve">Center-specific relative </w:t>
      </w:r>
      <w:bookmarkStart w:id="0" w:name="_GoBack"/>
      <w:bookmarkEnd w:id="0"/>
      <w:r w:rsidRPr="00A20A4D">
        <w:rPr>
          <w:rFonts w:ascii="Arial" w:hAnsi="Arial" w:cs="Arial"/>
          <w:b/>
        </w:rPr>
        <w:t>median values in comparison to the overall median and total error specifications.</w:t>
      </w:r>
    </w:p>
    <w:p w:rsidR="00D95FE8" w:rsidRPr="00A20A4D" w:rsidRDefault="00D95FE8" w:rsidP="00A20A4D">
      <w:pPr>
        <w:spacing w:line="276" w:lineRule="auto"/>
        <w:rPr>
          <w:rFonts w:ascii="Arial" w:hAnsi="Arial" w:cs="Arial"/>
          <w:color w:val="0563C1" w:themeColor="hyperlink"/>
          <w:u w:val="single"/>
        </w:rPr>
        <w:sectPr w:rsidR="00D95FE8" w:rsidRPr="00A20A4D" w:rsidSect="00D324F1">
          <w:footnotePr>
            <w:numFmt w:val="chicago"/>
          </w:footnotePr>
          <w:pgSz w:w="11906" w:h="16838"/>
          <w:pgMar w:top="720" w:right="720" w:bottom="720" w:left="720" w:header="708" w:footer="708" w:gutter="0"/>
          <w:cols w:space="708"/>
          <w:docGrid w:linePitch="360"/>
        </w:sectPr>
      </w:pPr>
      <w:r w:rsidRPr="00A20A4D">
        <w:rPr>
          <w:rFonts w:ascii="Arial" w:hAnsi="Arial" w:cs="Arial"/>
        </w:rPr>
        <w:t xml:space="preserve">Center-specific medians of all </w:t>
      </w:r>
      <w:proofErr w:type="spellStart"/>
      <w:r w:rsidRPr="00A20A4D">
        <w:rPr>
          <w:rFonts w:ascii="Arial" w:hAnsi="Arial" w:cs="Arial"/>
        </w:rPr>
        <w:t>analytes</w:t>
      </w:r>
      <w:proofErr w:type="spellEnd"/>
      <w:r w:rsidRPr="00A20A4D">
        <w:rPr>
          <w:rFonts w:ascii="Arial" w:hAnsi="Arial" w:cs="Arial"/>
        </w:rPr>
        <w:t xml:space="preserve"> relative to the overall </w:t>
      </w:r>
      <w:proofErr w:type="spellStart"/>
      <w:r w:rsidRPr="00A20A4D">
        <w:rPr>
          <w:rFonts w:ascii="Arial" w:hAnsi="Arial" w:cs="Arial"/>
        </w:rPr>
        <w:t>analyte</w:t>
      </w:r>
      <w:proofErr w:type="spellEnd"/>
      <w:r w:rsidRPr="00A20A4D">
        <w:rPr>
          <w:rFonts w:ascii="Arial" w:hAnsi="Arial" w:cs="Arial"/>
        </w:rPr>
        <w:t xml:space="preserve"> median (= 1.0). Test results were adjusted for age and sex by stratification into sex-specific age groups (i.e. 1 to &lt; 2 years, 2 to &lt; 3 years</w:t>
      </w:r>
      <w:proofErr w:type="gramStart"/>
      <w:r w:rsidRPr="00A20A4D">
        <w:rPr>
          <w:rFonts w:ascii="Arial" w:hAnsi="Arial" w:cs="Arial"/>
        </w:rPr>
        <w:t>, …,</w:t>
      </w:r>
      <w:proofErr w:type="gramEnd"/>
      <w:r w:rsidRPr="00A20A4D">
        <w:rPr>
          <w:rFonts w:ascii="Arial" w:hAnsi="Arial" w:cs="Arial"/>
        </w:rPr>
        <w:t xml:space="preserve"> 17 to &lt; 18 years, the first year of life was excluded) and division by the respective age- and sex-group’s all-center median before calculating the center-specific medians. Dark-gray bars denote the Desirable specification for Total Error, and light-gray bars denote the Minimum specification for Total Error according to the </w:t>
      </w:r>
      <w:r w:rsidRPr="00A20A4D">
        <w:rPr>
          <w:rFonts w:ascii="Arial" w:hAnsi="Arial" w:cs="Arial"/>
          <w:i/>
        </w:rPr>
        <w:t xml:space="preserve">EFLM Biological Variation Database </w:t>
      </w:r>
      <w:r w:rsidRPr="00A20A4D">
        <w:rPr>
          <w:rFonts w:ascii="Arial" w:hAnsi="Arial" w:cs="Arial"/>
        </w:rPr>
        <w:t xml:space="preserve">specifications available at </w:t>
      </w:r>
      <w:r w:rsidRPr="00A20A4D">
        <w:rPr>
          <w:rStyle w:val="Hyperlink"/>
          <w:rFonts w:ascii="Arial" w:hAnsi="Arial" w:cs="Arial"/>
        </w:rPr>
        <w:t>https://biologicalvariation.eu/</w:t>
      </w:r>
      <w:r w:rsidRPr="00A20A4D">
        <w:rPr>
          <w:rFonts w:ascii="Arial" w:hAnsi="Arial" w:cs="Arial"/>
        </w:rPr>
        <w:t xml:space="preserve">. Black bars denote the Total Error specification from the </w:t>
      </w:r>
      <w:r w:rsidRPr="00A20A4D">
        <w:rPr>
          <w:rFonts w:ascii="Arial" w:hAnsi="Arial" w:cs="Arial"/>
          <w:i/>
        </w:rPr>
        <w:t>Desirable Biological Variation Database</w:t>
      </w:r>
      <w:r w:rsidRPr="00A20A4D">
        <w:rPr>
          <w:rFonts w:ascii="Arial" w:hAnsi="Arial" w:cs="Arial"/>
        </w:rPr>
        <w:t xml:space="preserve"> based on data by </w:t>
      </w:r>
      <w:proofErr w:type="spellStart"/>
      <w:r w:rsidRPr="00A20A4D">
        <w:rPr>
          <w:rFonts w:ascii="Arial" w:hAnsi="Arial" w:cs="Arial"/>
        </w:rPr>
        <w:t>Ricós</w:t>
      </w:r>
      <w:proofErr w:type="spellEnd"/>
      <w:r w:rsidRPr="00A20A4D">
        <w:rPr>
          <w:rFonts w:ascii="Arial" w:hAnsi="Arial" w:cs="Arial"/>
        </w:rPr>
        <w:t xml:space="preserve"> et al. </w:t>
      </w:r>
      <w:r w:rsidRPr="00A20A4D">
        <w:rPr>
          <w:rFonts w:ascii="Arial" w:hAnsi="Arial" w:cs="Arial"/>
        </w:rPr>
        <w:fldChar w:fldCharType="begin"/>
      </w:r>
      <w:r w:rsidRPr="00A20A4D">
        <w:rPr>
          <w:rFonts w:ascii="Arial" w:hAnsi="Arial" w:cs="Arial"/>
        </w:rPr>
        <w:instrText xml:space="preserve"> ADDIN ZOTERO_ITEM CSL_CITATION {"citationID":"De5p6pjQ","properties":{"formattedCitation":"[15]","plainCitation":"[15]","noteIndex":0},"citationItems":[{"id":"C4wE5CEm/sYJgrzQ7","uris":["http://zotero.org/users/1724655/items/R65FW7ZE"],"uri":["http://zotero.org/users/1724655/items/R65FW7ZE"],"itemData":{"id":1657,"type":"article-journal","abstract":"A database with reliable information to derive definitive analytical quality specifications for a large number of clinical laboratory tests was prepared in this work. This was achieved by comparing and correlating descriptive data and relevant observations with the biological variation information, an approach that had not been used in the previous efforts of this type. The material compiled in the database was obtained from published articles referenced in BIOS, CURRENT CONTENTS, EMBASE and MEDLINE using \"biological variation &amp; laboratory medicine\" as key words, as well as books and doctoral theses provided by their authors. The database covers 316 quantities and reviews 191 articles, fewer than 10 of which had to be rejected. The within- and between-subject coefficients of variation and the subsequent desirable quality specifications for precision, bias and total error for all the quantities accepted are presented. Sex-related stratification of results was justified for only four quantities and, in these cases, quality specifications were derived from the group with lower within-subject variation. For certain quantities, biological variation in pathological states was higher than in the healthy state. In these cases, quality specifications were derived only from the healthy population (most stringent). Several quantities (particularly hormones) have been treated in very few articles and the results found are highly discrepant. Therefore, professionals in laboratory medicine should be strongly encouraged to study the quantities for which results are discrepant, the 90 quantities described in only one paper and the numerous quantities that have not been the subject of study.","container-title":"Scandinavian Journal of Clinical and Laboratory Investigation","DOI":"10.1080/00365519950185229","ISSN":"0036-5513","issue":"7","journalAbbreviation":"Scand J Clin Lab Invest","language":"eng","note":"PMID: 10667686","page":"491-500","source":"PubMed","title":"Current databases on biological variation: pros, cons and progress","title-short":"Current databases on biological variation","volume":"59","author":[{"family":"Ricós","given":"C."},{"family":"Alvarez","given":"V."},{"family":"Cava","given":"F."},{"family":"García-Lario","given":"J. V."},{"family":"Hernández","given":"A."},{"family":"Jiménez","given":"C. V."},{"family":"Minchinela","given":"J."},{"family":"Perich","given":"C."},{"family":"Simón","given":"M."}],"issued":{"date-parts":[["1999",11]]}}}],"schema":"https://github.com/citation-style-language/schema/raw/master/csl-citation.json"} </w:instrText>
      </w:r>
      <w:r w:rsidRPr="00A20A4D">
        <w:rPr>
          <w:rFonts w:ascii="Arial" w:hAnsi="Arial" w:cs="Arial"/>
        </w:rPr>
        <w:fldChar w:fldCharType="separate"/>
      </w:r>
      <w:r w:rsidRPr="00A20A4D">
        <w:rPr>
          <w:rFonts w:ascii="Arial" w:hAnsi="Arial" w:cs="Arial"/>
        </w:rPr>
        <w:t>[15]</w:t>
      </w:r>
      <w:r w:rsidRPr="00A20A4D">
        <w:rPr>
          <w:rFonts w:ascii="Arial" w:hAnsi="Arial" w:cs="Arial"/>
        </w:rPr>
        <w:fldChar w:fldCharType="end"/>
      </w:r>
      <w:r w:rsidRPr="00A20A4D">
        <w:rPr>
          <w:rFonts w:ascii="Arial" w:hAnsi="Arial" w:cs="Arial"/>
        </w:rPr>
        <w:t xml:space="preserve"> and available at </w:t>
      </w:r>
      <w:hyperlink r:id="rId8" w:history="1">
        <w:r w:rsidRPr="00A20A4D">
          <w:rPr>
            <w:rStyle w:val="Hyperlink"/>
            <w:rFonts w:ascii="Arial" w:hAnsi="Arial" w:cs="Arial"/>
          </w:rPr>
          <w:t>https://www.westgard.com/biodatabase1.htm</w:t>
        </w:r>
      </w:hyperlink>
      <w:r w:rsidRPr="00A20A4D">
        <w:rPr>
          <w:rFonts w:ascii="Arial" w:hAnsi="Arial" w:cs="Arial"/>
        </w:rPr>
        <w:t>. See also Supplemental Table 2.</w:t>
      </w:r>
      <w:r w:rsidRPr="00A20A4D">
        <w:rPr>
          <w:rFonts w:ascii="Arial" w:hAnsi="Arial" w:cs="Arial"/>
          <w:color w:val="0563C1" w:themeColor="hyperlink"/>
          <w:u w:val="single"/>
        </w:rPr>
        <w:t xml:space="preserve"> </w:t>
      </w:r>
      <w:proofErr w:type="spellStart"/>
      <w:proofErr w:type="gramStart"/>
      <w:r w:rsidRPr="00A20A4D">
        <w:rPr>
          <w:rFonts w:ascii="Arial" w:hAnsi="Arial" w:cs="Arial"/>
        </w:rPr>
        <w:t>aP</w:t>
      </w:r>
      <w:proofErr w:type="spellEnd"/>
      <w:proofErr w:type="gramEnd"/>
      <w:r w:rsidRPr="00A20A4D">
        <w:rPr>
          <w:rFonts w:ascii="Arial" w:hAnsi="Arial" w:cs="Arial"/>
        </w:rPr>
        <w:t>: alkaline phosphatase, y-GT: gamma-</w:t>
      </w:r>
      <w:proofErr w:type="spellStart"/>
      <w:r w:rsidRPr="00A20A4D">
        <w:rPr>
          <w:rFonts w:ascii="Arial" w:hAnsi="Arial" w:cs="Arial"/>
        </w:rPr>
        <w:t>glutamyltransferase</w:t>
      </w:r>
      <w:proofErr w:type="spellEnd"/>
      <w:r w:rsidRPr="00A20A4D">
        <w:rPr>
          <w:rFonts w:ascii="Arial" w:hAnsi="Arial" w:cs="Arial"/>
        </w:rPr>
        <w:t>, AST: aspartate transaminase, ALT: alanine transaminase, LDH: lactate dehydrogenase, EFLM: European Federation of Clinical Chemistry and Laboratory Medicine.</w:t>
      </w:r>
    </w:p>
    <w:p w:rsidR="00D95FE8" w:rsidRPr="00A20A4D" w:rsidRDefault="00D95FE8" w:rsidP="00D95FE8">
      <w:pPr>
        <w:pStyle w:val="berschrift1"/>
        <w:rPr>
          <w:rFonts w:ascii="Arial" w:hAnsi="Arial" w:cs="Arial"/>
        </w:rPr>
      </w:pPr>
      <w:r w:rsidRPr="00A20A4D">
        <w:rPr>
          <w:rFonts w:ascii="Arial" w:hAnsi="Arial" w:cs="Arial"/>
        </w:rPr>
        <w:lastRenderedPageBreak/>
        <w:t>Supplemental Figure 2</w:t>
      </w:r>
    </w:p>
    <w:p w:rsidR="00D95FE8" w:rsidRPr="00A20A4D" w:rsidRDefault="00D95FE8" w:rsidP="00FB12DE">
      <w:pPr>
        <w:spacing w:after="0"/>
        <w:rPr>
          <w:rFonts w:ascii="Arial" w:hAnsi="Arial" w:cs="Arial"/>
          <w:b/>
        </w:rPr>
      </w:pPr>
      <w:r w:rsidRPr="00A20A4D">
        <w:rPr>
          <w:rFonts w:ascii="Arial" w:hAnsi="Arial" w:cs="Arial"/>
          <w:noProof/>
          <w:lang w:val="de-DE" w:eastAsia="de-DE"/>
        </w:rPr>
        <w:drawing>
          <wp:inline distT="0" distB="0" distL="0" distR="0" wp14:anchorId="7A8AAB6D" wp14:editId="34DF66DD">
            <wp:extent cx="9739159" cy="5650302"/>
            <wp:effectExtent l="0" t="0" r="0" b="7620"/>
            <wp:docPr id="1" name="Grafik 1" descr="C:\Users\Jakob\AppData\Local\Microsoft\Windows\INetCache\Content.Word\Figure_Comparison_R1_S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kob\AppData\Local\Microsoft\Windows\INetCache\Content.Word\Figure_Comparison_R1_S_sm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4053" cy="5658943"/>
                    </a:xfrm>
                    <a:prstGeom prst="rect">
                      <a:avLst/>
                    </a:prstGeom>
                    <a:noFill/>
                    <a:ln>
                      <a:noFill/>
                    </a:ln>
                  </pic:spPr>
                </pic:pic>
              </a:graphicData>
            </a:graphic>
          </wp:inline>
        </w:drawing>
      </w:r>
    </w:p>
    <w:p w:rsidR="00D95FE8" w:rsidRPr="00A20A4D" w:rsidRDefault="00D95FE8" w:rsidP="00A20A4D">
      <w:pPr>
        <w:spacing w:line="276" w:lineRule="auto"/>
        <w:rPr>
          <w:rFonts w:ascii="Arial" w:hAnsi="Arial" w:cs="Arial"/>
        </w:rPr>
      </w:pPr>
      <w:r w:rsidRPr="00A20A4D">
        <w:rPr>
          <w:rFonts w:ascii="Arial" w:hAnsi="Arial" w:cs="Arial"/>
          <w:b/>
        </w:rPr>
        <w:t>Comparison of reference intervals to discrete (A) and continuous (B) reference intervals from the CALIPER project, to HAPPI Kids (C) results, and to previous results from our group (D).</w:t>
      </w:r>
    </w:p>
    <w:p w:rsidR="00D95FE8" w:rsidRPr="00A20A4D" w:rsidRDefault="00D95FE8" w:rsidP="00A20A4D">
      <w:pPr>
        <w:spacing w:line="276" w:lineRule="auto"/>
        <w:rPr>
          <w:rFonts w:ascii="Arial" w:hAnsi="Arial" w:cs="Arial"/>
        </w:rPr>
      </w:pPr>
      <w:r w:rsidRPr="00A20A4D">
        <w:rPr>
          <w:rFonts w:ascii="Arial" w:hAnsi="Arial" w:cs="Arial"/>
        </w:rPr>
        <w:lastRenderedPageBreak/>
        <w:t xml:space="preserve">Age- and sex-dependent percentile charts for aspartate transaminase (AST), Lactate dehydrogenase (LDH), calcium, and </w:t>
      </w:r>
      <w:proofErr w:type="spellStart"/>
      <w:r w:rsidRPr="00A20A4D">
        <w:rPr>
          <w:rFonts w:ascii="Arial" w:hAnsi="Arial" w:cs="Arial"/>
        </w:rPr>
        <w:t>anorganic</w:t>
      </w:r>
      <w:proofErr w:type="spellEnd"/>
      <w:r w:rsidRPr="00A20A4D">
        <w:rPr>
          <w:rFonts w:ascii="Arial" w:hAnsi="Arial" w:cs="Arial"/>
        </w:rPr>
        <w:t xml:space="preserve"> phosphate showing the 50</w:t>
      </w:r>
      <w:r w:rsidRPr="00A20A4D">
        <w:rPr>
          <w:rFonts w:ascii="Arial" w:hAnsi="Arial" w:cs="Arial"/>
          <w:vertAlign w:val="superscript"/>
        </w:rPr>
        <w:t>th</w:t>
      </w:r>
      <w:r w:rsidRPr="00A20A4D">
        <w:rPr>
          <w:rFonts w:ascii="Arial" w:hAnsi="Arial" w:cs="Arial"/>
        </w:rPr>
        <w:t xml:space="preserve"> percentile (solid blue lines), 25</w:t>
      </w:r>
      <w:r w:rsidRPr="00A20A4D">
        <w:rPr>
          <w:rFonts w:ascii="Arial" w:hAnsi="Arial" w:cs="Arial"/>
          <w:vertAlign w:val="superscript"/>
        </w:rPr>
        <w:t>th</w:t>
      </w:r>
      <w:r w:rsidRPr="00A20A4D">
        <w:rPr>
          <w:rFonts w:ascii="Arial" w:hAnsi="Arial" w:cs="Arial"/>
        </w:rPr>
        <w:t xml:space="preserve"> and 75</w:t>
      </w:r>
      <w:r w:rsidRPr="00A20A4D">
        <w:rPr>
          <w:rFonts w:ascii="Arial" w:hAnsi="Arial" w:cs="Arial"/>
          <w:vertAlign w:val="superscript"/>
        </w:rPr>
        <w:t>th</w:t>
      </w:r>
      <w:r w:rsidRPr="00A20A4D">
        <w:rPr>
          <w:rFonts w:ascii="Arial" w:hAnsi="Arial" w:cs="Arial"/>
        </w:rPr>
        <w:t xml:space="preserve"> percentiles (dashed green lines), 10</w:t>
      </w:r>
      <w:r w:rsidRPr="00A20A4D">
        <w:rPr>
          <w:rFonts w:ascii="Arial" w:hAnsi="Arial" w:cs="Arial"/>
          <w:vertAlign w:val="superscript"/>
        </w:rPr>
        <w:t>th</w:t>
      </w:r>
      <w:r w:rsidRPr="00A20A4D">
        <w:rPr>
          <w:rFonts w:ascii="Arial" w:hAnsi="Arial" w:cs="Arial"/>
        </w:rPr>
        <w:t xml:space="preserve"> and 90</w:t>
      </w:r>
      <w:r w:rsidRPr="00A20A4D">
        <w:rPr>
          <w:rFonts w:ascii="Arial" w:hAnsi="Arial" w:cs="Arial"/>
          <w:vertAlign w:val="superscript"/>
        </w:rPr>
        <w:t>th</w:t>
      </w:r>
      <w:r w:rsidRPr="00A20A4D">
        <w:rPr>
          <w:rFonts w:ascii="Arial" w:hAnsi="Arial" w:cs="Arial"/>
        </w:rPr>
        <w:t xml:space="preserve"> percentiles (dash-dotted yellow lines), and 2.5</w:t>
      </w:r>
      <w:r w:rsidRPr="00A20A4D">
        <w:rPr>
          <w:rFonts w:ascii="Arial" w:hAnsi="Arial" w:cs="Arial"/>
          <w:vertAlign w:val="superscript"/>
        </w:rPr>
        <w:t>th</w:t>
      </w:r>
      <w:r w:rsidRPr="00A20A4D">
        <w:rPr>
          <w:rFonts w:ascii="Arial" w:hAnsi="Arial" w:cs="Arial"/>
        </w:rPr>
        <w:t xml:space="preserve"> and 97.5</w:t>
      </w:r>
      <w:r w:rsidRPr="00A20A4D">
        <w:rPr>
          <w:rFonts w:ascii="Arial" w:hAnsi="Arial" w:cs="Arial"/>
          <w:vertAlign w:val="superscript"/>
        </w:rPr>
        <w:t>th</w:t>
      </w:r>
      <w:r w:rsidRPr="00A20A4D">
        <w:rPr>
          <w:rFonts w:ascii="Arial" w:hAnsi="Arial" w:cs="Arial"/>
        </w:rPr>
        <w:t xml:space="preserve"> percentiles (dotted red lines). Panels A and B shows our results in comparison to reference intervals from the CALIPER study (dashed black lines, </w:t>
      </w:r>
      <w:r w:rsidRPr="00A20A4D">
        <w:rPr>
          <w:rFonts w:ascii="Arial" w:hAnsi="Arial" w:cs="Arial"/>
        </w:rPr>
        <w:fldChar w:fldCharType="begin"/>
      </w:r>
      <w:r w:rsidRPr="00A20A4D">
        <w:rPr>
          <w:rFonts w:ascii="Arial" w:hAnsi="Arial" w:cs="Arial"/>
        </w:rPr>
        <w:instrText xml:space="preserve"> ADDIN ZOTERO_ITEM CSL_CITATION {"citationID":"FEervNgp","properties":{"formattedCitation":"[26]","plainCitation":"[26]","noteIndex":0},"citationItems":[{"id":246,"uris":["http://zotero.org/users/1724655/items/KI6RC9NF"],"uri":["http://zotero.org/users/1724655/items/KI6RC9NF"],"itemData":{"id":246,"type":"article-journal","abstract":"BACKGROUND: Pediatric healthcare is critically dependent on the availability of accurate and precise laboratory biomarkers of pediatric disease, and on the availability of reference intervals to allow appropriate clinical interpretation. The development and growth of children profoundly influence normal circulating concentrations of biochemical markers and thus the respective reference intervals. There are currently substantial gaps in our knowledge of the influences of age, sex, and ethnicity on reference intervals. We report a comprehensive covariate-stratified reference interval database established from a healthy, nonhospitalized, and multiethnic pediatric population.\nMETHODS: Healthy children and adolescents (n = 2188, newborn to 18 years of age) were recruited from a multiethnic population with informed parental consent and were assessed from completed questionnaires and according to defined exclusion criteria. Whole-blood samples were collected for establishing age- and sex-stratified reference intervals for 40 serum biochemical markers (serum chemistry, enzymes, lipids, proteins) on the Abbott ARCHITECT c8000 analyzer.\nRESULTS: Reference intervals were generated according to CLSI C28-A3 statistical guidelines. Caucasians, East Asians, and South Asian participants were evaluated with respect to the influence of ethnicity, and statistically significant differences were observed for 7 specific biomarkers.\nCONCLUSIONS: The establishment of a new comprehensive database of pediatric reference intervals is part of the Canadian Laboratory Initiative in Pediatric Reference Intervals (CALIPER). It should assist laboratorians and pediatricians in interpreting test results more accurately and thereby lead to improved diagnosis of childhood diseases and reduced patient risk. The database will also be of global benefit once reference intervals are validated in transference studies with other analytical platforms and local populations, as recommended by the CLSI.","container-title":"Clinical chemistry","DOI":"10.1373/clinchem.2011.177741","ISSN":"1530-8561","issue":"5","journalAbbreviation":"Clin. Chem.","language":"eng","note":"PMID: 22371482","page":"854-868","source":"NCBI PubMed","title":"Closing the gaps in pediatric laboratory reference intervals: a CALIPER database of 40 biochemical markers in a healthy and multiethnic population of children","title-short":"Closing the gaps in pediatric laboratory reference intervals","volume":"58","author":[{"family":"Colantonio","given":"David A"},{"family":"Kyriakopoulou","given":"Lianna"},{"family":"Chan","given":"Man Khun"},{"family":"Daly","given":"Caitlin H"},{"family":"Brinc","given":"Davor"},{"family":"Venner","given":"Allison A"},{"family":"Pasic","given":"Maria D"},{"family":"Armbruster","given":"David"},{"family":"Adeli","given":"Khosrow"}],"issued":{"date-parts":[["2012",5]]}}}],"schema":"https://github.com/citation-style-language/schema/raw/master/csl-citation.json"} </w:instrText>
      </w:r>
      <w:r w:rsidRPr="00A20A4D">
        <w:rPr>
          <w:rFonts w:ascii="Arial" w:hAnsi="Arial" w:cs="Arial"/>
        </w:rPr>
        <w:fldChar w:fldCharType="separate"/>
      </w:r>
      <w:r w:rsidRPr="00A20A4D">
        <w:rPr>
          <w:rFonts w:ascii="Arial" w:hAnsi="Arial" w:cs="Arial"/>
        </w:rPr>
        <w:t>[26]</w:t>
      </w:r>
      <w:r w:rsidRPr="00A20A4D">
        <w:rPr>
          <w:rFonts w:ascii="Arial" w:hAnsi="Arial" w:cs="Arial"/>
        </w:rPr>
        <w:fldChar w:fldCharType="end"/>
      </w:r>
      <w:r w:rsidRPr="00A20A4D">
        <w:rPr>
          <w:rFonts w:ascii="Arial" w:hAnsi="Arial" w:cs="Arial"/>
        </w:rPr>
        <w:t xml:space="preserve"> and </w:t>
      </w:r>
      <w:r w:rsidRPr="00A20A4D">
        <w:rPr>
          <w:rFonts w:ascii="Arial" w:hAnsi="Arial" w:cs="Arial"/>
        </w:rPr>
        <w:fldChar w:fldCharType="begin"/>
      </w:r>
      <w:r w:rsidRPr="00A20A4D">
        <w:rPr>
          <w:rFonts w:ascii="Arial" w:hAnsi="Arial" w:cs="Arial"/>
        </w:rPr>
        <w:instrText xml:space="preserve"> ADDIN ZOTERO_ITEM CSL_CITATION {"citationID":"mlXR9eim","properties":{"formattedCitation":"[6]","plainCitation":"[6]","noteIndex":0},"citationItems":[{"id":1451,"uris":["http://zotero.org/users/1724655/items/FFH88ZLT"],"uri":["http://zotero.org/users/1724655/items/FFH88ZLT"],"itemData":{"id":1451,"type":"article-journal","abstract":"BACKGROUND: Reference intervals have traditionally been partitioned by age based on statistical significance and physiological relevance. However, analyte concentration does not change abruptly with age, but rather dynamically. In this study, we establish biochemical marker continuous reference intervals for a Canadian population using healthy pediatric reference individuals and compare these to partitioned reference intervals.\nMETHODS: Continuous reference intervals spanning 1-18.5 years of age were established using data from healthy CALIPER children and adolescents aged 6 months- &lt; 19 years. Continuous reference intervals (i.e. 2.5th and 97.5th quantiles) were generated by nonparametric quantile regression via penalized splines with non-crossing constraints. Abnormal flagging rates of established continuous reference intervals were compared to previously established age-partitioned CALIPER reference intervals for five biochemical markers using internal (CALIPER) and external (i.e. Canadian Health Measures Survey (CHMS)) datasets.\nRESULTS: Continuous reference intervals were determined for 38 biochemical markers, with 21 markers requiring sex-specific reference intervals. Despite similar total flagging rates to partitioned reference intervals, continuous reference intervals appeared to provide a more consistent and accurate estimation of reference limits for biomarkers with more complex age-related changes, including alkaline phosphatase and phosphate.\nCONCLUSIONS: This is the first report of continuous biochemical marker reference intervals based on a healthy Canadian pediatric population. Reference limit point estimates based on continuous reference intervals are provided to aid clinical implementation. Continuous reference intervals offer a better estimation of dynamic changes in biochemical marker reference values with age, resulting in improved laboratory test result interpretation and clinical decision making in pediatrics.","container-title":"Clinical Biochemistry","DOI":"10.1016/j.clinbiochem.2019.08.010","ISSN":"1873-2933","journalAbbreviation":"Clin Biochem","language":"eng","note":"PMID: 31445880","page":"82-89","source":"PubMed","title":"Continuous reference intervals for 38 biochemical markers in healthy children and adolescents: Comparisons to traditionally partitioned reference intervals","title-short":"Continuous reference intervals for 38 biochemical markers in healthy children and adolescents","volume":"73","author":[{"family":"Asgari","given":"Shervin"},{"family":"Higgins","given":"Victoria"},{"family":"McCudden","given":"Christopher"},{"family":"Adeli","given":"Khosrow"}],"issued":{"date-parts":[["2019",11]]}}}],"schema":"https://github.com/citation-style-language/schema/raw/master/csl-citation.json"} </w:instrText>
      </w:r>
      <w:r w:rsidRPr="00A20A4D">
        <w:rPr>
          <w:rFonts w:ascii="Arial" w:hAnsi="Arial" w:cs="Arial"/>
        </w:rPr>
        <w:fldChar w:fldCharType="separate"/>
      </w:r>
      <w:r w:rsidRPr="00A20A4D">
        <w:rPr>
          <w:rFonts w:ascii="Arial" w:hAnsi="Arial" w:cs="Arial"/>
        </w:rPr>
        <w:t>[6]</w:t>
      </w:r>
      <w:r w:rsidRPr="00A20A4D">
        <w:rPr>
          <w:rFonts w:ascii="Arial" w:hAnsi="Arial" w:cs="Arial"/>
        </w:rPr>
        <w:fldChar w:fldCharType="end"/>
      </w:r>
      <w:r w:rsidRPr="00A20A4D">
        <w:rPr>
          <w:rFonts w:ascii="Arial" w:hAnsi="Arial" w:cs="Arial"/>
        </w:rPr>
        <w:t xml:space="preserve">, Abbott ARCHITECT c8000), and panel C compares our results to HAPPI Kids data (dashed black lines, </w:t>
      </w:r>
      <w:r w:rsidRPr="00A20A4D">
        <w:rPr>
          <w:rFonts w:ascii="Arial" w:hAnsi="Arial" w:cs="Arial"/>
        </w:rPr>
        <w:fldChar w:fldCharType="begin"/>
      </w:r>
      <w:r w:rsidRPr="00A20A4D">
        <w:rPr>
          <w:rFonts w:ascii="Arial" w:hAnsi="Arial" w:cs="Arial"/>
        </w:rPr>
        <w:instrText xml:space="preserve"> ADDIN ZOTERO_ITEM CSL_CITATION {"citationID":"qT8kMJh3","properties":{"formattedCitation":"[7]","plainCitation":"[7]","noteIndex":0},"citationItems":[{"id":186,"uris":["http://zotero.org/users/1724655/items/NISWJYA2"],"uri":["http://zotero.org/users/1724655/items/NISWJYA2"],"itemData":{"id":186,"type":"article-journal","abstract":"BACKGROUND: Age-specific reference intervals (RIs) have been developed for biochemistry analytes in children. However, the ability to interpret results from multiple laboratories for 1 individual is limited. This study reports a head-to-head comparison of reference values and age-specific RIs for 30 biochemistry analytes for children across 5 analyzer types.\nMETHODS: Blood was collected from healthy newborns and children 30 days to &lt;18 years of age. Serum aliquots from the same individual were analyzed on 5 analyzer types. Differences in the mean reference values of the analytes by the analyzer types were investigated using mixed-effect regression analysis and by comparing maximum variation between analyzers with analyte-specific allowable total error reported in the Westgard QC database. Quantile regression was used to estimate age-specific RIs using power variables in age selected by fractional polynomial regression for the mean, with modification by sex when appropriate.\nRESULTS: The variations of age-specific mean reference values between analyzer types were within allowable total error (Westgard QC) for most analytes, and common age-specific reference limits were reported as functions of age and/or sex. Analyzer-specific reference limits for all analytes on 5 analyzer types are also reported as functions of age and/or sex.\nCONCLUSIONS: This study provides quantitative and qualitative measures of the extent to which results for individual children can or cannot be compared across analyzer types, and the feasibility of RI harmonization. The reported equations enable incorporation of age-specific RIs into laboratory information systems for improving evidence-based clinical decisions in children.","container-title":"Clinical Chemistry","DOI":"10.1373/clinchem.2019.306431","ISSN":"1530-8561","issue":"10","journalAbbreviation":"Clin. Chem.","language":"eng","note":"PMID: 31481458","page":"1317-1326","source":"PubMed","title":"Reference Values for 30 Common Biochemistry Analytes Across 5 Different Analyzers in Neonates and Children 30 Days to 18 Years of Age","volume":"65","author":[{"family":"Hoq","given":"Monsurul"},{"family":"Matthews","given":"Susan"},{"family":"Karlaftis","given":"Vicky"},{"family":"Burgess","given":"Janet"},{"family":"Cowley","given":"Jessica"},{"family":"Donath","given":"Susan"},{"family":"Carlin","given":"John"},{"family":"Yen","given":"Tina"},{"family":"Ignjatovic","given":"Vera"},{"family":"Monagle","given":"Paul"},{"literal":"HAPPI Kids study team"}],"issued":{"date-parts":[["2019",10]]}}}],"schema":"https://github.com/citation-style-language/schema/raw/master/csl-citation.json"} </w:instrText>
      </w:r>
      <w:r w:rsidRPr="00A20A4D">
        <w:rPr>
          <w:rFonts w:ascii="Arial" w:hAnsi="Arial" w:cs="Arial"/>
        </w:rPr>
        <w:fldChar w:fldCharType="separate"/>
      </w:r>
      <w:r w:rsidRPr="00A20A4D">
        <w:rPr>
          <w:rFonts w:ascii="Arial" w:hAnsi="Arial" w:cs="Arial"/>
        </w:rPr>
        <w:t>[7]</w:t>
      </w:r>
      <w:r w:rsidRPr="00A20A4D">
        <w:rPr>
          <w:rFonts w:ascii="Arial" w:hAnsi="Arial" w:cs="Arial"/>
        </w:rPr>
        <w:fldChar w:fldCharType="end"/>
      </w:r>
      <w:r w:rsidRPr="00A20A4D">
        <w:rPr>
          <w:rFonts w:ascii="Arial" w:hAnsi="Arial" w:cs="Arial"/>
        </w:rPr>
        <w:t xml:space="preserve"> , measured on 5 different analyzers*). A comparison of this report’s results to previously reported reference intervals from our group (dashed black lines, </w:t>
      </w:r>
      <w:r w:rsidRPr="00A20A4D">
        <w:rPr>
          <w:rFonts w:ascii="Arial" w:hAnsi="Arial" w:cs="Arial"/>
        </w:rPr>
        <w:fldChar w:fldCharType="begin"/>
      </w:r>
      <w:r w:rsidRPr="00A20A4D">
        <w:rPr>
          <w:rFonts w:ascii="Arial" w:hAnsi="Arial" w:cs="Arial"/>
        </w:rPr>
        <w:instrText xml:space="preserve"> ADDIN ZOTERO_ITEM CSL_CITATION {"citationID":"3zLZyGgT","properties":{"formattedCitation":"[11]","plainCitation":"[11]","noteIndex":0},"citationItems":[{"id":106,"uris":["http://zotero.org/users/1724655/items/XDI4WP6F"],"uri":["http://zotero.org/users/1724655/items/XDI4WP6F"],"itemData":{"id":106,"type":"article-journal","abstract":"BACKGROUND: Pediatric laboratory test results must be interpreted in the context of interindividual variation and age- and sex-dependent dynamics. Reference intervals as presently defined for separate age groups can only approximate the age-related dynamics encountered in pediatrics. Continuous reference intervals from birth to adulthood are not available for most laboratory analytes because of the ethical and practical constraints of defining reference intervals using a population of healthy community children. We applied an indirect method to generate continuous reference intervals for 22 hematologic and biochemical analytes by analyzing clinical laboratory data from blood samples taken during clinical care of patients.\nMETHODS: We included samples from 32 000 different inpatients and outpatients (167 000 samples per analyte) from a German pediatric tertiary care center. Measurements were performed on a Sysmex-XE 2100 and a Cobas Integra 800 during clinical care over a 6-year period. The distribution of samples considered normal was estimated with an established indirect statistical approach and used for the calculation of reference intervals.\nRESULTS: We provide continuous reference intervals from birth to adulthood for 9 hematology analytes (hemoglobin, hematocrit, red cell indices, red cell count, red cell distribution width, white cell count, and platelet count) and 13 biochemical analytes (sodium, chloride, potassium, calcium, magnesium, phosphate, creatinine, aspartate transaminase, alanine transaminase, γ-glutamyltransferase, alkaline phosphatase, lactate dehydrogenase, and total protein).\nCONCLUSIONS: Continuous reference intervals capture the population changes in laboratory analytes during pediatric development more accurately than age groups. After local validation, the reference intervals provided should allow a more precise consideration of these dynamics in clinical decision making.","container-title":"Clinical Chemistry","DOI":"10.1373/clinchem.2015.239731","ISSN":"1530-8561","issue":"7","journalAbbreviation":"Clin. Chem.","language":"eng","note":"PMID: 25967371","page":"964-973","source":"PubMed","title":"Age- and Sex-Specific Dynamics in 22 Hematologic and Biochemical Analytes from Birth to Adolescence","volume":"61","author":[{"family":"Zierk","given":"Jakob"},{"family":"Arzideh","given":"Farhad"},{"family":"Rechenauer","given":"Tobias"},{"family":"Haeckel","given":"Rainer"},{"family":"Rascher","given":"Wolfgang"},{"family":"Metzler","given":"Markus"},{"family":"Rauh","given":"Manfred"}],"issued":{"date-parts":[["2015",7]]}}}],"schema":"https://github.com/citation-style-language/schema/raw/master/csl-citation.json"} </w:instrText>
      </w:r>
      <w:r w:rsidRPr="00A20A4D">
        <w:rPr>
          <w:rFonts w:ascii="Arial" w:hAnsi="Arial" w:cs="Arial"/>
        </w:rPr>
        <w:fldChar w:fldCharType="separate"/>
      </w:r>
      <w:r w:rsidRPr="00A20A4D">
        <w:rPr>
          <w:rFonts w:ascii="Arial" w:hAnsi="Arial" w:cs="Arial"/>
        </w:rPr>
        <w:t>[11]</w:t>
      </w:r>
      <w:r w:rsidRPr="00A20A4D">
        <w:rPr>
          <w:rFonts w:ascii="Arial" w:hAnsi="Arial" w:cs="Arial"/>
        </w:rPr>
        <w:fldChar w:fldCharType="end"/>
      </w:r>
      <w:r w:rsidRPr="00A20A4D">
        <w:rPr>
          <w:rFonts w:ascii="Arial" w:hAnsi="Arial" w:cs="Arial"/>
        </w:rPr>
        <w:t xml:space="preserve">) is shown in Panel D. The upper reference limits from CALIPER in neonates 0-15 days in panel </w:t>
      </w:r>
      <w:proofErr w:type="gramStart"/>
      <w:r w:rsidRPr="00A20A4D">
        <w:rPr>
          <w:rFonts w:ascii="Arial" w:hAnsi="Arial" w:cs="Arial"/>
        </w:rPr>
        <w:t>A</w:t>
      </w:r>
      <w:proofErr w:type="gramEnd"/>
      <w:r w:rsidRPr="00A20A4D">
        <w:rPr>
          <w:rFonts w:ascii="Arial" w:hAnsi="Arial" w:cs="Arial"/>
        </w:rPr>
        <w:t xml:space="preserve"> are outside the panel region (AST: 186 U/l, LDH: 1.222 U/l, phosphate: 3.4 </w:t>
      </w:r>
      <w:proofErr w:type="spellStart"/>
      <w:r w:rsidRPr="00A20A4D">
        <w:rPr>
          <w:rFonts w:ascii="Arial" w:hAnsi="Arial" w:cs="Arial"/>
        </w:rPr>
        <w:t>mmol</w:t>
      </w:r>
      <w:proofErr w:type="spellEnd"/>
      <w:r w:rsidRPr="00A20A4D">
        <w:rPr>
          <w:rFonts w:ascii="Arial" w:hAnsi="Arial" w:cs="Arial"/>
        </w:rPr>
        <w:t xml:space="preserve">/l) to enable identical y-axes in all figures. CALIPER: Canadian Laboratory Initiative on Pediatric Reference Intervals, HAPPI Kids: </w:t>
      </w:r>
      <w:proofErr w:type="spellStart"/>
      <w:r w:rsidRPr="00A20A4D">
        <w:rPr>
          <w:rFonts w:ascii="Arial" w:hAnsi="Arial" w:cs="Arial"/>
        </w:rPr>
        <w:t>Harmonising</w:t>
      </w:r>
      <w:proofErr w:type="spellEnd"/>
      <w:r w:rsidRPr="00A20A4D">
        <w:rPr>
          <w:rFonts w:ascii="Arial" w:hAnsi="Arial" w:cs="Arial"/>
        </w:rPr>
        <w:t xml:space="preserve"> Age Pathology Parameters in Kids. *Samples were measured on Ortho Clinical Diagnostics </w:t>
      </w:r>
      <w:proofErr w:type="spellStart"/>
      <w:r w:rsidRPr="00A20A4D">
        <w:rPr>
          <w:rFonts w:ascii="Arial" w:hAnsi="Arial" w:cs="Arial"/>
        </w:rPr>
        <w:t>Vitros</w:t>
      </w:r>
      <w:proofErr w:type="spellEnd"/>
      <w:r w:rsidRPr="00A20A4D">
        <w:rPr>
          <w:rFonts w:ascii="Arial" w:hAnsi="Arial" w:cs="Arial"/>
        </w:rPr>
        <w:t xml:space="preserve"> 5600, Abbott Architect c8000, Roche </w:t>
      </w:r>
      <w:proofErr w:type="spellStart"/>
      <w:r w:rsidRPr="00A20A4D">
        <w:rPr>
          <w:rFonts w:ascii="Arial" w:hAnsi="Arial" w:cs="Arial"/>
        </w:rPr>
        <w:t>Cobas</w:t>
      </w:r>
      <w:proofErr w:type="spellEnd"/>
      <w:r w:rsidRPr="00A20A4D">
        <w:rPr>
          <w:rFonts w:ascii="Arial" w:hAnsi="Arial" w:cs="Arial"/>
        </w:rPr>
        <w:t xml:space="preserve"> c701, Siemens ADVIA 1800, and Beckman Coulter AU5800 analyzers and common reference intervals are reported.</w:t>
      </w:r>
    </w:p>
    <w:p w:rsidR="00D95FE8" w:rsidRPr="00A20A4D" w:rsidRDefault="00D95FE8" w:rsidP="00A20A4D">
      <w:pPr>
        <w:spacing w:line="276" w:lineRule="auto"/>
        <w:rPr>
          <w:rFonts w:ascii="Arial" w:hAnsi="Arial" w:cs="Arial"/>
          <w:b/>
        </w:rPr>
        <w:sectPr w:rsidR="00D95FE8" w:rsidRPr="00A20A4D" w:rsidSect="00BE2DB3">
          <w:footnotePr>
            <w:numFmt w:val="chicago"/>
          </w:footnotePr>
          <w:pgSz w:w="16838" w:h="11906" w:orient="landscape"/>
          <w:pgMar w:top="720" w:right="720" w:bottom="720" w:left="720" w:header="709" w:footer="709" w:gutter="0"/>
          <w:cols w:space="708"/>
          <w:docGrid w:linePitch="360"/>
        </w:sectPr>
      </w:pPr>
    </w:p>
    <w:p w:rsidR="00D95FE8" w:rsidRPr="00A20A4D" w:rsidRDefault="00D95FE8" w:rsidP="00D95FE8">
      <w:pPr>
        <w:pStyle w:val="berschrift1"/>
        <w:rPr>
          <w:rFonts w:ascii="Arial" w:hAnsi="Arial" w:cs="Arial"/>
        </w:rPr>
      </w:pPr>
      <w:r w:rsidRPr="00A20A4D">
        <w:rPr>
          <w:rFonts w:ascii="Arial" w:hAnsi="Arial" w:cs="Arial"/>
        </w:rPr>
        <w:lastRenderedPageBreak/>
        <w:t>Supplemental Method details</w:t>
      </w:r>
    </w:p>
    <w:p w:rsidR="00D95FE8" w:rsidRPr="00A20A4D" w:rsidRDefault="00D95FE8" w:rsidP="00FB12DE">
      <w:pPr>
        <w:spacing w:after="0"/>
        <w:rPr>
          <w:rFonts w:ascii="Arial" w:hAnsi="Arial" w:cs="Arial"/>
          <w:b/>
        </w:rPr>
      </w:pPr>
      <w:r w:rsidRPr="00A20A4D">
        <w:rPr>
          <w:rFonts w:ascii="Arial" w:hAnsi="Arial" w:cs="Arial"/>
          <w:b/>
        </w:rPr>
        <w:t xml:space="preserve">Details regarding the exclusion of individual centers’ </w:t>
      </w:r>
      <w:proofErr w:type="spellStart"/>
      <w:r w:rsidRPr="00A20A4D">
        <w:rPr>
          <w:rFonts w:ascii="Arial" w:hAnsi="Arial" w:cs="Arial"/>
          <w:b/>
        </w:rPr>
        <w:t>analytes</w:t>
      </w:r>
      <w:proofErr w:type="spellEnd"/>
      <w:r w:rsidRPr="00A20A4D">
        <w:rPr>
          <w:rFonts w:ascii="Arial" w:hAnsi="Arial" w:cs="Arial"/>
          <w:b/>
        </w:rPr>
        <w:t>:</w:t>
      </w:r>
    </w:p>
    <w:p w:rsidR="00D95FE8" w:rsidRPr="00A20A4D" w:rsidRDefault="00D95FE8" w:rsidP="00A20A4D">
      <w:pPr>
        <w:spacing w:after="0" w:line="276" w:lineRule="auto"/>
        <w:rPr>
          <w:rFonts w:ascii="Arial" w:hAnsi="Arial" w:cs="Arial"/>
        </w:rPr>
      </w:pPr>
      <w:r w:rsidRPr="00A20A4D">
        <w:rPr>
          <w:rFonts w:ascii="Arial" w:hAnsi="Arial" w:cs="Arial"/>
        </w:rPr>
        <w:t xml:space="preserve">We excluded potassium measurements from centers E and H, creatinine from center E, albumin from center G, AST from center H, ALT from center M, and magnesium from center H. This exclusion was performed primarily data-driven, i.e. by analysis of center-specific medians in comparison to the all-center median and the other centers’ medians and under consideration of published Total Error criteria. A subsequent analysis of the excluded </w:t>
      </w:r>
      <w:proofErr w:type="spellStart"/>
      <w:r w:rsidRPr="00A20A4D">
        <w:rPr>
          <w:rFonts w:ascii="Arial" w:hAnsi="Arial" w:cs="Arial"/>
        </w:rPr>
        <w:t>analytes</w:t>
      </w:r>
      <w:proofErr w:type="spellEnd"/>
      <w:r w:rsidRPr="00A20A4D">
        <w:rPr>
          <w:rFonts w:ascii="Arial" w:hAnsi="Arial" w:cs="Arial"/>
        </w:rPr>
        <w:t xml:space="preserve"> and centers shows the following differences:</w:t>
      </w:r>
    </w:p>
    <w:p w:rsidR="00D95FE8" w:rsidRPr="00A20A4D" w:rsidRDefault="00D95FE8" w:rsidP="00A20A4D">
      <w:pPr>
        <w:pStyle w:val="Listenabsatz"/>
        <w:numPr>
          <w:ilvl w:val="0"/>
          <w:numId w:val="9"/>
        </w:numPr>
        <w:spacing w:after="0" w:line="276" w:lineRule="auto"/>
        <w:rPr>
          <w:rFonts w:ascii="Arial" w:hAnsi="Arial" w:cs="Arial"/>
        </w:rPr>
      </w:pPr>
      <w:r w:rsidRPr="00A20A4D">
        <w:rPr>
          <w:rFonts w:ascii="Arial" w:hAnsi="Arial" w:cs="Arial"/>
        </w:rPr>
        <w:t>Centers E and H are laboratory service providers serving mainly private practices, resulting in much longer storage/transportation time of blood samples (as opposed to the other centers, which are located in the hospitals they serve), explaining the exclusion of potassium from these centers due to more hemolysis.</w:t>
      </w:r>
    </w:p>
    <w:p w:rsidR="00D95FE8" w:rsidRPr="00A20A4D" w:rsidRDefault="00D95FE8" w:rsidP="00A20A4D">
      <w:pPr>
        <w:pStyle w:val="Listenabsatz"/>
        <w:numPr>
          <w:ilvl w:val="0"/>
          <w:numId w:val="9"/>
        </w:numPr>
        <w:spacing w:after="0" w:line="276" w:lineRule="auto"/>
        <w:rPr>
          <w:rFonts w:ascii="Arial" w:hAnsi="Arial" w:cs="Arial"/>
        </w:rPr>
      </w:pPr>
      <w:r w:rsidRPr="00A20A4D">
        <w:rPr>
          <w:rFonts w:ascii="Arial" w:hAnsi="Arial" w:cs="Arial"/>
        </w:rPr>
        <w:t xml:space="preserve">Creatinine in center E is measured using </w:t>
      </w:r>
      <w:proofErr w:type="spellStart"/>
      <w:r w:rsidRPr="00A20A4D">
        <w:rPr>
          <w:rFonts w:ascii="Arial" w:hAnsi="Arial" w:cs="Arial"/>
        </w:rPr>
        <w:t>Jaffé</w:t>
      </w:r>
      <w:proofErr w:type="spellEnd"/>
      <w:r w:rsidRPr="00A20A4D">
        <w:rPr>
          <w:rFonts w:ascii="Arial" w:hAnsi="Arial" w:cs="Arial"/>
        </w:rPr>
        <w:t>, as opposed to the other centers, which use enzymatic methods (or reflex testing with enzymatic methods in case of interferences [center D only]).</w:t>
      </w:r>
    </w:p>
    <w:p w:rsidR="00D95FE8" w:rsidRPr="00A20A4D" w:rsidRDefault="00D95FE8" w:rsidP="00A20A4D">
      <w:pPr>
        <w:pStyle w:val="Listenabsatz"/>
        <w:numPr>
          <w:ilvl w:val="0"/>
          <w:numId w:val="9"/>
        </w:numPr>
        <w:spacing w:after="0" w:line="276" w:lineRule="auto"/>
        <w:rPr>
          <w:rFonts w:ascii="Arial" w:hAnsi="Arial" w:cs="Arial"/>
        </w:rPr>
      </w:pPr>
      <w:r w:rsidRPr="00A20A4D">
        <w:rPr>
          <w:rFonts w:ascii="Arial" w:hAnsi="Arial" w:cs="Arial"/>
        </w:rPr>
        <w:t xml:space="preserve">Albumin in center G is measured by an </w:t>
      </w:r>
      <w:proofErr w:type="spellStart"/>
      <w:r w:rsidRPr="00A20A4D">
        <w:rPr>
          <w:rFonts w:ascii="Arial" w:hAnsi="Arial" w:cs="Arial"/>
        </w:rPr>
        <w:t>immunoturbimetric</w:t>
      </w:r>
      <w:proofErr w:type="spellEnd"/>
      <w:r w:rsidRPr="00A20A4D">
        <w:rPr>
          <w:rFonts w:ascii="Arial" w:hAnsi="Arial" w:cs="Arial"/>
        </w:rPr>
        <w:t xml:space="preserve"> assay, as opposed to </w:t>
      </w:r>
      <w:proofErr w:type="spellStart"/>
      <w:r w:rsidRPr="00A20A4D">
        <w:rPr>
          <w:rFonts w:ascii="Arial" w:hAnsi="Arial" w:cs="Arial"/>
        </w:rPr>
        <w:t>bromcresol</w:t>
      </w:r>
      <w:proofErr w:type="spellEnd"/>
      <w:r w:rsidRPr="00A20A4D">
        <w:rPr>
          <w:rFonts w:ascii="Arial" w:hAnsi="Arial" w:cs="Arial"/>
        </w:rPr>
        <w:t xml:space="preserve"> methods.</w:t>
      </w:r>
    </w:p>
    <w:p w:rsidR="00D95FE8" w:rsidRPr="00A20A4D" w:rsidRDefault="00D95FE8" w:rsidP="00A20A4D">
      <w:pPr>
        <w:spacing w:after="0" w:line="276" w:lineRule="auto"/>
        <w:rPr>
          <w:rFonts w:ascii="Arial" w:hAnsi="Arial" w:cs="Arial"/>
        </w:rPr>
      </w:pPr>
      <w:r w:rsidRPr="00A20A4D">
        <w:rPr>
          <w:rFonts w:ascii="Arial" w:hAnsi="Arial" w:cs="Arial"/>
        </w:rPr>
        <w:t>The remaining exclusions (center H: AST, Magnesium, center M: ALT) cannot be explained by specific differences in measurement methods or pre-analytical differences. As data-driven analysis of center-specific medians has clearly identified the differences listed above, we assume that the remaining exclusions are also due to specific differences, which we attribute to population differences and calibration differences (without being able to definitely prove this).</w:t>
      </w:r>
    </w:p>
    <w:p w:rsidR="000B3C07" w:rsidRPr="00A20A4D" w:rsidRDefault="00FB12DE" w:rsidP="00A20A4D">
      <w:pPr>
        <w:spacing w:line="276" w:lineRule="auto"/>
        <w:rPr>
          <w:rFonts w:ascii="Arial" w:hAnsi="Arial" w:cs="Arial"/>
        </w:rPr>
      </w:pPr>
    </w:p>
    <w:sectPr w:rsidR="000B3C07" w:rsidRPr="00A20A4D" w:rsidSect="00335A1E">
      <w:footnotePr>
        <w:numFmt w:val="chicago"/>
      </w:footnotePr>
      <w:pgSz w:w="11906" w:h="16838"/>
      <w:pgMar w:top="1417" w:right="1134"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30082"/>
    <w:multiLevelType w:val="hybridMultilevel"/>
    <w:tmpl w:val="455C3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285321"/>
    <w:multiLevelType w:val="hybridMultilevel"/>
    <w:tmpl w:val="7DDA9A5A"/>
    <w:lvl w:ilvl="0" w:tplc="6344842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3E56F1"/>
    <w:multiLevelType w:val="hybridMultilevel"/>
    <w:tmpl w:val="669E5A3C"/>
    <w:lvl w:ilvl="0" w:tplc="4A58790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D53933"/>
    <w:multiLevelType w:val="hybridMultilevel"/>
    <w:tmpl w:val="CD221B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BA1FCB"/>
    <w:multiLevelType w:val="hybridMultilevel"/>
    <w:tmpl w:val="DDE67F9C"/>
    <w:lvl w:ilvl="0" w:tplc="FA40061C">
      <w:start w:val="1"/>
      <w:numFmt w:val="bullet"/>
      <w:lvlText w:val=""/>
      <w:lvlJc w:val="left"/>
      <w:pPr>
        <w:ind w:left="720" w:hanging="360"/>
      </w:pPr>
      <w:rPr>
        <w:rFonts w:ascii="Symbol" w:hAnsi="Symbol" w:hint="default"/>
      </w:rPr>
    </w:lvl>
    <w:lvl w:ilvl="1" w:tplc="C90C5A4C">
      <w:start w:val="1"/>
      <w:numFmt w:val="bullet"/>
      <w:lvlText w:val="o"/>
      <w:lvlJc w:val="left"/>
      <w:pPr>
        <w:ind w:left="1440" w:hanging="360"/>
      </w:pPr>
      <w:rPr>
        <w:rFonts w:ascii="Courier New" w:hAnsi="Courier New" w:hint="default"/>
      </w:rPr>
    </w:lvl>
    <w:lvl w:ilvl="2" w:tplc="98DE1B5E">
      <w:start w:val="1"/>
      <w:numFmt w:val="bullet"/>
      <w:lvlText w:val=""/>
      <w:lvlJc w:val="left"/>
      <w:pPr>
        <w:ind w:left="2160" w:hanging="360"/>
      </w:pPr>
      <w:rPr>
        <w:rFonts w:ascii="Wingdings" w:hAnsi="Wingdings" w:hint="default"/>
      </w:rPr>
    </w:lvl>
    <w:lvl w:ilvl="3" w:tplc="2AF42BC0">
      <w:start w:val="1"/>
      <w:numFmt w:val="bullet"/>
      <w:lvlText w:val=""/>
      <w:lvlJc w:val="left"/>
      <w:pPr>
        <w:ind w:left="2880" w:hanging="360"/>
      </w:pPr>
      <w:rPr>
        <w:rFonts w:ascii="Symbol" w:hAnsi="Symbol" w:hint="default"/>
      </w:rPr>
    </w:lvl>
    <w:lvl w:ilvl="4" w:tplc="AA2CD000">
      <w:start w:val="1"/>
      <w:numFmt w:val="bullet"/>
      <w:lvlText w:val="o"/>
      <w:lvlJc w:val="left"/>
      <w:pPr>
        <w:ind w:left="3600" w:hanging="360"/>
      </w:pPr>
      <w:rPr>
        <w:rFonts w:ascii="Courier New" w:hAnsi="Courier New" w:hint="default"/>
      </w:rPr>
    </w:lvl>
    <w:lvl w:ilvl="5" w:tplc="09182616">
      <w:start w:val="1"/>
      <w:numFmt w:val="bullet"/>
      <w:lvlText w:val=""/>
      <w:lvlJc w:val="left"/>
      <w:pPr>
        <w:ind w:left="4320" w:hanging="360"/>
      </w:pPr>
      <w:rPr>
        <w:rFonts w:ascii="Wingdings" w:hAnsi="Wingdings" w:hint="default"/>
      </w:rPr>
    </w:lvl>
    <w:lvl w:ilvl="6" w:tplc="96720ECE">
      <w:start w:val="1"/>
      <w:numFmt w:val="bullet"/>
      <w:lvlText w:val=""/>
      <w:lvlJc w:val="left"/>
      <w:pPr>
        <w:ind w:left="5040" w:hanging="360"/>
      </w:pPr>
      <w:rPr>
        <w:rFonts w:ascii="Symbol" w:hAnsi="Symbol" w:hint="default"/>
      </w:rPr>
    </w:lvl>
    <w:lvl w:ilvl="7" w:tplc="451E1FDE">
      <w:start w:val="1"/>
      <w:numFmt w:val="bullet"/>
      <w:lvlText w:val="o"/>
      <w:lvlJc w:val="left"/>
      <w:pPr>
        <w:ind w:left="5760" w:hanging="360"/>
      </w:pPr>
      <w:rPr>
        <w:rFonts w:ascii="Courier New" w:hAnsi="Courier New" w:hint="default"/>
      </w:rPr>
    </w:lvl>
    <w:lvl w:ilvl="8" w:tplc="DCE27636">
      <w:start w:val="1"/>
      <w:numFmt w:val="bullet"/>
      <w:lvlText w:val=""/>
      <w:lvlJc w:val="left"/>
      <w:pPr>
        <w:ind w:left="6480" w:hanging="360"/>
      </w:pPr>
      <w:rPr>
        <w:rFonts w:ascii="Wingdings" w:hAnsi="Wingdings" w:hint="default"/>
      </w:rPr>
    </w:lvl>
  </w:abstractNum>
  <w:abstractNum w:abstractNumId="5" w15:restartNumberingAfterBreak="0">
    <w:nsid w:val="49910B7A"/>
    <w:multiLevelType w:val="hybridMultilevel"/>
    <w:tmpl w:val="E1B44FC0"/>
    <w:lvl w:ilvl="0" w:tplc="5094A36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065971"/>
    <w:multiLevelType w:val="hybridMultilevel"/>
    <w:tmpl w:val="3C6EA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A37679"/>
    <w:multiLevelType w:val="hybridMultilevel"/>
    <w:tmpl w:val="7902DF52"/>
    <w:lvl w:ilvl="0" w:tplc="EF4E2D4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5827DD"/>
    <w:multiLevelType w:val="hybridMultilevel"/>
    <w:tmpl w:val="5C34A5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7"/>
  </w:num>
  <w:num w:numId="5">
    <w:abstractNumId w:val="5"/>
  </w:num>
  <w:num w:numId="6">
    <w:abstractNumId w:val="2"/>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FE8"/>
    <w:rsid w:val="000D2011"/>
    <w:rsid w:val="004743E6"/>
    <w:rsid w:val="00A20A4D"/>
    <w:rsid w:val="00BC1D6A"/>
    <w:rsid w:val="00C15F65"/>
    <w:rsid w:val="00D324F1"/>
    <w:rsid w:val="00D95FE8"/>
    <w:rsid w:val="00FB12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7A223-6DCE-4DF4-8D0E-7D0DD57C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95FE8"/>
    <w:pPr>
      <w:spacing w:after="240" w:line="480" w:lineRule="auto"/>
    </w:pPr>
    <w:rPr>
      <w:lang w:val="en-US"/>
    </w:rPr>
  </w:style>
  <w:style w:type="paragraph" w:styleId="berschrift1">
    <w:name w:val="heading 1"/>
    <w:aliases w:val="Überschrift (mit Seitenumbruch)"/>
    <w:basedOn w:val="Standard"/>
    <w:next w:val="Standard"/>
    <w:link w:val="berschrift1Zchn"/>
    <w:uiPriority w:val="9"/>
    <w:qFormat/>
    <w:rsid w:val="00D95FE8"/>
    <w:pPr>
      <w:keepNext/>
      <w:keepLines/>
      <w:pageBreakBefore/>
      <w:spacing w:after="0"/>
      <w:outlineLvl w:val="0"/>
    </w:pPr>
    <w:rPr>
      <w:rFonts w:asciiTheme="majorHAnsi" w:eastAsiaTheme="majorEastAsia" w:hAnsiTheme="majorHAnsi" w:cstheme="majorBidi"/>
      <w:b/>
      <w:bCs/>
      <w:szCs w:val="28"/>
      <w:u w:val="single"/>
    </w:rPr>
  </w:style>
  <w:style w:type="paragraph" w:styleId="berschrift2">
    <w:name w:val="heading 2"/>
    <w:aliases w:val="Überschrift (kein Seitenumbruch)"/>
    <w:basedOn w:val="Standard"/>
    <w:next w:val="Standard"/>
    <w:link w:val="berschrift2Zchn"/>
    <w:uiPriority w:val="9"/>
    <w:unhideWhenUsed/>
    <w:qFormat/>
    <w:rsid w:val="00D95FE8"/>
    <w:pPr>
      <w:keepNext/>
      <w:keepLines/>
      <w:spacing w:after="0"/>
      <w:outlineLvl w:val="1"/>
    </w:pPr>
    <w:rPr>
      <w:rFonts w:asciiTheme="majorHAnsi" w:eastAsiaTheme="majorEastAsia" w:hAnsiTheme="majorHAnsi"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mit Seitenumbruch) Zchn"/>
    <w:basedOn w:val="Absatz-Standardschriftart"/>
    <w:link w:val="berschrift1"/>
    <w:uiPriority w:val="9"/>
    <w:rsid w:val="00D95FE8"/>
    <w:rPr>
      <w:rFonts w:asciiTheme="majorHAnsi" w:eastAsiaTheme="majorEastAsia" w:hAnsiTheme="majorHAnsi" w:cstheme="majorBidi"/>
      <w:b/>
      <w:bCs/>
      <w:szCs w:val="28"/>
      <w:u w:val="single"/>
      <w:lang w:val="en-US"/>
    </w:rPr>
  </w:style>
  <w:style w:type="character" w:customStyle="1" w:styleId="berschrift2Zchn">
    <w:name w:val="Überschrift 2 Zchn"/>
    <w:aliases w:val="Überschrift (kein Seitenumbruch) Zchn"/>
    <w:basedOn w:val="Absatz-Standardschriftart"/>
    <w:link w:val="berschrift2"/>
    <w:uiPriority w:val="9"/>
    <w:rsid w:val="00D95FE8"/>
    <w:rPr>
      <w:rFonts w:asciiTheme="majorHAnsi" w:eastAsiaTheme="majorEastAsia" w:hAnsiTheme="majorHAnsi" w:cstheme="majorBidi"/>
      <w:b/>
      <w:bCs/>
      <w:szCs w:val="26"/>
      <w:lang w:val="en-US"/>
    </w:rPr>
  </w:style>
  <w:style w:type="paragraph" w:styleId="Listenabsatz">
    <w:name w:val="List Paragraph"/>
    <w:basedOn w:val="Standard"/>
    <w:uiPriority w:val="34"/>
    <w:qFormat/>
    <w:rsid w:val="00D95FE8"/>
    <w:pPr>
      <w:ind w:left="720"/>
      <w:contextualSpacing/>
    </w:pPr>
  </w:style>
  <w:style w:type="character" w:styleId="Kommentarzeichen">
    <w:name w:val="annotation reference"/>
    <w:basedOn w:val="Absatz-Standardschriftart"/>
    <w:uiPriority w:val="99"/>
    <w:semiHidden/>
    <w:unhideWhenUsed/>
    <w:rsid w:val="00D95FE8"/>
    <w:rPr>
      <w:sz w:val="16"/>
      <w:szCs w:val="16"/>
    </w:rPr>
  </w:style>
  <w:style w:type="paragraph" w:styleId="Kommentartext">
    <w:name w:val="annotation text"/>
    <w:basedOn w:val="Standard"/>
    <w:link w:val="KommentartextZchn"/>
    <w:uiPriority w:val="99"/>
    <w:unhideWhenUsed/>
    <w:rsid w:val="00D95FE8"/>
    <w:pPr>
      <w:spacing w:line="240" w:lineRule="auto"/>
    </w:pPr>
    <w:rPr>
      <w:sz w:val="20"/>
      <w:szCs w:val="20"/>
    </w:rPr>
  </w:style>
  <w:style w:type="character" w:customStyle="1" w:styleId="KommentartextZchn">
    <w:name w:val="Kommentartext Zchn"/>
    <w:basedOn w:val="Absatz-Standardschriftart"/>
    <w:link w:val="Kommentartext"/>
    <w:uiPriority w:val="99"/>
    <w:rsid w:val="00D95FE8"/>
    <w:rPr>
      <w:sz w:val="20"/>
      <w:szCs w:val="20"/>
      <w:lang w:val="en-US"/>
    </w:rPr>
  </w:style>
  <w:style w:type="paragraph" w:styleId="Kommentarthema">
    <w:name w:val="annotation subject"/>
    <w:basedOn w:val="Kommentartext"/>
    <w:next w:val="Kommentartext"/>
    <w:link w:val="KommentarthemaZchn"/>
    <w:uiPriority w:val="99"/>
    <w:semiHidden/>
    <w:unhideWhenUsed/>
    <w:rsid w:val="00D95FE8"/>
    <w:rPr>
      <w:b/>
      <w:bCs/>
    </w:rPr>
  </w:style>
  <w:style w:type="character" w:customStyle="1" w:styleId="KommentarthemaZchn">
    <w:name w:val="Kommentarthema Zchn"/>
    <w:basedOn w:val="KommentartextZchn"/>
    <w:link w:val="Kommentarthema"/>
    <w:uiPriority w:val="99"/>
    <w:semiHidden/>
    <w:rsid w:val="00D95FE8"/>
    <w:rPr>
      <w:b/>
      <w:bCs/>
      <w:sz w:val="20"/>
      <w:szCs w:val="20"/>
      <w:lang w:val="en-US"/>
    </w:rPr>
  </w:style>
  <w:style w:type="paragraph" w:styleId="Sprechblasentext">
    <w:name w:val="Balloon Text"/>
    <w:basedOn w:val="Standard"/>
    <w:link w:val="SprechblasentextZchn"/>
    <w:uiPriority w:val="99"/>
    <w:semiHidden/>
    <w:unhideWhenUsed/>
    <w:rsid w:val="00D95F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5FE8"/>
    <w:rPr>
      <w:rFonts w:ascii="Tahoma" w:hAnsi="Tahoma" w:cs="Tahoma"/>
      <w:sz w:val="16"/>
      <w:szCs w:val="16"/>
      <w:lang w:val="en-US"/>
    </w:rPr>
  </w:style>
  <w:style w:type="paragraph" w:styleId="Literaturverzeichnis">
    <w:name w:val="Bibliography"/>
    <w:basedOn w:val="Standard"/>
    <w:next w:val="Standard"/>
    <w:uiPriority w:val="37"/>
    <w:unhideWhenUsed/>
    <w:rsid w:val="00D95FE8"/>
    <w:pPr>
      <w:tabs>
        <w:tab w:val="left" w:pos="504"/>
      </w:tabs>
      <w:spacing w:line="240" w:lineRule="auto"/>
      <w:ind w:left="504" w:hanging="504"/>
    </w:pPr>
  </w:style>
  <w:style w:type="table" w:styleId="Tabellenraster">
    <w:name w:val="Table Grid"/>
    <w:basedOn w:val="NormaleTabelle"/>
    <w:uiPriority w:val="59"/>
    <w:rsid w:val="00D95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D95FE8"/>
  </w:style>
  <w:style w:type="paragraph" w:styleId="Funotentext">
    <w:name w:val="footnote text"/>
    <w:basedOn w:val="Standard"/>
    <w:link w:val="FunotentextZchn"/>
    <w:uiPriority w:val="99"/>
    <w:semiHidden/>
    <w:unhideWhenUsed/>
    <w:rsid w:val="00D95FE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95FE8"/>
    <w:rPr>
      <w:sz w:val="20"/>
      <w:szCs w:val="20"/>
      <w:lang w:val="en-US"/>
    </w:rPr>
  </w:style>
  <w:style w:type="character" w:styleId="Funotenzeichen">
    <w:name w:val="footnote reference"/>
    <w:basedOn w:val="Absatz-Standardschriftart"/>
    <w:uiPriority w:val="99"/>
    <w:semiHidden/>
    <w:unhideWhenUsed/>
    <w:rsid w:val="00D95FE8"/>
    <w:rPr>
      <w:vertAlign w:val="superscript"/>
    </w:rPr>
  </w:style>
  <w:style w:type="paragraph" w:styleId="Endnotentext">
    <w:name w:val="endnote text"/>
    <w:basedOn w:val="Standard"/>
    <w:link w:val="EndnotentextZchn"/>
    <w:uiPriority w:val="99"/>
    <w:semiHidden/>
    <w:unhideWhenUsed/>
    <w:rsid w:val="00D95FE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95FE8"/>
    <w:rPr>
      <w:sz w:val="20"/>
      <w:szCs w:val="20"/>
      <w:lang w:val="en-US"/>
    </w:rPr>
  </w:style>
  <w:style w:type="character" w:styleId="Endnotenzeichen">
    <w:name w:val="endnote reference"/>
    <w:basedOn w:val="Absatz-Standardschriftart"/>
    <w:uiPriority w:val="99"/>
    <w:semiHidden/>
    <w:unhideWhenUsed/>
    <w:rsid w:val="00D95FE8"/>
    <w:rPr>
      <w:vertAlign w:val="superscript"/>
    </w:rPr>
  </w:style>
  <w:style w:type="paragraph" w:customStyle="1" w:styleId="CAVEkopiert">
    <w:name w:val="CAVE kopiert"/>
    <w:basedOn w:val="Standard"/>
    <w:link w:val="CAVEkopiertZchn"/>
    <w:rsid w:val="00D95FE8"/>
  </w:style>
  <w:style w:type="character" w:customStyle="1" w:styleId="CAVEkopiertZchn">
    <w:name w:val="CAVE kopiert Zchn"/>
    <w:basedOn w:val="Absatz-Standardschriftart"/>
    <w:link w:val="CAVEkopiert"/>
    <w:rsid w:val="00D95FE8"/>
    <w:rPr>
      <w:lang w:val="en-US"/>
    </w:rPr>
  </w:style>
  <w:style w:type="paragraph" w:customStyle="1" w:styleId="Kopiert">
    <w:name w:val="Kopiert!"/>
    <w:basedOn w:val="Standard"/>
    <w:link w:val="KopiertZchn"/>
    <w:qFormat/>
    <w:rsid w:val="00D95FE8"/>
    <w:rPr>
      <w:u w:val="wavyHeavy" w:color="FFC000"/>
    </w:rPr>
  </w:style>
  <w:style w:type="character" w:customStyle="1" w:styleId="KopiertZchn">
    <w:name w:val="Kopiert! Zchn"/>
    <w:basedOn w:val="Absatz-Standardschriftart"/>
    <w:link w:val="Kopiert"/>
    <w:rsid w:val="00D95FE8"/>
    <w:rPr>
      <w:u w:val="wavyHeavy" w:color="FFC000"/>
      <w:lang w:val="en-US"/>
    </w:rPr>
  </w:style>
  <w:style w:type="paragraph" w:customStyle="1" w:styleId="ToDo">
    <w:name w:val="To Do"/>
    <w:basedOn w:val="Standard"/>
    <w:link w:val="ToDoZchn"/>
    <w:qFormat/>
    <w:rsid w:val="00D95FE8"/>
    <w:rPr>
      <w:u w:val="wavyHeavy" w:color="0070C0"/>
    </w:rPr>
  </w:style>
  <w:style w:type="character" w:customStyle="1" w:styleId="ToDoZchn">
    <w:name w:val="To Do Zchn"/>
    <w:basedOn w:val="Absatz-Standardschriftart"/>
    <w:link w:val="ToDo"/>
    <w:rsid w:val="00D95FE8"/>
    <w:rPr>
      <w:u w:val="wavyHeavy" w:color="0070C0"/>
      <w:lang w:val="en-US"/>
    </w:rPr>
  </w:style>
  <w:style w:type="paragraph" w:styleId="berarbeitung">
    <w:name w:val="Revision"/>
    <w:hidden/>
    <w:uiPriority w:val="99"/>
    <w:semiHidden/>
    <w:rsid w:val="00D95FE8"/>
    <w:rPr>
      <w:lang w:val="en-US"/>
    </w:rPr>
  </w:style>
  <w:style w:type="paragraph" w:styleId="Kopfzeile">
    <w:name w:val="header"/>
    <w:basedOn w:val="Standard"/>
    <w:link w:val="KopfzeileZchn"/>
    <w:uiPriority w:val="99"/>
    <w:unhideWhenUsed/>
    <w:rsid w:val="00D95F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5FE8"/>
    <w:rPr>
      <w:lang w:val="en-US"/>
    </w:rPr>
  </w:style>
  <w:style w:type="paragraph" w:styleId="Fuzeile">
    <w:name w:val="footer"/>
    <w:basedOn w:val="Standard"/>
    <w:link w:val="FuzeileZchn"/>
    <w:uiPriority w:val="99"/>
    <w:unhideWhenUsed/>
    <w:rsid w:val="00D95F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5FE8"/>
    <w:rPr>
      <w:lang w:val="en-US"/>
    </w:rPr>
  </w:style>
  <w:style w:type="character" w:styleId="Hyperlink">
    <w:name w:val="Hyperlink"/>
    <w:basedOn w:val="Absatz-Standardschriftart"/>
    <w:uiPriority w:val="99"/>
    <w:unhideWhenUsed/>
    <w:rsid w:val="00D95FE8"/>
    <w:rPr>
      <w:color w:val="0563C1" w:themeColor="hyperlink"/>
      <w:u w:val="single"/>
    </w:rPr>
  </w:style>
  <w:style w:type="paragraph" w:styleId="StandardWeb">
    <w:name w:val="Normal (Web)"/>
    <w:basedOn w:val="Standard"/>
    <w:uiPriority w:val="99"/>
    <w:unhideWhenUsed/>
    <w:rsid w:val="00D95FE8"/>
    <w:pPr>
      <w:spacing w:after="0" w:line="240" w:lineRule="auto"/>
    </w:pPr>
    <w:rPr>
      <w:rFonts w:ascii="Times New Roman" w:eastAsiaTheme="minorEastAsia" w:hAnsi="Times New Roman" w:cs="Times New Roman"/>
      <w:sz w:val="24"/>
      <w:szCs w:val="24"/>
      <w:lang w:val="de-DE" w:eastAsia="de-DE"/>
    </w:rPr>
  </w:style>
  <w:style w:type="paragraph" w:customStyle="1" w:styleId="col1">
    <w:name w:val="col1"/>
    <w:basedOn w:val="Standard"/>
    <w:rsid w:val="00D95FE8"/>
    <w:pPr>
      <w:spacing w:after="0" w:line="240" w:lineRule="auto"/>
    </w:pPr>
    <w:rPr>
      <w:rFonts w:ascii="Times New Roman" w:eastAsiaTheme="minorEastAsia" w:hAnsi="Times New Roman" w:cs="Times New Roman"/>
      <w:sz w:val="24"/>
      <w:szCs w:val="24"/>
      <w:lang w:val="de-DE" w:eastAsia="de-DE"/>
    </w:rPr>
  </w:style>
  <w:style w:type="paragraph" w:customStyle="1" w:styleId="Kopfzeile1">
    <w:name w:val="Kopfzeile1"/>
    <w:basedOn w:val="Standard"/>
    <w:rsid w:val="00D95FE8"/>
    <w:pPr>
      <w:pageBreakBefore/>
      <w:spacing w:after="120" w:line="240" w:lineRule="auto"/>
    </w:pPr>
    <w:rPr>
      <w:rFonts w:ascii="Times New Roman" w:eastAsiaTheme="minorEastAsia" w:hAnsi="Times New Roman" w:cs="Times New Roman"/>
      <w:b/>
      <w:bCs/>
      <w:sz w:val="24"/>
      <w:szCs w:val="24"/>
      <w:lang w:val="de-DE" w:eastAsia="de-DE"/>
    </w:rPr>
  </w:style>
  <w:style w:type="paragraph" w:customStyle="1" w:styleId="Kopfzeile2">
    <w:name w:val="Kopfzeile2"/>
    <w:basedOn w:val="Standard"/>
    <w:rsid w:val="00D95FE8"/>
    <w:pPr>
      <w:pageBreakBefore/>
      <w:spacing w:after="120" w:line="240" w:lineRule="auto"/>
    </w:pPr>
    <w:rPr>
      <w:rFonts w:ascii="Times New Roman" w:eastAsiaTheme="minorEastAsia" w:hAnsi="Times New Roman" w:cs="Times New Roman"/>
      <w:b/>
      <w:bCs/>
      <w:sz w:val="24"/>
      <w:szCs w:val="24"/>
      <w:lang w:val="de-DE" w:eastAsia="de-DE"/>
    </w:rPr>
  </w:style>
  <w:style w:type="paragraph" w:customStyle="1" w:styleId="Kopfzeile3">
    <w:name w:val="Kopfzeile3"/>
    <w:basedOn w:val="Standard"/>
    <w:rsid w:val="00D95FE8"/>
    <w:pPr>
      <w:pageBreakBefore/>
      <w:spacing w:after="120" w:line="240" w:lineRule="auto"/>
    </w:pPr>
    <w:rPr>
      <w:rFonts w:ascii="Times New Roman" w:eastAsiaTheme="minorEastAsia" w:hAnsi="Times New Roman" w:cs="Times New Roman"/>
      <w:b/>
      <w:bCs/>
      <w:sz w:val="24"/>
      <w:szCs w:val="24"/>
      <w:lang w:val="de-DE" w:eastAsia="de-DE"/>
    </w:rPr>
  </w:style>
  <w:style w:type="paragraph" w:customStyle="1" w:styleId="Kopfzeile4">
    <w:name w:val="Kopfzeile4"/>
    <w:basedOn w:val="Standard"/>
    <w:rsid w:val="00D95FE8"/>
    <w:pPr>
      <w:pageBreakBefore/>
      <w:spacing w:after="120" w:line="240" w:lineRule="auto"/>
    </w:pPr>
    <w:rPr>
      <w:rFonts w:ascii="Times New Roman" w:eastAsiaTheme="minorEastAsia" w:hAnsi="Times New Roman" w:cs="Times New Roman"/>
      <w:b/>
      <w:bCs/>
      <w:sz w:val="24"/>
      <w:szCs w:val="24"/>
      <w:lang w:val="de-DE" w:eastAsia="de-DE"/>
    </w:rPr>
  </w:style>
  <w:style w:type="paragraph" w:customStyle="1" w:styleId="Kopfzeile5">
    <w:name w:val="Kopfzeile5"/>
    <w:basedOn w:val="Standard"/>
    <w:rsid w:val="00D95FE8"/>
    <w:pPr>
      <w:pageBreakBefore/>
      <w:spacing w:after="120" w:line="240" w:lineRule="auto"/>
    </w:pPr>
    <w:rPr>
      <w:rFonts w:ascii="Times New Roman" w:eastAsiaTheme="minorEastAsia" w:hAnsi="Times New Roman" w:cs="Times New Roman"/>
      <w:b/>
      <w:bCs/>
      <w:sz w:val="24"/>
      <w:szCs w:val="24"/>
      <w:lang w:val="de-DE" w:eastAsia="de-DE"/>
    </w:rPr>
  </w:style>
  <w:style w:type="paragraph" w:customStyle="1" w:styleId="Kopfzeile6">
    <w:name w:val="Kopfzeile6"/>
    <w:basedOn w:val="Standard"/>
    <w:rsid w:val="00D95FE8"/>
    <w:pPr>
      <w:pageBreakBefore/>
      <w:spacing w:after="120" w:line="240" w:lineRule="auto"/>
    </w:pPr>
    <w:rPr>
      <w:rFonts w:ascii="Times New Roman" w:eastAsiaTheme="minorEastAsia" w:hAnsi="Times New Roman" w:cs="Times New Roman"/>
      <w:b/>
      <w:bCs/>
      <w:sz w:val="24"/>
      <w:szCs w:val="24"/>
      <w:lang w:val="de-DE" w:eastAsia="de-DE"/>
    </w:rPr>
  </w:style>
  <w:style w:type="paragraph" w:customStyle="1" w:styleId="Kopfzeile7">
    <w:name w:val="Kopfzeile7"/>
    <w:basedOn w:val="Standard"/>
    <w:rsid w:val="00D95FE8"/>
    <w:pPr>
      <w:pageBreakBefore/>
      <w:spacing w:after="120" w:line="240" w:lineRule="auto"/>
    </w:pPr>
    <w:rPr>
      <w:rFonts w:ascii="Times New Roman" w:eastAsiaTheme="minorEastAsia" w:hAnsi="Times New Roman" w:cs="Times New Roman"/>
      <w:b/>
      <w:bCs/>
      <w:sz w:val="24"/>
      <w:szCs w:val="24"/>
      <w:lang w:val="de-DE" w:eastAsia="de-DE"/>
    </w:rPr>
  </w:style>
  <w:style w:type="paragraph" w:customStyle="1" w:styleId="Kopfzeile8">
    <w:name w:val="Kopfzeile8"/>
    <w:basedOn w:val="Standard"/>
    <w:rsid w:val="00D95FE8"/>
    <w:pPr>
      <w:pageBreakBefore/>
      <w:spacing w:after="120" w:line="240" w:lineRule="auto"/>
    </w:pPr>
    <w:rPr>
      <w:rFonts w:ascii="Times New Roman" w:eastAsiaTheme="minorEastAsia" w:hAnsi="Times New Roman" w:cs="Times New Roman"/>
      <w:b/>
      <w:bCs/>
      <w:sz w:val="24"/>
      <w:szCs w:val="24"/>
      <w:lang w:val="de-DE" w:eastAsia="de-DE"/>
    </w:rPr>
  </w:style>
  <w:style w:type="paragraph" w:customStyle="1" w:styleId="Kopfzeile9">
    <w:name w:val="Kopfzeile9"/>
    <w:basedOn w:val="Standard"/>
    <w:rsid w:val="00D95FE8"/>
    <w:pPr>
      <w:pageBreakBefore/>
      <w:spacing w:after="120" w:line="240" w:lineRule="auto"/>
    </w:pPr>
    <w:rPr>
      <w:rFonts w:ascii="Times New Roman" w:eastAsiaTheme="minorEastAsia" w:hAnsi="Times New Roman" w:cs="Times New Roman"/>
      <w:b/>
      <w:bCs/>
      <w:sz w:val="24"/>
      <w:szCs w:val="24"/>
      <w:lang w:val="de-DE" w:eastAsia="de-DE"/>
    </w:rPr>
  </w:style>
  <w:style w:type="paragraph" w:customStyle="1" w:styleId="Kopfzeile10">
    <w:name w:val="Kopfzeile10"/>
    <w:basedOn w:val="Standard"/>
    <w:rsid w:val="00D95FE8"/>
    <w:pPr>
      <w:pageBreakBefore/>
      <w:spacing w:after="120" w:line="240" w:lineRule="auto"/>
    </w:pPr>
    <w:rPr>
      <w:rFonts w:ascii="Times New Roman" w:eastAsiaTheme="minorEastAsia" w:hAnsi="Times New Roman" w:cs="Times New Roman"/>
      <w:b/>
      <w:bCs/>
      <w:sz w:val="24"/>
      <w:szCs w:val="24"/>
      <w:lang w:val="de-DE" w:eastAsia="de-DE"/>
    </w:rPr>
  </w:style>
  <w:style w:type="paragraph" w:customStyle="1" w:styleId="Kopfzeile11">
    <w:name w:val="Kopfzeile11"/>
    <w:basedOn w:val="Standard"/>
    <w:rsid w:val="00D95FE8"/>
    <w:pPr>
      <w:pageBreakBefore/>
      <w:spacing w:after="120" w:line="240" w:lineRule="auto"/>
    </w:pPr>
    <w:rPr>
      <w:rFonts w:ascii="Times New Roman" w:eastAsiaTheme="minorEastAsia" w:hAnsi="Times New Roman" w:cs="Times New Roman"/>
      <w:b/>
      <w:bCs/>
      <w:sz w:val="24"/>
      <w:szCs w:val="24"/>
      <w:lang w:val="de-DE" w:eastAsia="de-DE"/>
    </w:rPr>
  </w:style>
  <w:style w:type="character" w:styleId="Zeilennummer">
    <w:name w:val="line number"/>
    <w:basedOn w:val="Absatz-Standardschriftart"/>
    <w:uiPriority w:val="99"/>
    <w:semiHidden/>
    <w:unhideWhenUsed/>
    <w:rsid w:val="00D95FE8"/>
  </w:style>
  <w:style w:type="character" w:styleId="BesuchterHyperlink">
    <w:name w:val="FollowedHyperlink"/>
    <w:basedOn w:val="Absatz-Standardschriftart"/>
    <w:uiPriority w:val="99"/>
    <w:semiHidden/>
    <w:unhideWhenUsed/>
    <w:rsid w:val="00D95F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gard.com/biodatabase1.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stgard.com/biodatabase1.htm" TargetMode="External"/><Relationship Id="rId11" Type="http://schemas.openxmlformats.org/officeDocument/2006/relationships/theme" Target="theme/theme1.xml"/><Relationship Id="rId5" Type="http://schemas.openxmlformats.org/officeDocument/2006/relationships/hyperlink" Target="https://www.westgard.com/biodatabase1.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6771</Words>
  <Characters>42664</Characters>
  <Application>Microsoft Office Word</Application>
  <DocSecurity>0</DocSecurity>
  <Lines>355</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Jahnke, Heike</dc:creator>
  <cp:keywords/>
  <dc:description/>
  <cp:lastModifiedBy>Jakob</cp:lastModifiedBy>
  <cp:revision>3</cp:revision>
  <dcterms:created xsi:type="dcterms:W3CDTF">2021-02-05T22:13:00Z</dcterms:created>
  <dcterms:modified xsi:type="dcterms:W3CDTF">2021-02-05T22:14:00Z</dcterms:modified>
</cp:coreProperties>
</file>