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89D25" w14:textId="77777777" w:rsidR="00BD3AB2" w:rsidRPr="00007B12" w:rsidRDefault="00BD3AB2" w:rsidP="00BD3AB2">
      <w:pPr>
        <w:rPr>
          <w:rFonts w:ascii="Courier New" w:hAnsi="Courier New" w:cs="Courier New"/>
          <w:b/>
          <w:u w:val="single"/>
          <w:shd w:val="clear" w:color="auto" w:fill="FFFFFF"/>
          <w:lang w:val="en-US"/>
        </w:rPr>
      </w:pPr>
      <w:r w:rsidRPr="00007B12">
        <w:rPr>
          <w:rFonts w:ascii="Courier New" w:hAnsi="Courier New" w:cs="Courier New"/>
          <w:b/>
          <w:u w:val="single"/>
          <w:shd w:val="clear" w:color="auto" w:fill="FFFFFF"/>
          <w:lang w:val="en-US"/>
        </w:rPr>
        <w:t>Supplemental material 2 – SDa and CV%a</w:t>
      </w:r>
    </w:p>
    <w:p w14:paraId="1E716BBC" w14:textId="77777777" w:rsidR="00BD3AB2" w:rsidRPr="00007B12" w:rsidRDefault="00BD3AB2">
      <w:pPr>
        <w:rPr>
          <w:lang w:val="en-US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907"/>
        <w:gridCol w:w="992"/>
        <w:gridCol w:w="434"/>
        <w:gridCol w:w="846"/>
        <w:gridCol w:w="847"/>
        <w:gridCol w:w="992"/>
        <w:gridCol w:w="991"/>
        <w:gridCol w:w="1135"/>
        <w:gridCol w:w="986"/>
      </w:tblGrid>
      <w:tr w:rsidR="00707A39" w:rsidRPr="00007B12" w14:paraId="75DFAB3B" w14:textId="2DEBDDFF" w:rsidTr="00707A39">
        <w:trPr>
          <w:trHeight w:val="300"/>
        </w:trPr>
        <w:tc>
          <w:tcPr>
            <w:tcW w:w="9628" w:type="dxa"/>
            <w:gridSpan w:val="10"/>
            <w:shd w:val="clear" w:color="auto" w:fill="auto"/>
            <w:noWrap/>
            <w:vAlign w:val="bottom"/>
          </w:tcPr>
          <w:p w14:paraId="4CB051E8" w14:textId="38AAD34C" w:rsidR="00707A39" w:rsidRPr="00007B12" w:rsidRDefault="00007B12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Soluble components</w:t>
            </w:r>
            <w:r w:rsidR="00707A39"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 xml:space="preserve"> (Own Data)</w:t>
            </w:r>
          </w:p>
        </w:tc>
      </w:tr>
      <w:tr w:rsidR="00707A39" w:rsidRPr="00007B12" w14:paraId="1AB33B77" w14:textId="7777777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23E610D6" w14:textId="2277C699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Component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4C20A195" w14:textId="680A9859" w:rsidR="00707A39" w:rsidRPr="00007B12" w:rsidRDefault="00707A39" w:rsidP="000C4DF3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Unit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E3A1AE" w14:textId="79837415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Level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29BE4DCE" w14:textId="43093D18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N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04BB9727" w14:textId="5479981C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SD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BA2794D" w14:textId="57CD5492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CV (%)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14596A" w14:textId="7B323C2D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EB6F434" w14:textId="513B9411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 (%)</w:t>
            </w:r>
          </w:p>
        </w:tc>
        <w:tc>
          <w:tcPr>
            <w:tcW w:w="1135" w:type="dxa"/>
            <w:vAlign w:val="bottom"/>
          </w:tcPr>
          <w:p w14:paraId="1BC32750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28C7F949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003433DB" w14:textId="23431C0E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8D6334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Creatinine</w:t>
            </w:r>
          </w:p>
        </w:tc>
        <w:tc>
          <w:tcPr>
            <w:tcW w:w="907" w:type="dxa"/>
            <w:shd w:val="clear" w:color="auto" w:fill="auto"/>
          </w:tcPr>
          <w:p w14:paraId="5823A65E" w14:textId="77777777" w:rsidR="00707A39" w:rsidRPr="00007B12" w:rsidRDefault="00707A39" w:rsidP="00707A3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mmol/L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B25450" w14:textId="6911D7C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5.84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6597E0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24544F0" w14:textId="64D9BDD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0.139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67275F7" w14:textId="4FF3A36E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46936" w14:textId="129D5FF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0.384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FE5066C" w14:textId="678B2D56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6.58</w:t>
            </w:r>
          </w:p>
        </w:tc>
        <w:tc>
          <w:tcPr>
            <w:tcW w:w="1135" w:type="dxa"/>
            <w:vAlign w:val="bottom"/>
          </w:tcPr>
          <w:p w14:paraId="54A428AC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609818B4" w14:textId="7D117AE1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416C8926" w14:textId="45F8A681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B60B22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Creatinine</w:t>
            </w:r>
          </w:p>
        </w:tc>
        <w:tc>
          <w:tcPr>
            <w:tcW w:w="907" w:type="dxa"/>
            <w:shd w:val="clear" w:color="auto" w:fill="auto"/>
          </w:tcPr>
          <w:p w14:paraId="7BD6087E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mmol/L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0BCA3" w14:textId="6644664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12.7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621A49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3B3F37F" w14:textId="7404698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0.268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19912349" w14:textId="14CF23A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35A51" w14:textId="0BE4D1C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0.743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BACDB79" w14:textId="28A08D5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5.83</w:t>
            </w:r>
          </w:p>
        </w:tc>
        <w:tc>
          <w:tcPr>
            <w:tcW w:w="1135" w:type="dxa"/>
            <w:vAlign w:val="bottom"/>
          </w:tcPr>
          <w:p w14:paraId="31BD104B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6F187907" w14:textId="22A3FB55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747C67FA" w14:textId="18E7FD6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D648A0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Protein</w:t>
            </w:r>
          </w:p>
        </w:tc>
        <w:tc>
          <w:tcPr>
            <w:tcW w:w="907" w:type="dxa"/>
            <w:shd w:val="clear" w:color="auto" w:fill="auto"/>
          </w:tcPr>
          <w:p w14:paraId="66AD0973" w14:textId="77777777" w:rsidR="00707A39" w:rsidRPr="00007B12" w:rsidRDefault="00707A39" w:rsidP="00707A3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g/L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06D34" w14:textId="1788A1F6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0.129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37A110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CEAEDCF" w14:textId="5008254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0.00664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BB222F9" w14:textId="4B99A6E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47F33" w14:textId="2B913D2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0.0184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DC0B213" w14:textId="3E4F3BD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14.2</w:t>
            </w:r>
          </w:p>
        </w:tc>
        <w:tc>
          <w:tcPr>
            <w:tcW w:w="1135" w:type="dxa"/>
            <w:vAlign w:val="bottom"/>
          </w:tcPr>
          <w:p w14:paraId="14CD3316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16F115A3" w14:textId="07EDAD72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415C3CC3" w14:textId="39D7D10D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ADE34B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Protein</w:t>
            </w:r>
          </w:p>
        </w:tc>
        <w:tc>
          <w:tcPr>
            <w:tcW w:w="907" w:type="dxa"/>
            <w:shd w:val="clear" w:color="auto" w:fill="auto"/>
          </w:tcPr>
          <w:p w14:paraId="20F5AFA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g/L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079BB" w14:textId="7A3F0D2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0.556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C2AA92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A88CDF" w14:textId="6C480F1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0.0103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C310DF8" w14:textId="5D0731F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1BD76" w14:textId="2AE6108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0.0286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4FE0D98" w14:textId="6BAB5CC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5.146</w:t>
            </w:r>
          </w:p>
        </w:tc>
        <w:tc>
          <w:tcPr>
            <w:tcW w:w="1135" w:type="dxa"/>
            <w:vAlign w:val="bottom"/>
          </w:tcPr>
          <w:p w14:paraId="31D42C86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277BBA76" w14:textId="44239F6B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69DEE81D" w14:textId="50AD196F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93D5B1" w14:textId="76FD8052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Urea Nitrogen</w:t>
            </w:r>
          </w:p>
        </w:tc>
        <w:tc>
          <w:tcPr>
            <w:tcW w:w="907" w:type="dxa"/>
            <w:shd w:val="clear" w:color="auto" w:fill="auto"/>
          </w:tcPr>
          <w:p w14:paraId="64799A6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mmol/L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5369D" w14:textId="47366AB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136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6ACECA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57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300287A" w14:textId="1D13CE3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5.27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81D8751" w14:textId="4F1B0306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D14B3" w14:textId="4645F1F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14.6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F7014E8" w14:textId="12F3904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10.7</w:t>
            </w:r>
          </w:p>
        </w:tc>
        <w:tc>
          <w:tcPr>
            <w:tcW w:w="1135" w:type="dxa"/>
            <w:vAlign w:val="bottom"/>
          </w:tcPr>
          <w:p w14:paraId="7002530F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1BB585A0" w14:textId="25A79DC5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207A0BD9" w14:textId="1DD41DD9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7B8697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Potassium</w:t>
            </w:r>
          </w:p>
        </w:tc>
        <w:tc>
          <w:tcPr>
            <w:tcW w:w="907" w:type="dxa"/>
            <w:shd w:val="clear" w:color="auto" w:fill="auto"/>
          </w:tcPr>
          <w:p w14:paraId="48E7117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mmol/L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95EE6D" w14:textId="7F77447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24.8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9E8B08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EC8F838" w14:textId="50E4D53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0.39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EE759A1" w14:textId="604BDB5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654CC" w14:textId="66B5E2B8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1.08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CCFF1C0" w14:textId="085501E6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4.35</w:t>
            </w:r>
          </w:p>
        </w:tc>
        <w:tc>
          <w:tcPr>
            <w:tcW w:w="1135" w:type="dxa"/>
            <w:vAlign w:val="bottom"/>
          </w:tcPr>
          <w:p w14:paraId="445B5D82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6D89D5B0" w14:textId="2A5C5680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0A1BF95F" w14:textId="5BD7A231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25470C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Sodium</w:t>
            </w:r>
          </w:p>
        </w:tc>
        <w:tc>
          <w:tcPr>
            <w:tcW w:w="907" w:type="dxa"/>
            <w:shd w:val="clear" w:color="auto" w:fill="auto"/>
          </w:tcPr>
          <w:p w14:paraId="0223483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mmol/L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9629F1" w14:textId="07246B8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70.9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1D3D2B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64801B0" w14:textId="4A7EA56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1.68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37587CC" w14:textId="1C5FDBA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E752D5" w14:textId="16E6F53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4.64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B619849" w14:textId="355284C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6.55</w:t>
            </w:r>
          </w:p>
        </w:tc>
        <w:tc>
          <w:tcPr>
            <w:tcW w:w="1135" w:type="dxa"/>
            <w:vAlign w:val="bottom"/>
          </w:tcPr>
          <w:p w14:paraId="446CA860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7A76294F" w14:textId="336F2E5D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463302B4" w14:textId="221BB10A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3A649C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Albumin</w:t>
            </w:r>
          </w:p>
        </w:tc>
        <w:tc>
          <w:tcPr>
            <w:tcW w:w="907" w:type="dxa"/>
            <w:shd w:val="clear" w:color="auto" w:fill="auto"/>
          </w:tcPr>
          <w:p w14:paraId="5132B03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mg/L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F8F24" w14:textId="283DA4D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14.8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4432B6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FE4C14B" w14:textId="3C38139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1.72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5D840E6" w14:textId="73884AB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11.6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E8B8D" w14:textId="5F54C202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4.76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E7C6B73" w14:textId="0EF47999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32.2</w:t>
            </w:r>
          </w:p>
        </w:tc>
        <w:tc>
          <w:tcPr>
            <w:tcW w:w="1135" w:type="dxa"/>
            <w:vAlign w:val="bottom"/>
          </w:tcPr>
          <w:p w14:paraId="46DA3139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1B63917F" w14:textId="4B5272A9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21A7DFD8" w14:textId="55D165D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FB8AC2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Albumin</w:t>
            </w:r>
          </w:p>
        </w:tc>
        <w:tc>
          <w:tcPr>
            <w:tcW w:w="907" w:type="dxa"/>
            <w:shd w:val="clear" w:color="auto" w:fill="auto"/>
          </w:tcPr>
          <w:p w14:paraId="2607066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mg/L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C58CE" w14:textId="458D13D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59.03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137BF1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2A995C3" w14:textId="113BFCAE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1.19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EE34896" w14:textId="104A0A2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647345" w14:textId="1DD3A46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3.30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8A6CA33" w14:textId="3B540A5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5.59</w:t>
            </w:r>
          </w:p>
        </w:tc>
        <w:tc>
          <w:tcPr>
            <w:tcW w:w="1135" w:type="dxa"/>
            <w:vAlign w:val="bottom"/>
          </w:tcPr>
          <w:p w14:paraId="63A18C06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5D3CC57E" w14:textId="3505A52C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4D035261" w14:textId="7F714B2F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5568B4DD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07" w:type="dxa"/>
            <w:shd w:val="clear" w:color="auto" w:fill="auto"/>
          </w:tcPr>
          <w:p w14:paraId="2CEF74B4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5CDEE0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7ADF2E22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EF9CACE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FE635CD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AAC1B4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0AD5F421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135" w:type="dxa"/>
            <w:vAlign w:val="bottom"/>
          </w:tcPr>
          <w:p w14:paraId="6DC1C656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385E572A" w14:textId="4785A96E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35E8B769" w14:textId="1642C14C" w:rsidTr="00707A39">
        <w:trPr>
          <w:trHeight w:val="300"/>
        </w:trPr>
        <w:tc>
          <w:tcPr>
            <w:tcW w:w="9628" w:type="dxa"/>
            <w:gridSpan w:val="10"/>
            <w:shd w:val="clear" w:color="auto" w:fill="auto"/>
            <w:noWrap/>
            <w:vAlign w:val="bottom"/>
            <w:hideMark/>
          </w:tcPr>
          <w:p w14:paraId="19FE4EB0" w14:textId="4B414111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Particles (Sysmex)</w:t>
            </w:r>
          </w:p>
        </w:tc>
      </w:tr>
      <w:tr w:rsidR="00707A39" w:rsidRPr="00007B12" w14:paraId="50FDC84F" w14:textId="7777777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3138FE70" w14:textId="5405F385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Component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7285D08C" w14:textId="035C15C1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Unit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9E7E1A" w14:textId="7EBB37D2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Level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65586D01" w14:textId="6F5961A8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N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0C5ABD19" w14:textId="5304594D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SD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015139E" w14:textId="68E2AEC5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CV (%)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9E5C55" w14:textId="5B57A690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D48EABE" w14:textId="4C9DCAD6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 (%)</w:t>
            </w:r>
          </w:p>
        </w:tc>
        <w:tc>
          <w:tcPr>
            <w:tcW w:w="1135" w:type="dxa"/>
            <w:vAlign w:val="bottom"/>
          </w:tcPr>
          <w:p w14:paraId="316247E7" w14:textId="5C7B5C7E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Volume Counted (µL)</w:t>
            </w:r>
          </w:p>
        </w:tc>
        <w:tc>
          <w:tcPr>
            <w:tcW w:w="986" w:type="dxa"/>
            <w:vAlign w:val="bottom"/>
          </w:tcPr>
          <w:p w14:paraId="226D2A55" w14:textId="12FDF72E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 (</w:t>
            </w:r>
            <w:r w:rsidR="00007B12"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Poisson</w:t>
            </w: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)(%)</w:t>
            </w:r>
          </w:p>
        </w:tc>
      </w:tr>
      <w:tr w:rsidR="00707A39" w:rsidRPr="00007B12" w14:paraId="56C8B6A8" w14:textId="4C1D73C1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0A6250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RBC/WBC</w:t>
            </w:r>
          </w:p>
          <w:p w14:paraId="3BD117A7" w14:textId="48F57EB3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/NLRBC</w:t>
            </w:r>
          </w:p>
        </w:tc>
        <w:tc>
          <w:tcPr>
            <w:tcW w:w="907" w:type="dxa"/>
            <w:shd w:val="clear" w:color="auto" w:fill="auto"/>
          </w:tcPr>
          <w:p w14:paraId="5F8539B5" w14:textId="77777777" w:rsidR="00707A39" w:rsidRPr="00007B12" w:rsidRDefault="00707A39" w:rsidP="00707A3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3BF0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BC3529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F437046" w14:textId="380C76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93700F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D3E9A" w14:textId="3E4D08C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8C77462" w14:textId="165B90C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140%</w:t>
            </w:r>
          </w:p>
        </w:tc>
        <w:tc>
          <w:tcPr>
            <w:tcW w:w="1135" w:type="dxa"/>
            <w:vAlign w:val="bottom"/>
          </w:tcPr>
          <w:p w14:paraId="2287D9E3" w14:textId="240C27FA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20EE8756" w14:textId="3B0980F7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99%</w:t>
            </w:r>
          </w:p>
        </w:tc>
      </w:tr>
      <w:tr w:rsidR="00707A39" w:rsidRPr="00007B12" w14:paraId="214F3B33" w14:textId="79CAA802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0AF3958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RBC/WBC</w:t>
            </w:r>
          </w:p>
          <w:p w14:paraId="6D1429D0" w14:textId="626A3CE6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/NLRBC</w:t>
            </w:r>
          </w:p>
        </w:tc>
        <w:tc>
          <w:tcPr>
            <w:tcW w:w="907" w:type="dxa"/>
            <w:shd w:val="clear" w:color="auto" w:fill="auto"/>
          </w:tcPr>
          <w:p w14:paraId="3995082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66FC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5D9D95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173A81C" w14:textId="2893789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D051B4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15%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F45C38" w14:textId="2A0AB33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4.2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48299B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42%</w:t>
            </w:r>
          </w:p>
        </w:tc>
        <w:tc>
          <w:tcPr>
            <w:tcW w:w="1135" w:type="dxa"/>
            <w:vAlign w:val="bottom"/>
          </w:tcPr>
          <w:p w14:paraId="3E816E0D" w14:textId="28CD86AD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6E9C56A6" w14:textId="753875DB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31%</w:t>
            </w:r>
          </w:p>
        </w:tc>
      </w:tr>
      <w:tr w:rsidR="00707A39" w:rsidRPr="00007B12" w14:paraId="3FCEE680" w14:textId="7EB51D4E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F97B64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RBC/WBC</w:t>
            </w:r>
          </w:p>
          <w:p w14:paraId="779EDED4" w14:textId="7D37AD1F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/NLRBC</w:t>
            </w:r>
          </w:p>
        </w:tc>
        <w:tc>
          <w:tcPr>
            <w:tcW w:w="907" w:type="dxa"/>
            <w:shd w:val="clear" w:color="auto" w:fill="auto"/>
          </w:tcPr>
          <w:p w14:paraId="24D759E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A112E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25E871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F71B50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839C8EC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DCC3E" w14:textId="03632D78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1400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6F13D7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28%</w:t>
            </w:r>
          </w:p>
        </w:tc>
        <w:tc>
          <w:tcPr>
            <w:tcW w:w="1135" w:type="dxa"/>
            <w:vAlign w:val="bottom"/>
          </w:tcPr>
          <w:p w14:paraId="56A57437" w14:textId="6FB45C2F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0532350C" w14:textId="48E6277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1%</w:t>
            </w:r>
          </w:p>
        </w:tc>
      </w:tr>
      <w:tr w:rsidR="00707A39" w:rsidRPr="00007B12" w14:paraId="7A2928E5" w14:textId="7229BCA3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9E7D88" w14:textId="2FADA42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SQEC/TREC</w:t>
            </w:r>
          </w:p>
          <w:p w14:paraId="7F6D9D27" w14:textId="0CFF925C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/RTEC</w:t>
            </w:r>
          </w:p>
        </w:tc>
        <w:tc>
          <w:tcPr>
            <w:tcW w:w="907" w:type="dxa"/>
            <w:shd w:val="clear" w:color="auto" w:fill="auto"/>
          </w:tcPr>
          <w:p w14:paraId="2B32ED8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CE764E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A9D85A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81C0532" w14:textId="703EAAC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600203C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18C2A" w14:textId="261B9A3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0CB1674" w14:textId="50EE567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140%</w:t>
            </w:r>
          </w:p>
        </w:tc>
        <w:tc>
          <w:tcPr>
            <w:tcW w:w="1135" w:type="dxa"/>
            <w:vAlign w:val="bottom"/>
          </w:tcPr>
          <w:p w14:paraId="4F050ADD" w14:textId="75415FE5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4636AAA8" w14:textId="5EC3D13A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99%</w:t>
            </w:r>
          </w:p>
        </w:tc>
      </w:tr>
      <w:tr w:rsidR="00707A39" w:rsidRPr="00007B12" w14:paraId="405953BA" w14:textId="3A3DC92C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1C9121" w14:textId="156AF19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SQEC/TREC</w:t>
            </w:r>
          </w:p>
          <w:p w14:paraId="1812C158" w14:textId="3242A765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/RTEC</w:t>
            </w:r>
          </w:p>
        </w:tc>
        <w:tc>
          <w:tcPr>
            <w:tcW w:w="907" w:type="dxa"/>
            <w:shd w:val="clear" w:color="auto" w:fill="auto"/>
          </w:tcPr>
          <w:p w14:paraId="2290130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6C70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C7DA545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B3A001C" w14:textId="2B8DDB2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2.1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B232D4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CE76A" w14:textId="62E4561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5.8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B96B98E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08869CCF" w14:textId="6808D8E3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6F5B642A" w14:textId="094B45C9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37%</w:t>
            </w:r>
          </w:p>
        </w:tc>
      </w:tr>
      <w:tr w:rsidR="00707A39" w:rsidRPr="00007B12" w14:paraId="67947EC8" w14:textId="201E8E8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03DD159" w14:textId="2F9660F9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SQEC/TREC</w:t>
            </w:r>
          </w:p>
          <w:p w14:paraId="3DEDE9ED" w14:textId="5CF864BF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/RTEC</w:t>
            </w:r>
          </w:p>
        </w:tc>
        <w:tc>
          <w:tcPr>
            <w:tcW w:w="907" w:type="dxa"/>
            <w:shd w:val="clear" w:color="auto" w:fill="auto"/>
          </w:tcPr>
          <w:p w14:paraId="6B33FD6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8CCC6E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88B6F6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83D9B4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E7B035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B961D" w14:textId="3B72850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170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8FAC64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6C100B38" w14:textId="367570AE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4F4EA0D7" w14:textId="30E3CE4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7%</w:t>
            </w:r>
          </w:p>
        </w:tc>
      </w:tr>
      <w:tr w:rsidR="00707A39" w:rsidRPr="00007B12" w14:paraId="23BE9836" w14:textId="167D431B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454166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Pth.cast</w:t>
            </w:r>
          </w:p>
          <w:p w14:paraId="46D0B053" w14:textId="34005489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/hyalin</w:t>
            </w:r>
            <w:r w:rsid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e</w:t>
            </w: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casts</w:t>
            </w:r>
          </w:p>
        </w:tc>
        <w:tc>
          <w:tcPr>
            <w:tcW w:w="907" w:type="dxa"/>
            <w:shd w:val="clear" w:color="auto" w:fill="auto"/>
          </w:tcPr>
          <w:p w14:paraId="4F0928A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A94D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CDC0E8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1276EB9" w14:textId="30CD8A7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0CF82E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DADA2" w14:textId="65840F0D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A5B1843" w14:textId="43048C3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140%</w:t>
            </w:r>
          </w:p>
        </w:tc>
        <w:tc>
          <w:tcPr>
            <w:tcW w:w="1135" w:type="dxa"/>
            <w:vAlign w:val="bottom"/>
          </w:tcPr>
          <w:p w14:paraId="019F8468" w14:textId="5270927C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5E8424F8" w14:textId="3176C1E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99%</w:t>
            </w:r>
          </w:p>
        </w:tc>
      </w:tr>
      <w:tr w:rsidR="00707A39" w:rsidRPr="00007B12" w14:paraId="78E491F0" w14:textId="0E8B26D9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297659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Pth.cast</w:t>
            </w:r>
          </w:p>
          <w:p w14:paraId="61E2093C" w14:textId="0BB7E7C9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/hyalin</w:t>
            </w:r>
            <w:r w:rsid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e</w:t>
            </w: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casts</w:t>
            </w:r>
          </w:p>
        </w:tc>
        <w:tc>
          <w:tcPr>
            <w:tcW w:w="907" w:type="dxa"/>
            <w:shd w:val="clear" w:color="auto" w:fill="auto"/>
          </w:tcPr>
          <w:p w14:paraId="378936C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79DC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D3BBBB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79C798D" w14:textId="0ACBD81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8EFE08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66242" w14:textId="097F661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6.9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F743A13" w14:textId="2C07E33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140%</w:t>
            </w:r>
          </w:p>
        </w:tc>
        <w:tc>
          <w:tcPr>
            <w:tcW w:w="1135" w:type="dxa"/>
            <w:vAlign w:val="bottom"/>
          </w:tcPr>
          <w:p w14:paraId="2B311DD2" w14:textId="43B07FA1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0B5E03C4" w14:textId="02D0624C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44%</w:t>
            </w:r>
          </w:p>
        </w:tc>
      </w:tr>
      <w:tr w:rsidR="00707A39" w:rsidRPr="00007B12" w14:paraId="5E428247" w14:textId="30C31AC5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383B25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Pth.cast</w:t>
            </w:r>
          </w:p>
          <w:p w14:paraId="73BF9660" w14:textId="2943BF98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/hyalin</w:t>
            </w:r>
            <w:r w:rsid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e</w:t>
            </w: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 xml:space="preserve"> casts</w:t>
            </w:r>
          </w:p>
        </w:tc>
        <w:tc>
          <w:tcPr>
            <w:tcW w:w="907" w:type="dxa"/>
            <w:shd w:val="clear" w:color="auto" w:fill="auto"/>
          </w:tcPr>
          <w:p w14:paraId="17F8DA3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719E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709DB8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036D83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312064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7D07F" w14:textId="0905FBE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65677E6" w14:textId="63E7E08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110%</w:t>
            </w:r>
          </w:p>
        </w:tc>
        <w:tc>
          <w:tcPr>
            <w:tcW w:w="1135" w:type="dxa"/>
            <w:vAlign w:val="bottom"/>
          </w:tcPr>
          <w:p w14:paraId="5893493C" w14:textId="651D227F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47E6C39E" w14:textId="01A81293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31%</w:t>
            </w:r>
          </w:p>
        </w:tc>
      </w:tr>
      <w:tr w:rsidR="00707A39" w:rsidRPr="00007B12" w14:paraId="2029E5AF" w14:textId="7AEB6C3F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8CC1D3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Bact</w:t>
            </w:r>
          </w:p>
        </w:tc>
        <w:tc>
          <w:tcPr>
            <w:tcW w:w="907" w:type="dxa"/>
            <w:shd w:val="clear" w:color="auto" w:fill="auto"/>
          </w:tcPr>
          <w:p w14:paraId="0AF481F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9963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373FD5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3CAD223" w14:textId="4A3D57F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6EC794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4AC12" w14:textId="4C22292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6.9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D7A1951" w14:textId="46FAED0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140%</w:t>
            </w:r>
          </w:p>
        </w:tc>
        <w:tc>
          <w:tcPr>
            <w:tcW w:w="1135" w:type="dxa"/>
            <w:vAlign w:val="bottom"/>
          </w:tcPr>
          <w:p w14:paraId="715F15AD" w14:textId="29C14844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986" w:type="dxa"/>
            <w:vAlign w:val="bottom"/>
          </w:tcPr>
          <w:p w14:paraId="34A4A3A6" w14:textId="6310E9F7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124%</w:t>
            </w:r>
          </w:p>
        </w:tc>
      </w:tr>
      <w:tr w:rsidR="00707A39" w:rsidRPr="00007B12" w14:paraId="667A072D" w14:textId="2B26ED66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5D3954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Bact</w:t>
            </w:r>
          </w:p>
        </w:tc>
        <w:tc>
          <w:tcPr>
            <w:tcW w:w="907" w:type="dxa"/>
            <w:shd w:val="clear" w:color="auto" w:fill="auto"/>
          </w:tcPr>
          <w:p w14:paraId="4D6CFB5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24E4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2B21AA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5B5C4E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950716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BEE0F" w14:textId="51202E3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088ADA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55%</w:t>
            </w:r>
          </w:p>
        </w:tc>
        <w:tc>
          <w:tcPr>
            <w:tcW w:w="1135" w:type="dxa"/>
            <w:vAlign w:val="bottom"/>
          </w:tcPr>
          <w:p w14:paraId="1CEBC41D" w14:textId="7DE66D31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986" w:type="dxa"/>
            <w:vAlign w:val="bottom"/>
          </w:tcPr>
          <w:p w14:paraId="0F6E3095" w14:textId="054E0673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28%</w:t>
            </w:r>
          </w:p>
        </w:tc>
      </w:tr>
      <w:tr w:rsidR="00707A39" w:rsidRPr="00007B12" w14:paraId="3DE9DDD5" w14:textId="114A8565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7235B1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Bact</w:t>
            </w:r>
          </w:p>
        </w:tc>
        <w:tc>
          <w:tcPr>
            <w:tcW w:w="907" w:type="dxa"/>
            <w:shd w:val="clear" w:color="auto" w:fill="auto"/>
          </w:tcPr>
          <w:p w14:paraId="2282BA2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2CC8A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10000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D19AD7E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D218EE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2000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1B74A68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5B573" w14:textId="57E00F8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5500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2AEFB4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55%</w:t>
            </w:r>
          </w:p>
        </w:tc>
        <w:tc>
          <w:tcPr>
            <w:tcW w:w="1135" w:type="dxa"/>
            <w:vAlign w:val="bottom"/>
          </w:tcPr>
          <w:p w14:paraId="7D35B273" w14:textId="0BF7DDD3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986" w:type="dxa"/>
            <w:vAlign w:val="bottom"/>
          </w:tcPr>
          <w:p w14:paraId="72EC2F2F" w14:textId="6F2D45D4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3%</w:t>
            </w:r>
          </w:p>
        </w:tc>
      </w:tr>
      <w:tr w:rsidR="00707A39" w:rsidRPr="00007B12" w14:paraId="11E2E919" w14:textId="69DB0074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EFF989" w14:textId="1D99E94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Xtal</w:t>
            </w:r>
          </w:p>
        </w:tc>
        <w:tc>
          <w:tcPr>
            <w:tcW w:w="907" w:type="dxa"/>
            <w:shd w:val="clear" w:color="auto" w:fill="auto"/>
          </w:tcPr>
          <w:p w14:paraId="4444EFB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ACE50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ADACAB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6A0409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CDA1CA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AC13C" w14:textId="6BA5659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423F10B" w14:textId="30F34F88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140%</w:t>
            </w:r>
          </w:p>
        </w:tc>
        <w:tc>
          <w:tcPr>
            <w:tcW w:w="1135" w:type="dxa"/>
            <w:vAlign w:val="bottom"/>
          </w:tcPr>
          <w:p w14:paraId="34AAB2B0" w14:textId="3F05A63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11AD4F04" w14:textId="06E85F7E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31%</w:t>
            </w:r>
          </w:p>
        </w:tc>
      </w:tr>
      <w:tr w:rsidR="00707A39" w:rsidRPr="00007B12" w14:paraId="3CC0AA66" w14:textId="40BCFD02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151D1A" w14:textId="203BCA86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Xtal</w:t>
            </w:r>
          </w:p>
        </w:tc>
        <w:tc>
          <w:tcPr>
            <w:tcW w:w="907" w:type="dxa"/>
            <w:shd w:val="clear" w:color="auto" w:fill="auto"/>
          </w:tcPr>
          <w:p w14:paraId="4A0A510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43B1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0EA986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2E554C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2F11F7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110A4" w14:textId="70600112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BF8397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7436EA2A" w14:textId="56C67F85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2D43042E" w14:textId="71EA95FE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18%</w:t>
            </w:r>
          </w:p>
        </w:tc>
      </w:tr>
      <w:tr w:rsidR="00707A39" w:rsidRPr="00007B12" w14:paraId="632BCDA5" w14:textId="7F041300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55D8AE" w14:textId="7FA1D0F6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lastRenderedPageBreak/>
              <w:t>Xtal</w:t>
            </w:r>
          </w:p>
        </w:tc>
        <w:tc>
          <w:tcPr>
            <w:tcW w:w="907" w:type="dxa"/>
            <w:shd w:val="clear" w:color="auto" w:fill="auto"/>
          </w:tcPr>
          <w:p w14:paraId="66666BF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7E98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BD58B0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A432F8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E82864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591BA" w14:textId="3809509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170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394812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2F44CC7A" w14:textId="1816EE9B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5A59F357" w14:textId="599E50B5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7%</w:t>
            </w:r>
          </w:p>
        </w:tc>
      </w:tr>
      <w:tr w:rsidR="00707A39" w:rsidRPr="00007B12" w14:paraId="69AA1618" w14:textId="47D932B0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7D2549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YLC</w:t>
            </w:r>
          </w:p>
        </w:tc>
        <w:tc>
          <w:tcPr>
            <w:tcW w:w="907" w:type="dxa"/>
            <w:shd w:val="clear" w:color="auto" w:fill="auto"/>
          </w:tcPr>
          <w:p w14:paraId="360C1C0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C802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3ED2DC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D034FA4" w14:textId="4BF0C9B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1313209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53A48" w14:textId="2F154518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229D3AC" w14:textId="5010F4D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220%</w:t>
            </w:r>
          </w:p>
        </w:tc>
        <w:tc>
          <w:tcPr>
            <w:tcW w:w="1135" w:type="dxa"/>
            <w:vAlign w:val="bottom"/>
          </w:tcPr>
          <w:p w14:paraId="30DD7342" w14:textId="42CC6941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727A5ADB" w14:textId="4B7B34AF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99%</w:t>
            </w:r>
          </w:p>
        </w:tc>
      </w:tr>
      <w:tr w:rsidR="00707A39" w:rsidRPr="00007B12" w14:paraId="6355ABDB" w14:textId="5AFC8A5A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1E81CB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YLC</w:t>
            </w:r>
          </w:p>
        </w:tc>
        <w:tc>
          <w:tcPr>
            <w:tcW w:w="907" w:type="dxa"/>
            <w:shd w:val="clear" w:color="auto" w:fill="auto"/>
          </w:tcPr>
          <w:p w14:paraId="566611E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8A30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022350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B593B4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94549E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2FD9BC" w14:textId="23BA898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0C0E67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76FEC8BD" w14:textId="36EEBE40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25549635" w14:textId="4C0BC192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14%</w:t>
            </w:r>
          </w:p>
        </w:tc>
      </w:tr>
      <w:tr w:rsidR="00707A39" w:rsidRPr="00007B12" w14:paraId="5CD0E51E" w14:textId="39133E3B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AEE7D8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YLC</w:t>
            </w:r>
          </w:p>
        </w:tc>
        <w:tc>
          <w:tcPr>
            <w:tcW w:w="907" w:type="dxa"/>
            <w:shd w:val="clear" w:color="auto" w:fill="auto"/>
          </w:tcPr>
          <w:p w14:paraId="190129E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153F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9EFFF4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72135F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020F3A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0A8E8" w14:textId="208545A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170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4CCB88E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59F60EB4" w14:textId="00057CB6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32472225" w14:textId="7EC6B3ED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7%</w:t>
            </w:r>
          </w:p>
        </w:tc>
      </w:tr>
      <w:tr w:rsidR="00707A39" w:rsidRPr="00007B12" w14:paraId="7568A4F7" w14:textId="6DF5AE92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F29F51" w14:textId="41DAD2A4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Sperm</w:t>
            </w:r>
          </w:p>
        </w:tc>
        <w:tc>
          <w:tcPr>
            <w:tcW w:w="907" w:type="dxa"/>
            <w:shd w:val="clear" w:color="auto" w:fill="auto"/>
          </w:tcPr>
          <w:p w14:paraId="7AD6C415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D5BC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50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326CEC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2D6F72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1BD3F3E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418864" w14:textId="620CB7C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61A2E2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22687FF0" w14:textId="6D8E1553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0536FBAC" w14:textId="1D47D3C4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14%</w:t>
            </w:r>
          </w:p>
        </w:tc>
      </w:tr>
      <w:tr w:rsidR="00707A39" w:rsidRPr="00007B12" w14:paraId="331AA0D3" w14:textId="2961A6DD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8D9709" w14:textId="78123AA4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Sperm</w:t>
            </w:r>
          </w:p>
        </w:tc>
        <w:tc>
          <w:tcPr>
            <w:tcW w:w="907" w:type="dxa"/>
            <w:shd w:val="clear" w:color="auto" w:fill="auto"/>
          </w:tcPr>
          <w:p w14:paraId="34E7FF2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3333B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E5392B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730B999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34CD5C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14FA3" w14:textId="4EC5857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E490A3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238ABA24" w14:textId="7ED50EBB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224B3AAA" w14:textId="60D2740D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10%</w:t>
            </w:r>
          </w:p>
        </w:tc>
      </w:tr>
      <w:tr w:rsidR="00707A39" w:rsidRPr="00007B12" w14:paraId="5B903E0E" w14:textId="3B163F16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989040" w14:textId="0AB9A9DF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Sperm</w:t>
            </w:r>
          </w:p>
        </w:tc>
        <w:tc>
          <w:tcPr>
            <w:tcW w:w="907" w:type="dxa"/>
            <w:shd w:val="clear" w:color="auto" w:fill="auto"/>
          </w:tcPr>
          <w:p w14:paraId="3AE2B9AC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9CDD5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200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85A2FC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6E6F4F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60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550E9F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2BBB8E" w14:textId="028C63B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170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4C7443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83%</w:t>
            </w:r>
          </w:p>
        </w:tc>
        <w:tc>
          <w:tcPr>
            <w:tcW w:w="1135" w:type="dxa"/>
            <w:vAlign w:val="bottom"/>
          </w:tcPr>
          <w:p w14:paraId="3E76823A" w14:textId="4EA31431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5F7EF2BA" w14:textId="16E7453B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7%</w:t>
            </w:r>
          </w:p>
        </w:tc>
      </w:tr>
      <w:tr w:rsidR="00707A39" w:rsidRPr="00007B12" w14:paraId="6F6CAB17" w14:textId="2432AB34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22E630F8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07" w:type="dxa"/>
            <w:shd w:val="clear" w:color="auto" w:fill="auto"/>
          </w:tcPr>
          <w:p w14:paraId="73F16E4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1D33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7CB000CC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071B97E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8A06F2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D6433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FDDEA2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135" w:type="dxa"/>
            <w:vAlign w:val="bottom"/>
          </w:tcPr>
          <w:p w14:paraId="294EA9CC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46DEB75E" w14:textId="636EB626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1350E5CE" w14:textId="692D63F1" w:rsidTr="00707A39">
        <w:trPr>
          <w:trHeight w:val="300"/>
        </w:trPr>
        <w:tc>
          <w:tcPr>
            <w:tcW w:w="9628" w:type="dxa"/>
            <w:gridSpan w:val="10"/>
            <w:shd w:val="clear" w:color="auto" w:fill="auto"/>
            <w:noWrap/>
            <w:vAlign w:val="bottom"/>
          </w:tcPr>
          <w:p w14:paraId="0D6009BE" w14:textId="452568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Particles (Own Data)</w:t>
            </w:r>
          </w:p>
        </w:tc>
      </w:tr>
      <w:tr w:rsidR="00707A39" w:rsidRPr="00007B12" w14:paraId="69B46071" w14:textId="7777777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63DCCB98" w14:textId="3A982E3A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Component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287B7590" w14:textId="7B3233A5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Unit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59EC02" w14:textId="4FF43335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Level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4BBFC245" w14:textId="665D523E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N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168CBE17" w14:textId="2528F422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SD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06536D9" w14:textId="2F2A8D80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CV (%)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F5E90A" w14:textId="0E83367A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5FA060A" w14:textId="5ACDAB07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 (%)</w:t>
            </w:r>
          </w:p>
        </w:tc>
        <w:tc>
          <w:tcPr>
            <w:tcW w:w="1135" w:type="dxa"/>
            <w:vAlign w:val="bottom"/>
          </w:tcPr>
          <w:p w14:paraId="53C68C91" w14:textId="1F271B0A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Volume Counted (µL)</w:t>
            </w:r>
          </w:p>
        </w:tc>
        <w:tc>
          <w:tcPr>
            <w:tcW w:w="986" w:type="dxa"/>
            <w:vAlign w:val="bottom"/>
          </w:tcPr>
          <w:p w14:paraId="030B75D7" w14:textId="2B5FAD87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 (</w:t>
            </w:r>
            <w:r w:rsidR="00007B12"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Poisson</w:t>
            </w: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)(%)</w:t>
            </w:r>
          </w:p>
        </w:tc>
      </w:tr>
      <w:tr w:rsidR="00707A39" w:rsidRPr="00007B12" w14:paraId="3586C16C" w14:textId="386274CC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2E1CF9CD" w14:textId="5DFD6966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Bact</w:t>
            </w:r>
          </w:p>
        </w:tc>
        <w:tc>
          <w:tcPr>
            <w:tcW w:w="907" w:type="dxa"/>
            <w:shd w:val="clear" w:color="auto" w:fill="auto"/>
          </w:tcPr>
          <w:p w14:paraId="28A7EA9E" w14:textId="19E6C50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E06B44" w14:textId="66DF7FC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12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587FEE90" w14:textId="59603A1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11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EEFE281" w14:textId="03170B6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4.4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3D140B0" w14:textId="4817544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37%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AB60E6" w14:textId="79FDCFE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2B143E7" w14:textId="5297744E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100%</w:t>
            </w:r>
          </w:p>
        </w:tc>
        <w:tc>
          <w:tcPr>
            <w:tcW w:w="1135" w:type="dxa"/>
            <w:vAlign w:val="bottom"/>
          </w:tcPr>
          <w:p w14:paraId="0C2FE04C" w14:textId="614A8A2B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986" w:type="dxa"/>
            <w:vAlign w:val="bottom"/>
          </w:tcPr>
          <w:p w14:paraId="3427877C" w14:textId="042D4536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80%</w:t>
            </w:r>
          </w:p>
        </w:tc>
      </w:tr>
      <w:tr w:rsidR="00707A39" w:rsidRPr="00007B12" w14:paraId="5E96F73D" w14:textId="6B855D90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1961D59A" w14:textId="158D156A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Bact</w:t>
            </w:r>
          </w:p>
        </w:tc>
        <w:tc>
          <w:tcPr>
            <w:tcW w:w="907" w:type="dxa"/>
            <w:shd w:val="clear" w:color="auto" w:fill="auto"/>
          </w:tcPr>
          <w:p w14:paraId="594C3CCD" w14:textId="73F5FC5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C565BA" w14:textId="5E9DF02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43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1BDC87EF" w14:textId="7258028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76579CDC" w14:textId="345CB2A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4.6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A29973D" w14:textId="4208B02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11%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9BC79E" w14:textId="541147E6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13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B45C4AE" w14:textId="3DFDA356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30%</w:t>
            </w:r>
          </w:p>
        </w:tc>
        <w:tc>
          <w:tcPr>
            <w:tcW w:w="1135" w:type="dxa"/>
            <w:vAlign w:val="bottom"/>
          </w:tcPr>
          <w:p w14:paraId="0FC6FD74" w14:textId="03A382D2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</w:t>
            </w:r>
          </w:p>
        </w:tc>
        <w:tc>
          <w:tcPr>
            <w:tcW w:w="986" w:type="dxa"/>
            <w:vAlign w:val="bottom"/>
          </w:tcPr>
          <w:p w14:paraId="76633C05" w14:textId="187E1D0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42%</w:t>
            </w:r>
          </w:p>
        </w:tc>
      </w:tr>
      <w:tr w:rsidR="00707A39" w:rsidRPr="00007B12" w14:paraId="0DCBF759" w14:textId="58027C6F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6FF33380" w14:textId="3C78A376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</w:t>
            </w:r>
          </w:p>
        </w:tc>
        <w:tc>
          <w:tcPr>
            <w:tcW w:w="907" w:type="dxa"/>
            <w:shd w:val="clear" w:color="auto" w:fill="auto"/>
          </w:tcPr>
          <w:p w14:paraId="600BA7EA" w14:textId="4520B46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35A3EF" w14:textId="06849ADD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8.9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36DEDF31" w14:textId="2F55DF12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1F252CB3" w14:textId="3344AEC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0.89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03096F5" w14:textId="4D86EE8D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1C1D3B" w14:textId="7C1CD3CE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2.5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89A2D63" w14:textId="402C54F6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28%</w:t>
            </w:r>
          </w:p>
        </w:tc>
        <w:tc>
          <w:tcPr>
            <w:tcW w:w="1135" w:type="dxa"/>
            <w:vAlign w:val="bottom"/>
          </w:tcPr>
          <w:p w14:paraId="7AFF2786" w14:textId="36176F96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726C8876" w14:textId="7BC2345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33%</w:t>
            </w:r>
          </w:p>
        </w:tc>
      </w:tr>
      <w:tr w:rsidR="00707A39" w:rsidRPr="00007B12" w14:paraId="69A857D5" w14:textId="48BC046A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6A66A8BA" w14:textId="47720F03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</w:t>
            </w:r>
          </w:p>
        </w:tc>
        <w:tc>
          <w:tcPr>
            <w:tcW w:w="907" w:type="dxa"/>
            <w:shd w:val="clear" w:color="auto" w:fill="auto"/>
          </w:tcPr>
          <w:p w14:paraId="7F63CD18" w14:textId="7A3E883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hAnsi="Calibri" w:cs="Calibri"/>
                <w:color w:val="000000"/>
                <w:lang w:val="en-US"/>
              </w:rPr>
              <w:t>x10^6/L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C016A5" w14:textId="2576998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82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0E317469" w14:textId="295F2F8B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1A4BAA07" w14:textId="265E29E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2.7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3C685C3" w14:textId="388182D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068505" w14:textId="4FB8F53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7.5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F2A0255" w14:textId="050DEE4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8.3%</w:t>
            </w:r>
          </w:p>
        </w:tc>
        <w:tc>
          <w:tcPr>
            <w:tcW w:w="1135" w:type="dxa"/>
            <w:vAlign w:val="bottom"/>
          </w:tcPr>
          <w:p w14:paraId="6A76B0FB" w14:textId="3C209BCB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70021F8F" w14:textId="5F1A5D9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11%</w:t>
            </w:r>
          </w:p>
        </w:tc>
      </w:tr>
      <w:tr w:rsidR="00707A39" w:rsidRPr="00007B12" w14:paraId="2FCE144A" w14:textId="7777777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16943316" w14:textId="7777777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</w:pPr>
          </w:p>
        </w:tc>
        <w:tc>
          <w:tcPr>
            <w:tcW w:w="907" w:type="dxa"/>
            <w:shd w:val="clear" w:color="auto" w:fill="auto"/>
          </w:tcPr>
          <w:p w14:paraId="4E789BBF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FBD68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6F62320A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25269588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4434B7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B2CB8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A36D5D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135" w:type="dxa"/>
            <w:vAlign w:val="bottom"/>
          </w:tcPr>
          <w:p w14:paraId="34B61369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86" w:type="dxa"/>
            <w:vAlign w:val="bottom"/>
          </w:tcPr>
          <w:p w14:paraId="4813847A" w14:textId="77777777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</w:tr>
      <w:tr w:rsidR="00707A39" w:rsidRPr="00007B12" w14:paraId="565FBA11" w14:textId="1C81B4FA" w:rsidTr="00707A39">
        <w:trPr>
          <w:trHeight w:val="300"/>
        </w:trPr>
        <w:tc>
          <w:tcPr>
            <w:tcW w:w="9628" w:type="dxa"/>
            <w:gridSpan w:val="10"/>
            <w:shd w:val="clear" w:color="auto" w:fill="auto"/>
            <w:noWrap/>
            <w:vAlign w:val="bottom"/>
          </w:tcPr>
          <w:p w14:paraId="37089065" w14:textId="5FB94204" w:rsidR="00707A39" w:rsidRPr="00007B12" w:rsidRDefault="00707A39" w:rsidP="007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Particles (Previtali et al)</w:t>
            </w:r>
            <w:r w:rsidR="005E5F6F"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[14]</w:t>
            </w:r>
          </w:p>
        </w:tc>
      </w:tr>
      <w:tr w:rsidR="00707A39" w:rsidRPr="00007B12" w14:paraId="6FBC5648" w14:textId="7777777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0D608C00" w14:textId="2528AF0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Component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4BE7A14F" w14:textId="24CF62E8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Unit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42E37" w14:textId="43121D12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Level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570DB7A4" w14:textId="28F21D9F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N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444AE93E" w14:textId="6B672DAF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SD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8E2C120" w14:textId="70507301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CV (%)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1794AE" w14:textId="5958E4DF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9AFCFEB" w14:textId="4251346D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 (%)</w:t>
            </w:r>
          </w:p>
        </w:tc>
        <w:tc>
          <w:tcPr>
            <w:tcW w:w="1135" w:type="dxa"/>
            <w:vAlign w:val="bottom"/>
          </w:tcPr>
          <w:p w14:paraId="18C85C31" w14:textId="40550547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Volume Counted (µL)</w:t>
            </w:r>
          </w:p>
        </w:tc>
        <w:tc>
          <w:tcPr>
            <w:tcW w:w="986" w:type="dxa"/>
            <w:vAlign w:val="bottom"/>
          </w:tcPr>
          <w:p w14:paraId="598573E7" w14:textId="22D7AAB7" w:rsidR="00707A39" w:rsidRPr="00007B12" w:rsidRDefault="00707A39" w:rsidP="000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Expected Limits (</w:t>
            </w:r>
            <w:r w:rsidR="00007B12"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Poisson</w:t>
            </w:r>
            <w:r w:rsidRPr="00007B12">
              <w:rPr>
                <w:rFonts w:ascii="Calibri" w:eastAsia="Times New Roman" w:hAnsi="Calibri" w:cs="Calibri"/>
                <w:b/>
                <w:color w:val="000000"/>
                <w:lang w:val="en-US" w:eastAsia="da-DK"/>
              </w:rPr>
              <w:t>)(%)</w:t>
            </w:r>
          </w:p>
        </w:tc>
      </w:tr>
      <w:tr w:rsidR="00707A39" w:rsidRPr="00007B12" w14:paraId="2D142A9D" w14:textId="5E9847A9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60BA98C4" w14:textId="7C30332E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</w:t>
            </w:r>
          </w:p>
        </w:tc>
        <w:tc>
          <w:tcPr>
            <w:tcW w:w="907" w:type="dxa"/>
            <w:shd w:val="clear" w:color="auto" w:fill="auto"/>
          </w:tcPr>
          <w:p w14:paraId="71838DE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E732E0" w14:textId="0F416B6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1.86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6697AD7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63E786C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42954A2" w14:textId="13F29B6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25.42%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A09F6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D0ED528" w14:textId="7F30225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70%</w:t>
            </w:r>
          </w:p>
        </w:tc>
        <w:tc>
          <w:tcPr>
            <w:tcW w:w="1135" w:type="dxa"/>
            <w:vAlign w:val="bottom"/>
          </w:tcPr>
          <w:p w14:paraId="3AC8AB91" w14:textId="4A058D77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1301F77D" w14:textId="533D7831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73%</w:t>
            </w:r>
          </w:p>
        </w:tc>
      </w:tr>
      <w:tr w:rsidR="00707A39" w:rsidRPr="00007B12" w14:paraId="40A3977C" w14:textId="4D8028C3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06E8FD24" w14:textId="3AC7AFC5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</w:t>
            </w:r>
          </w:p>
        </w:tc>
        <w:tc>
          <w:tcPr>
            <w:tcW w:w="907" w:type="dxa"/>
            <w:shd w:val="clear" w:color="auto" w:fill="auto"/>
          </w:tcPr>
          <w:p w14:paraId="3344020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0DB57B" w14:textId="0555DEF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8.55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4FF816B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7B8C1496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7FEC1D7" w14:textId="5D40E10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13.81%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5F3EF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7FFEFE9" w14:textId="56FD1E45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38%</w:t>
            </w:r>
          </w:p>
        </w:tc>
        <w:tc>
          <w:tcPr>
            <w:tcW w:w="1135" w:type="dxa"/>
            <w:vAlign w:val="bottom"/>
          </w:tcPr>
          <w:p w14:paraId="7A8FAAF8" w14:textId="5210FC73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48A89D14" w14:textId="701F105A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34%</w:t>
            </w:r>
          </w:p>
        </w:tc>
      </w:tr>
      <w:tr w:rsidR="00707A39" w:rsidRPr="00007B12" w14:paraId="2F408439" w14:textId="079ED2C0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085ADED2" w14:textId="19AEE466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RBC</w:t>
            </w:r>
          </w:p>
        </w:tc>
        <w:tc>
          <w:tcPr>
            <w:tcW w:w="907" w:type="dxa"/>
            <w:shd w:val="clear" w:color="auto" w:fill="auto"/>
          </w:tcPr>
          <w:p w14:paraId="2122C39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B6D651" w14:textId="51AB598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2042.12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7A48C66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4F13E1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5E86B0C" w14:textId="1D05101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1.36%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5F920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D715115" w14:textId="28DEDCF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4%</w:t>
            </w:r>
          </w:p>
        </w:tc>
        <w:tc>
          <w:tcPr>
            <w:tcW w:w="1135" w:type="dxa"/>
            <w:vAlign w:val="bottom"/>
          </w:tcPr>
          <w:p w14:paraId="0D74CD09" w14:textId="70B1A908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7307B1FD" w14:textId="453C9569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2%</w:t>
            </w:r>
          </w:p>
        </w:tc>
      </w:tr>
      <w:tr w:rsidR="00707A39" w:rsidRPr="00007B12" w14:paraId="691DE718" w14:textId="0944377E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03A59B44" w14:textId="2EB4454E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WBC</w:t>
            </w:r>
          </w:p>
        </w:tc>
        <w:tc>
          <w:tcPr>
            <w:tcW w:w="907" w:type="dxa"/>
            <w:shd w:val="clear" w:color="auto" w:fill="auto"/>
          </w:tcPr>
          <w:p w14:paraId="034220E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F4DCF1" w14:textId="0758AA71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0.87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3ECCC4AC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0A1D10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ADCCB83" w14:textId="6646768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37.50%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855D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A827060" w14:textId="4A1DF41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104%</w:t>
            </w:r>
          </w:p>
        </w:tc>
        <w:tc>
          <w:tcPr>
            <w:tcW w:w="1135" w:type="dxa"/>
            <w:vAlign w:val="bottom"/>
          </w:tcPr>
          <w:p w14:paraId="45057774" w14:textId="6AAE8F44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19118490" w14:textId="084AFC64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106%</w:t>
            </w:r>
          </w:p>
        </w:tc>
      </w:tr>
      <w:tr w:rsidR="00707A39" w:rsidRPr="00007B12" w14:paraId="73A9A2A2" w14:textId="50174D19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43A30943" w14:textId="46F2A1B7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WBC</w:t>
            </w:r>
          </w:p>
        </w:tc>
        <w:tc>
          <w:tcPr>
            <w:tcW w:w="907" w:type="dxa"/>
            <w:shd w:val="clear" w:color="auto" w:fill="auto"/>
          </w:tcPr>
          <w:p w14:paraId="60A7173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31BA6D" w14:textId="1E70381C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12.81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5FC9923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2FBC8D5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05486B2" w14:textId="383DF9C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10.16%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C0230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70D48AC" w14:textId="30362149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28%</w:t>
            </w:r>
          </w:p>
        </w:tc>
        <w:tc>
          <w:tcPr>
            <w:tcW w:w="1135" w:type="dxa"/>
            <w:vAlign w:val="bottom"/>
          </w:tcPr>
          <w:p w14:paraId="761DC0F4" w14:textId="45BB0B2E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28F5882F" w14:textId="5C29018F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28%</w:t>
            </w:r>
          </w:p>
        </w:tc>
      </w:tr>
      <w:tr w:rsidR="00707A39" w:rsidRPr="00007B12" w14:paraId="66A6CA23" w14:textId="6E762D37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374B05BD" w14:textId="6532BBAD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WBC</w:t>
            </w:r>
          </w:p>
        </w:tc>
        <w:tc>
          <w:tcPr>
            <w:tcW w:w="907" w:type="dxa"/>
            <w:shd w:val="clear" w:color="auto" w:fill="auto"/>
          </w:tcPr>
          <w:p w14:paraId="54280032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9C6485" w14:textId="49386ACA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14653.86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13C8FA7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203C7667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A970D7B" w14:textId="3CA40DE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1.41%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ED0D2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41DCF4E" w14:textId="695E9430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4%</w:t>
            </w:r>
          </w:p>
        </w:tc>
        <w:tc>
          <w:tcPr>
            <w:tcW w:w="1135" w:type="dxa"/>
            <w:vAlign w:val="bottom"/>
          </w:tcPr>
          <w:p w14:paraId="4C4B38F9" w14:textId="33A8B7A2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46B19562" w14:textId="715385CE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1%</w:t>
            </w:r>
          </w:p>
        </w:tc>
      </w:tr>
      <w:tr w:rsidR="00707A39" w:rsidRPr="00007B12" w14:paraId="20237331" w14:textId="25BCBAED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63DF2B53" w14:textId="205338BE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EC</w:t>
            </w:r>
          </w:p>
        </w:tc>
        <w:tc>
          <w:tcPr>
            <w:tcW w:w="907" w:type="dxa"/>
            <w:shd w:val="clear" w:color="auto" w:fill="auto"/>
          </w:tcPr>
          <w:p w14:paraId="038DFDC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C661E" w14:textId="3D205BD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1.45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02F69605" w14:textId="4A1C7A43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48E600E1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ABC8105" w14:textId="56ADED2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35.25%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AE8005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D722C89" w14:textId="688861A9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98%</w:t>
            </w:r>
          </w:p>
        </w:tc>
        <w:tc>
          <w:tcPr>
            <w:tcW w:w="1135" w:type="dxa"/>
            <w:vAlign w:val="bottom"/>
          </w:tcPr>
          <w:p w14:paraId="26DA64F0" w14:textId="6A99861C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545BE645" w14:textId="721A47C0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82%</w:t>
            </w:r>
          </w:p>
        </w:tc>
      </w:tr>
      <w:tr w:rsidR="00707A39" w:rsidRPr="00007B12" w14:paraId="7AC2C160" w14:textId="649DCC8A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0BE5B355" w14:textId="7CF12784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EC</w:t>
            </w:r>
          </w:p>
        </w:tc>
        <w:tc>
          <w:tcPr>
            <w:tcW w:w="907" w:type="dxa"/>
            <w:shd w:val="clear" w:color="auto" w:fill="auto"/>
          </w:tcPr>
          <w:p w14:paraId="061D7230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B258A8" w14:textId="2B07106D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6.42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7EFFE7DD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A6F0A6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0EE509B" w14:textId="696FD39F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17.85%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971F93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DA33F5D" w14:textId="58D89B89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49%</w:t>
            </w:r>
          </w:p>
        </w:tc>
        <w:tc>
          <w:tcPr>
            <w:tcW w:w="1135" w:type="dxa"/>
            <w:vAlign w:val="bottom"/>
          </w:tcPr>
          <w:p w14:paraId="10A6F70D" w14:textId="1EBACC39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14BCC46B" w14:textId="46CF4925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39%</w:t>
            </w:r>
          </w:p>
        </w:tc>
      </w:tr>
      <w:tr w:rsidR="00707A39" w:rsidRPr="00007B12" w14:paraId="371A9E65" w14:textId="28C80122" w:rsidTr="000C4DF3">
        <w:trPr>
          <w:trHeight w:val="300"/>
        </w:trPr>
        <w:tc>
          <w:tcPr>
            <w:tcW w:w="1498" w:type="dxa"/>
            <w:shd w:val="clear" w:color="auto" w:fill="auto"/>
            <w:noWrap/>
            <w:vAlign w:val="bottom"/>
          </w:tcPr>
          <w:p w14:paraId="339F9CC7" w14:textId="4A85F301" w:rsidR="00707A39" w:rsidRPr="00007B12" w:rsidRDefault="00707A39" w:rsidP="00707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EC</w:t>
            </w:r>
          </w:p>
        </w:tc>
        <w:tc>
          <w:tcPr>
            <w:tcW w:w="907" w:type="dxa"/>
            <w:shd w:val="clear" w:color="auto" w:fill="auto"/>
          </w:tcPr>
          <w:p w14:paraId="0D4E4D6C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FCD485" w14:textId="75C792F4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204.39</w:t>
            </w:r>
          </w:p>
        </w:tc>
        <w:tc>
          <w:tcPr>
            <w:tcW w:w="434" w:type="dxa"/>
            <w:shd w:val="clear" w:color="auto" w:fill="auto"/>
            <w:noWrap/>
            <w:vAlign w:val="bottom"/>
          </w:tcPr>
          <w:p w14:paraId="7171B334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1F4B745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427A2C4" w14:textId="02166E88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6.30%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9C04BB" w14:textId="77777777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F6E575F" w14:textId="4F883E0E" w:rsidR="00707A39" w:rsidRPr="00007B12" w:rsidRDefault="00707A39" w:rsidP="00707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17%</w:t>
            </w:r>
          </w:p>
        </w:tc>
        <w:tc>
          <w:tcPr>
            <w:tcW w:w="1135" w:type="dxa"/>
            <w:vAlign w:val="bottom"/>
          </w:tcPr>
          <w:p w14:paraId="3CEAEE49" w14:textId="7F395755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7.8</w:t>
            </w:r>
          </w:p>
        </w:tc>
        <w:tc>
          <w:tcPr>
            <w:tcW w:w="986" w:type="dxa"/>
            <w:vAlign w:val="bottom"/>
          </w:tcPr>
          <w:p w14:paraId="1BE03B0A" w14:textId="445B3E7A" w:rsidR="00707A39" w:rsidRPr="00007B12" w:rsidRDefault="00707A39" w:rsidP="000C4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007B12">
              <w:rPr>
                <w:rFonts w:ascii="Calibri" w:eastAsia="Times New Roman" w:hAnsi="Calibri" w:cs="Calibri"/>
                <w:color w:val="000000"/>
                <w:lang w:val="en-US" w:eastAsia="da-DK"/>
              </w:rPr>
              <w:t>7%</w:t>
            </w:r>
          </w:p>
        </w:tc>
      </w:tr>
    </w:tbl>
    <w:p w14:paraId="0F3FFD08" w14:textId="3B288477" w:rsidR="00A06C08" w:rsidRPr="00007B12" w:rsidRDefault="00B338E9">
      <w:pPr>
        <w:rPr>
          <w:lang w:val="en-US"/>
        </w:rPr>
      </w:pPr>
      <w:r w:rsidRPr="00007B12">
        <w:rPr>
          <w:lang w:val="en-US"/>
        </w:rPr>
        <w:t>Table S2</w:t>
      </w:r>
      <w:r w:rsidRPr="00007B12">
        <w:rPr>
          <w:lang w:val="en-US"/>
        </w:rPr>
        <w:br/>
        <w:t xml:space="preserve">Analytical </w:t>
      </w:r>
      <w:r w:rsidR="00E13ACE" w:rsidRPr="00007B12">
        <w:rPr>
          <w:lang w:val="en-US"/>
        </w:rPr>
        <w:t>s</w:t>
      </w:r>
      <w:r w:rsidRPr="00007B12">
        <w:rPr>
          <w:lang w:val="en-US"/>
        </w:rPr>
        <w:t>tandard deviations (SDa</w:t>
      </w:r>
      <w:r w:rsidR="00E13ACE" w:rsidRPr="00007B12">
        <w:rPr>
          <w:lang w:val="en-US"/>
        </w:rPr>
        <w:t>) and c</w:t>
      </w:r>
      <w:r w:rsidRPr="00007B12">
        <w:rPr>
          <w:lang w:val="en-US"/>
        </w:rPr>
        <w:t xml:space="preserve">oefficients of </w:t>
      </w:r>
      <w:r w:rsidR="00E13ACE" w:rsidRPr="00007B12">
        <w:rPr>
          <w:lang w:val="en-US"/>
        </w:rPr>
        <w:t>v</w:t>
      </w:r>
      <w:r w:rsidRPr="00007B12">
        <w:rPr>
          <w:lang w:val="en-US"/>
        </w:rPr>
        <w:t>ariation (CV%a) and dedu</w:t>
      </w:r>
      <w:r w:rsidR="0009224F" w:rsidRPr="00007B12">
        <w:rPr>
          <w:lang w:val="en-US"/>
        </w:rPr>
        <w:t>ced expected limits of agreement</w:t>
      </w:r>
      <w:r w:rsidR="00D77717" w:rsidRPr="00007B12">
        <w:rPr>
          <w:lang w:val="en-US"/>
        </w:rPr>
        <w:t xml:space="preserve"> (LoAs</w:t>
      </w:r>
      <w:r w:rsidR="00007B12" w:rsidRPr="00007B12">
        <w:rPr>
          <w:lang w:val="en-US"/>
        </w:rPr>
        <w:t>) in</w:t>
      </w:r>
      <w:r w:rsidRPr="00007B12">
        <w:rPr>
          <w:lang w:val="en-US"/>
        </w:rPr>
        <w:t xml:space="preserve"> natural units and in percent.</w:t>
      </w:r>
      <w:r w:rsidRPr="00007B12">
        <w:rPr>
          <w:lang w:val="en-US"/>
        </w:rPr>
        <w:br/>
      </w:r>
      <w:r w:rsidR="00A06C08" w:rsidRPr="00007B12">
        <w:rPr>
          <w:lang w:val="en-US"/>
        </w:rPr>
        <w:t>For soluble</w:t>
      </w:r>
      <w:r w:rsidR="00007B12">
        <w:rPr>
          <w:lang w:val="en-US"/>
        </w:rPr>
        <w:t xml:space="preserve"> components</w:t>
      </w:r>
      <w:r w:rsidR="00A06C08" w:rsidRPr="00007B12">
        <w:rPr>
          <w:lang w:val="en-US"/>
        </w:rPr>
        <w:t>, own data based repeated measurements of internal control materials, and derived</w:t>
      </w:r>
      <w:r w:rsidR="00D77717" w:rsidRPr="00007B12">
        <w:rPr>
          <w:lang w:val="en-US"/>
        </w:rPr>
        <w:t xml:space="preserve"> expected</w:t>
      </w:r>
      <w:r w:rsidR="00A06C08" w:rsidRPr="00007B12">
        <w:rPr>
          <w:lang w:val="en-US"/>
        </w:rPr>
        <w:t xml:space="preserve"> </w:t>
      </w:r>
      <w:r w:rsidR="00D77717" w:rsidRPr="00007B12">
        <w:rPr>
          <w:lang w:val="en-US"/>
        </w:rPr>
        <w:t>LoAs are given.</w:t>
      </w:r>
    </w:p>
    <w:p w14:paraId="6A4F8556" w14:textId="16A7E33E" w:rsidR="00D77717" w:rsidRPr="00007B12" w:rsidRDefault="00906C71">
      <w:pPr>
        <w:rPr>
          <w:lang w:val="en-US"/>
        </w:rPr>
      </w:pPr>
      <w:r w:rsidRPr="00007B12">
        <w:rPr>
          <w:lang w:val="en-US"/>
        </w:rPr>
        <w:t>For pa</w:t>
      </w:r>
      <w:r w:rsidR="00E13ACE" w:rsidRPr="00007B12">
        <w:rPr>
          <w:lang w:val="en-US"/>
        </w:rPr>
        <w:t>r</w:t>
      </w:r>
      <w:r w:rsidRPr="00007B12">
        <w:rPr>
          <w:lang w:val="en-US"/>
        </w:rPr>
        <w:t>ticles</w:t>
      </w:r>
      <w:r w:rsidR="00BB7640" w:rsidRPr="00007B12">
        <w:rPr>
          <w:lang w:val="en-US"/>
        </w:rPr>
        <w:t>,</w:t>
      </w:r>
      <w:r w:rsidRPr="00007B12">
        <w:rPr>
          <w:lang w:val="en-US"/>
        </w:rPr>
        <w:t xml:space="preserve"> data </w:t>
      </w:r>
      <w:r w:rsidR="00E13ACE" w:rsidRPr="00007B12">
        <w:rPr>
          <w:lang w:val="en-US"/>
        </w:rPr>
        <w:t xml:space="preserve">for within-run repeatability </w:t>
      </w:r>
      <w:r w:rsidRPr="00007B12">
        <w:rPr>
          <w:lang w:val="en-US"/>
        </w:rPr>
        <w:t>supplied by</w:t>
      </w:r>
      <w:r w:rsidR="00B338E9" w:rsidRPr="00007B12">
        <w:rPr>
          <w:lang w:val="en-US"/>
        </w:rPr>
        <w:t xml:space="preserve"> t</w:t>
      </w:r>
      <w:r w:rsidRPr="00007B12">
        <w:rPr>
          <w:lang w:val="en-US"/>
        </w:rPr>
        <w:t>he manufacturer (Sysmex) is given</w:t>
      </w:r>
      <w:r w:rsidR="00B338E9" w:rsidRPr="00007B12">
        <w:rPr>
          <w:lang w:val="en-US"/>
        </w:rPr>
        <w:t xml:space="preserve">. For bacteria </w:t>
      </w:r>
      <w:r w:rsidR="00E13ACE" w:rsidRPr="00007B12">
        <w:rPr>
          <w:lang w:val="en-US"/>
        </w:rPr>
        <w:t>and r</w:t>
      </w:r>
      <w:r w:rsidRPr="00007B12">
        <w:rPr>
          <w:lang w:val="en-US"/>
        </w:rPr>
        <w:t>ed</w:t>
      </w:r>
      <w:r w:rsidR="00E13ACE" w:rsidRPr="00007B12">
        <w:rPr>
          <w:lang w:val="en-US"/>
        </w:rPr>
        <w:t xml:space="preserve"> blood c</w:t>
      </w:r>
      <w:r w:rsidRPr="00007B12">
        <w:rPr>
          <w:lang w:val="en-US"/>
        </w:rPr>
        <w:t xml:space="preserve">ells </w:t>
      </w:r>
      <w:r w:rsidR="00B338E9" w:rsidRPr="00007B12">
        <w:rPr>
          <w:lang w:val="en-US"/>
        </w:rPr>
        <w:t xml:space="preserve">own data </w:t>
      </w:r>
      <w:r w:rsidR="00E13ACE" w:rsidRPr="00007B12">
        <w:rPr>
          <w:lang w:val="en-US"/>
        </w:rPr>
        <w:t>is</w:t>
      </w:r>
      <w:r w:rsidRPr="00007B12">
        <w:rPr>
          <w:lang w:val="en-US"/>
        </w:rPr>
        <w:t xml:space="preserve"> given.</w:t>
      </w:r>
      <w:r w:rsidR="00D77717" w:rsidRPr="00007B12">
        <w:rPr>
          <w:lang w:val="en-US"/>
        </w:rPr>
        <w:t xml:space="preserve"> For RBC, WBC and EC data from Previtali et al is given. </w:t>
      </w:r>
      <w:r w:rsidR="00D77717" w:rsidRPr="00007B12">
        <w:rPr>
          <w:lang w:val="en-US"/>
        </w:rPr>
        <w:br/>
        <w:t>For all particle counts, the volume counted and the derived expected LoAs</w:t>
      </w:r>
      <w:r w:rsidRPr="00007B12">
        <w:rPr>
          <w:lang w:val="en-US"/>
        </w:rPr>
        <w:t xml:space="preserve"> </w:t>
      </w:r>
      <w:r w:rsidR="00D77717" w:rsidRPr="00007B12">
        <w:rPr>
          <w:lang w:val="en-US"/>
        </w:rPr>
        <w:t xml:space="preserve">based on Poisson distribution </w:t>
      </w:r>
      <w:r w:rsidR="00007B12" w:rsidRPr="00007B12">
        <w:rPr>
          <w:lang w:val="en-US"/>
        </w:rPr>
        <w:t>is</w:t>
      </w:r>
      <w:r w:rsidR="00D77717" w:rsidRPr="00007B12">
        <w:rPr>
          <w:lang w:val="en-US"/>
        </w:rPr>
        <w:t xml:space="preserve"> given for comparison. </w:t>
      </w:r>
      <w:r w:rsidR="00007B12" w:rsidRPr="00007B12">
        <w:rPr>
          <w:lang w:val="en-US"/>
        </w:rPr>
        <w:t>Generally,</w:t>
      </w:r>
      <w:r w:rsidR="00D77717" w:rsidRPr="00007B12">
        <w:rPr>
          <w:lang w:val="en-US"/>
        </w:rPr>
        <w:t xml:space="preserve"> the theoretical LoAs, based on Poisson distribution are similar to the observed values from Previtali et al and our own data.</w:t>
      </w:r>
    </w:p>
    <w:p w14:paraId="476E8DEA" w14:textId="1A77CE38" w:rsidR="00B338E9" w:rsidRPr="00007B12" w:rsidRDefault="00906C71">
      <w:pPr>
        <w:rPr>
          <w:lang w:val="en-US"/>
        </w:rPr>
      </w:pPr>
      <w:r w:rsidRPr="00007B12">
        <w:rPr>
          <w:lang w:val="en-US"/>
        </w:rPr>
        <w:t>Material</w:t>
      </w:r>
      <w:r w:rsidR="00E13ACE" w:rsidRPr="00007B12">
        <w:rPr>
          <w:lang w:val="en-US"/>
        </w:rPr>
        <w:t>s used for own data</w:t>
      </w:r>
      <w:r w:rsidRPr="00007B12">
        <w:rPr>
          <w:lang w:val="en-US"/>
        </w:rPr>
        <w:t xml:space="preserve">: </w:t>
      </w:r>
      <w:r w:rsidR="00E13ACE" w:rsidRPr="00007B12">
        <w:rPr>
          <w:lang w:val="en-US"/>
        </w:rPr>
        <w:t>U</w:t>
      </w:r>
      <w:r w:rsidRPr="00007B12">
        <w:rPr>
          <w:lang w:val="en-US"/>
        </w:rPr>
        <w:t>rine samples</w:t>
      </w:r>
      <w:r w:rsidR="00E13ACE" w:rsidRPr="00007B12">
        <w:rPr>
          <w:lang w:val="en-US"/>
        </w:rPr>
        <w:t xml:space="preserve"> (bacteria)</w:t>
      </w:r>
      <w:r w:rsidR="00BB7640" w:rsidRPr="00007B12">
        <w:rPr>
          <w:lang w:val="en-US"/>
        </w:rPr>
        <w:t>, s</w:t>
      </w:r>
      <w:r w:rsidRPr="00007B12">
        <w:rPr>
          <w:lang w:val="en-US"/>
        </w:rPr>
        <w:t>piked isotonic</w:t>
      </w:r>
      <w:r w:rsidR="00E13ACE" w:rsidRPr="00007B12">
        <w:rPr>
          <w:lang w:val="en-US"/>
        </w:rPr>
        <w:t xml:space="preserve"> saline (red blood cells) and internal controls (soluble</w:t>
      </w:r>
      <w:r w:rsidR="00007B12">
        <w:rPr>
          <w:lang w:val="en-US"/>
        </w:rPr>
        <w:t xml:space="preserve"> components</w:t>
      </w:r>
      <w:bookmarkStart w:id="0" w:name="_GoBack"/>
      <w:bookmarkEnd w:id="0"/>
      <w:r w:rsidR="00E13ACE" w:rsidRPr="00007B12">
        <w:rPr>
          <w:lang w:val="en-US"/>
        </w:rPr>
        <w:t>).</w:t>
      </w:r>
    </w:p>
    <w:sectPr w:rsidR="00B338E9" w:rsidRPr="00007B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B2"/>
    <w:rsid w:val="00007B12"/>
    <w:rsid w:val="00033999"/>
    <w:rsid w:val="0009224F"/>
    <w:rsid w:val="000C4DF3"/>
    <w:rsid w:val="000F7F7B"/>
    <w:rsid w:val="00170AA0"/>
    <w:rsid w:val="0019349A"/>
    <w:rsid w:val="0050066F"/>
    <w:rsid w:val="005432C7"/>
    <w:rsid w:val="005E5F6F"/>
    <w:rsid w:val="006A483D"/>
    <w:rsid w:val="00707A39"/>
    <w:rsid w:val="00743C98"/>
    <w:rsid w:val="00780DE1"/>
    <w:rsid w:val="008813DD"/>
    <w:rsid w:val="00887461"/>
    <w:rsid w:val="008C0C8C"/>
    <w:rsid w:val="00906C71"/>
    <w:rsid w:val="009A2143"/>
    <w:rsid w:val="00A06C08"/>
    <w:rsid w:val="00A20C8A"/>
    <w:rsid w:val="00A67A50"/>
    <w:rsid w:val="00B338E9"/>
    <w:rsid w:val="00BB7640"/>
    <w:rsid w:val="00BD3AB2"/>
    <w:rsid w:val="00D77717"/>
    <w:rsid w:val="00D97FD0"/>
    <w:rsid w:val="00DF4233"/>
    <w:rsid w:val="00E13ACE"/>
    <w:rsid w:val="00F04FED"/>
    <w:rsid w:val="00FB2BB6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8712"/>
  <w15:chartTrackingRefBased/>
  <w15:docId w15:val="{D7E69F25-F196-4458-8A0B-A2507478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Sandvig Andersen</dc:creator>
  <cp:keywords/>
  <dc:description/>
  <cp:lastModifiedBy>Eline Sandvig Andersen</cp:lastModifiedBy>
  <cp:revision>2</cp:revision>
  <cp:lastPrinted>2020-10-03T19:00:00Z</cp:lastPrinted>
  <dcterms:created xsi:type="dcterms:W3CDTF">2020-11-01T09:38:00Z</dcterms:created>
  <dcterms:modified xsi:type="dcterms:W3CDTF">2020-11-01T09:38:00Z</dcterms:modified>
</cp:coreProperties>
</file>