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F3" w:rsidRPr="003F2061" w:rsidRDefault="00117BFE" w:rsidP="00091B7D">
      <w:pPr>
        <w:pStyle w:val="NurText"/>
      </w:pPr>
      <w:r w:rsidRPr="003F2061">
        <w:t xml:space="preserve">Table A : Risk classification </w:t>
      </w:r>
      <w:r w:rsidRPr="003F2061">
        <w:rPr>
          <w:rFonts w:cs="AdvOT1ef757c0"/>
          <w:color w:val="000000"/>
        </w:rPr>
        <w:t>analysis at 24-, 42- and 96-month mortality</w:t>
      </w:r>
    </w:p>
    <w:p w:rsidR="00117BFE" w:rsidRPr="003F2061" w:rsidRDefault="00117BFE" w:rsidP="00091B7D">
      <w:pPr>
        <w:pStyle w:val="NurText"/>
      </w:pPr>
    </w:p>
    <w:tbl>
      <w:tblPr>
        <w:tblStyle w:val="Tabellenraster"/>
        <w:tblW w:w="1160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1817"/>
        <w:gridCol w:w="568"/>
        <w:gridCol w:w="197"/>
        <w:gridCol w:w="1610"/>
        <w:gridCol w:w="568"/>
        <w:gridCol w:w="197"/>
        <w:gridCol w:w="1782"/>
        <w:gridCol w:w="718"/>
        <w:gridCol w:w="140"/>
        <w:gridCol w:w="1556"/>
        <w:gridCol w:w="718"/>
        <w:gridCol w:w="636"/>
        <w:gridCol w:w="182"/>
      </w:tblGrid>
      <w:tr w:rsidR="00117BFE" w:rsidRPr="003F2061" w:rsidTr="008331D3">
        <w:tc>
          <w:tcPr>
            <w:tcW w:w="912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4760" w:type="dxa"/>
            <w:gridSpan w:val="5"/>
          </w:tcPr>
          <w:p w:rsidR="00117BFE" w:rsidRPr="003F2061" w:rsidRDefault="00117BFE" w:rsidP="008331D3">
            <w:pPr>
              <w:jc w:val="center"/>
              <w:rPr>
                <w:rFonts w:cs="Arial"/>
                <w:b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b/>
                <w:color w:val="222222"/>
                <w:shd w:val="clear" w:color="auto" w:fill="FFFFFF"/>
                <w:lang w:val="en-US"/>
              </w:rPr>
              <w:t>All-cause mortality</w:t>
            </w:r>
          </w:p>
        </w:tc>
        <w:tc>
          <w:tcPr>
            <w:tcW w:w="5929" w:type="dxa"/>
            <w:gridSpan w:val="8"/>
          </w:tcPr>
          <w:p w:rsidR="00117BFE" w:rsidRPr="003F2061" w:rsidRDefault="00117BFE" w:rsidP="008331D3">
            <w:pPr>
              <w:jc w:val="center"/>
              <w:rPr>
                <w:rFonts w:cs="Arial"/>
                <w:b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b/>
                <w:color w:val="222222"/>
                <w:shd w:val="clear" w:color="auto" w:fill="FFFFFF"/>
                <w:lang w:val="en-US"/>
              </w:rPr>
              <w:t>Cardiovascular mortality</w:t>
            </w:r>
          </w:p>
        </w:tc>
      </w:tr>
      <w:tr w:rsidR="00117BFE" w:rsidRPr="003F2061" w:rsidTr="008331D3">
        <w:trPr>
          <w:gridAfter w:val="1"/>
          <w:wAfter w:w="182" w:type="dxa"/>
        </w:trPr>
        <w:tc>
          <w:tcPr>
            <w:tcW w:w="912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2385" w:type="dxa"/>
            <w:gridSpan w:val="2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supAR vs NT-proBNP</w:t>
            </w:r>
          </w:p>
        </w:tc>
        <w:tc>
          <w:tcPr>
            <w:tcW w:w="2375" w:type="dxa"/>
            <w:gridSpan w:val="3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suPAR vs MAGGIC score</w:t>
            </w:r>
          </w:p>
        </w:tc>
        <w:tc>
          <w:tcPr>
            <w:tcW w:w="2837" w:type="dxa"/>
            <w:gridSpan w:val="4"/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supAR vs NT-proBNP</w:t>
            </w:r>
          </w:p>
        </w:tc>
        <w:tc>
          <w:tcPr>
            <w:tcW w:w="2910" w:type="dxa"/>
            <w:gridSpan w:val="3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suPAR vs MAGGIC score</w:t>
            </w:r>
          </w:p>
        </w:tc>
      </w:tr>
      <w:tr w:rsidR="00117BFE" w:rsidRPr="003F2061" w:rsidTr="008331D3">
        <w:trPr>
          <w:gridAfter w:val="2"/>
          <w:wAfter w:w="818" w:type="dxa"/>
        </w:trPr>
        <w:tc>
          <w:tcPr>
            <w:tcW w:w="912" w:type="dxa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NRI (%)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p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NRI (%)</w:t>
            </w: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p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NRI (%)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p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NRI (%)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117BFE" w:rsidRPr="003F2061" w:rsidRDefault="00117BFE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p</w:t>
            </w:r>
          </w:p>
        </w:tc>
      </w:tr>
      <w:tr w:rsidR="00117BFE" w:rsidRPr="003F2061" w:rsidTr="008331D3">
        <w:trPr>
          <w:gridAfter w:val="2"/>
          <w:wAfter w:w="818" w:type="dxa"/>
        </w:trPr>
        <w:tc>
          <w:tcPr>
            <w:tcW w:w="912" w:type="dxa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Months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</w:tr>
      <w:tr w:rsidR="00117BFE" w:rsidRPr="003F2061" w:rsidTr="008331D3">
        <w:trPr>
          <w:gridAfter w:val="2"/>
          <w:wAfter w:w="818" w:type="dxa"/>
        </w:trPr>
        <w:tc>
          <w:tcPr>
            <w:tcW w:w="912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24</w:t>
            </w:r>
          </w:p>
        </w:tc>
        <w:tc>
          <w:tcPr>
            <w:tcW w:w="1817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30.8 [10.8-47.7</w:t>
            </w:r>
          </w:p>
        </w:tc>
        <w:tc>
          <w:tcPr>
            <w:tcW w:w="765" w:type="dxa"/>
            <w:gridSpan w:val="2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0.004</w:t>
            </w:r>
          </w:p>
        </w:tc>
        <w:tc>
          <w:tcPr>
            <w:tcW w:w="1610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35 [10.4-51.7]</w:t>
            </w:r>
          </w:p>
        </w:tc>
        <w:tc>
          <w:tcPr>
            <w:tcW w:w="765" w:type="dxa"/>
            <w:gridSpan w:val="2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0.006</w:t>
            </w:r>
          </w:p>
        </w:tc>
        <w:tc>
          <w:tcPr>
            <w:tcW w:w="1782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33.6 [ 6- 53.6 ]</w:t>
            </w:r>
          </w:p>
        </w:tc>
        <w:tc>
          <w:tcPr>
            <w:tcW w:w="718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0.018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37.8 [2.5-56.7]</w:t>
            </w:r>
          </w:p>
        </w:tc>
        <w:tc>
          <w:tcPr>
            <w:tcW w:w="718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0.04</w:t>
            </w:r>
          </w:p>
        </w:tc>
      </w:tr>
      <w:tr w:rsidR="00117BFE" w:rsidRPr="003F2061" w:rsidTr="008331D3">
        <w:trPr>
          <w:gridAfter w:val="2"/>
          <w:wAfter w:w="818" w:type="dxa"/>
        </w:trPr>
        <w:tc>
          <w:tcPr>
            <w:tcW w:w="912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42</w:t>
            </w:r>
          </w:p>
        </w:tc>
        <w:tc>
          <w:tcPr>
            <w:tcW w:w="1817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31.1[13.3-45.7]</w:t>
            </w:r>
          </w:p>
        </w:tc>
        <w:tc>
          <w:tcPr>
            <w:tcW w:w="765" w:type="dxa"/>
            <w:gridSpan w:val="2"/>
          </w:tcPr>
          <w:p w:rsidR="00117BFE" w:rsidRPr="003F2061" w:rsidRDefault="00117BFE" w:rsidP="008331D3">
            <w:pPr>
              <w:rPr>
                <w:rFonts w:cs="Arial"/>
                <w:b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b/>
                <w:color w:val="222222"/>
                <w:shd w:val="clear" w:color="auto" w:fill="FFFFFF"/>
                <w:lang w:val="en-US"/>
              </w:rPr>
              <w:t>0.002</w:t>
            </w:r>
          </w:p>
        </w:tc>
        <w:tc>
          <w:tcPr>
            <w:tcW w:w="1610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28.3 [3.3-43.8]</w:t>
            </w:r>
          </w:p>
        </w:tc>
        <w:tc>
          <w:tcPr>
            <w:tcW w:w="765" w:type="dxa"/>
            <w:gridSpan w:val="2"/>
          </w:tcPr>
          <w:p w:rsidR="00117BFE" w:rsidRPr="003F2061" w:rsidRDefault="00117BFE" w:rsidP="008331D3">
            <w:pPr>
              <w:rPr>
                <w:rFonts w:cs="Arial"/>
                <w:b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b/>
                <w:color w:val="222222"/>
                <w:shd w:val="clear" w:color="auto" w:fill="FFFFFF"/>
                <w:lang w:val="en-US"/>
              </w:rPr>
              <w:t>0.036</w:t>
            </w:r>
          </w:p>
        </w:tc>
        <w:tc>
          <w:tcPr>
            <w:tcW w:w="1782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35.5 [9.9-52.2]</w:t>
            </w:r>
          </w:p>
        </w:tc>
        <w:tc>
          <w:tcPr>
            <w:tcW w:w="718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0.004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31[-2 – 49.7]</w:t>
            </w:r>
          </w:p>
        </w:tc>
        <w:tc>
          <w:tcPr>
            <w:tcW w:w="718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0.06</w:t>
            </w:r>
          </w:p>
        </w:tc>
      </w:tr>
      <w:tr w:rsidR="00117BFE" w:rsidRPr="003F2061" w:rsidTr="008331D3">
        <w:trPr>
          <w:gridAfter w:val="2"/>
          <w:wAfter w:w="818" w:type="dxa"/>
        </w:trPr>
        <w:tc>
          <w:tcPr>
            <w:tcW w:w="912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96</w:t>
            </w:r>
          </w:p>
        </w:tc>
        <w:tc>
          <w:tcPr>
            <w:tcW w:w="1817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31.1[10.9-44.2]</w:t>
            </w:r>
          </w:p>
        </w:tc>
        <w:tc>
          <w:tcPr>
            <w:tcW w:w="765" w:type="dxa"/>
            <w:gridSpan w:val="2"/>
          </w:tcPr>
          <w:p w:rsidR="00117BFE" w:rsidRPr="003F2061" w:rsidRDefault="00117BFE" w:rsidP="008331D3">
            <w:pPr>
              <w:rPr>
                <w:rFonts w:cs="Arial"/>
                <w:b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b/>
                <w:color w:val="222222"/>
                <w:shd w:val="clear" w:color="auto" w:fill="FFFFFF"/>
                <w:lang w:val="en-US"/>
              </w:rPr>
              <w:t>0.004</w:t>
            </w:r>
          </w:p>
        </w:tc>
        <w:tc>
          <w:tcPr>
            <w:tcW w:w="1610" w:type="dxa"/>
          </w:tcPr>
          <w:p w:rsidR="00117BFE" w:rsidRPr="003F2061" w:rsidRDefault="00117BFE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26.4[1.8-41.5]</w:t>
            </w:r>
          </w:p>
        </w:tc>
        <w:tc>
          <w:tcPr>
            <w:tcW w:w="765" w:type="dxa"/>
            <w:gridSpan w:val="2"/>
          </w:tcPr>
          <w:p w:rsidR="00117BFE" w:rsidRPr="003F2061" w:rsidRDefault="00117BFE" w:rsidP="008331D3">
            <w:pPr>
              <w:rPr>
                <w:rFonts w:cs="Arial"/>
                <w:b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b/>
                <w:color w:val="222222"/>
                <w:shd w:val="clear" w:color="auto" w:fill="FFFFFF"/>
                <w:lang w:val="en-US"/>
              </w:rPr>
              <w:t>0.038</w:t>
            </w:r>
          </w:p>
        </w:tc>
        <w:tc>
          <w:tcPr>
            <w:tcW w:w="1782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30 [ 9.1-51]</w:t>
            </w:r>
          </w:p>
        </w:tc>
        <w:tc>
          <w:tcPr>
            <w:tcW w:w="718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0.008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31 [1-50.2]</w:t>
            </w:r>
          </w:p>
        </w:tc>
        <w:tc>
          <w:tcPr>
            <w:tcW w:w="718" w:type="dxa"/>
            <w:shd w:val="clear" w:color="auto" w:fill="auto"/>
          </w:tcPr>
          <w:p w:rsidR="00117BFE" w:rsidRPr="003F2061" w:rsidRDefault="00117BFE" w:rsidP="008331D3">
            <w:pPr>
              <w:rPr>
                <w:rFonts w:cs="Arial"/>
                <w:shd w:val="clear" w:color="auto" w:fill="FFFFFF"/>
                <w:lang w:val="en-US"/>
              </w:rPr>
            </w:pPr>
            <w:r w:rsidRPr="003F2061">
              <w:rPr>
                <w:rFonts w:cs="Arial"/>
                <w:shd w:val="clear" w:color="auto" w:fill="FFFFFF"/>
                <w:lang w:val="en-US"/>
              </w:rPr>
              <w:t>0.042</w:t>
            </w:r>
          </w:p>
        </w:tc>
      </w:tr>
    </w:tbl>
    <w:p w:rsidR="00117BFE" w:rsidRPr="003F2061" w:rsidRDefault="00117BFE" w:rsidP="00091B7D">
      <w:pPr>
        <w:pStyle w:val="NurText"/>
      </w:pPr>
    </w:p>
    <w:p w:rsidR="00117BFE" w:rsidRPr="003F2061" w:rsidRDefault="00117BFE" w:rsidP="00091B7D">
      <w:pPr>
        <w:pStyle w:val="NurText"/>
      </w:pPr>
    </w:p>
    <w:p w:rsidR="00117BFE" w:rsidRPr="003F2061" w:rsidRDefault="00117BFE" w:rsidP="00091B7D">
      <w:pPr>
        <w:pStyle w:val="NurText"/>
      </w:pPr>
    </w:p>
    <w:p w:rsidR="00117BFE" w:rsidRPr="003F2061" w:rsidRDefault="00117BFE" w:rsidP="00091B7D">
      <w:pPr>
        <w:pStyle w:val="NurText"/>
      </w:pPr>
    </w:p>
    <w:p w:rsidR="00F74DF3" w:rsidRPr="003F2061" w:rsidRDefault="00F74DF3" w:rsidP="00091B7D">
      <w:pPr>
        <w:pStyle w:val="NurText"/>
      </w:pPr>
    </w:p>
    <w:p w:rsidR="00091B7D" w:rsidRPr="003F2061" w:rsidRDefault="00091B7D" w:rsidP="00091B7D">
      <w:pPr>
        <w:pStyle w:val="NurText"/>
        <w:rPr>
          <w:rFonts w:asciiTheme="minorHAnsi" w:hAnsiTheme="minorHAnsi"/>
          <w:szCs w:val="22"/>
          <w:lang w:val="en-US"/>
        </w:rPr>
      </w:pPr>
      <w:r w:rsidRPr="003F2061">
        <w:t xml:space="preserve">Table </w:t>
      </w:r>
      <w:r w:rsidR="00117BFE" w:rsidRPr="003F2061">
        <w:t>B</w:t>
      </w:r>
      <w:r w:rsidRPr="003F2061">
        <w:t xml:space="preserve"> : </w:t>
      </w:r>
      <w:r w:rsidRPr="003F2061">
        <w:rPr>
          <w:rFonts w:asciiTheme="minorHAnsi" w:hAnsiTheme="minorHAnsi"/>
          <w:szCs w:val="22"/>
          <w:lang w:val="en-US"/>
        </w:rPr>
        <w:t>Concentrations of the circulating biomarkers by comorbidities</w:t>
      </w:r>
      <w:r w:rsidR="00B07409" w:rsidRPr="003F2061">
        <w:rPr>
          <w:rFonts w:asciiTheme="minorHAnsi" w:hAnsiTheme="minorHAnsi"/>
          <w:szCs w:val="22"/>
          <w:lang w:val="en-US"/>
        </w:rPr>
        <w:t xml:space="preserve"> and in </w:t>
      </w:r>
      <w:r w:rsidR="005A192A" w:rsidRPr="003F2061">
        <w:rPr>
          <w:rFonts w:asciiTheme="minorHAnsi" w:hAnsiTheme="minorHAnsi"/>
          <w:szCs w:val="22"/>
          <w:lang w:val="en-US"/>
        </w:rPr>
        <w:t>their absence</w:t>
      </w:r>
      <w:r w:rsidRPr="003F2061">
        <w:rPr>
          <w:rFonts w:asciiTheme="minorHAnsi" w:hAnsiTheme="minorHAnsi"/>
          <w:szCs w:val="22"/>
          <w:lang w:val="en-US"/>
        </w:rPr>
        <w:t>.</w:t>
      </w:r>
    </w:p>
    <w:p w:rsidR="00091B7D" w:rsidRPr="003F2061" w:rsidRDefault="00091B7D"/>
    <w:p w:rsidR="00091B7D" w:rsidRPr="003F2061" w:rsidRDefault="00091B7D"/>
    <w:tbl>
      <w:tblPr>
        <w:tblStyle w:val="Tabellenraster"/>
        <w:tblW w:w="1124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4"/>
        <w:gridCol w:w="1967"/>
        <w:gridCol w:w="1843"/>
        <w:gridCol w:w="1559"/>
        <w:gridCol w:w="1842"/>
        <w:gridCol w:w="1322"/>
      </w:tblGrid>
      <w:tr w:rsidR="00091B7D" w:rsidRPr="003F2061" w:rsidTr="008331D3">
        <w:tc>
          <w:tcPr>
            <w:tcW w:w="2127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 xml:space="preserve">Comorbidities 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NT-proBNP,</w:t>
            </w:r>
          </w:p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 xml:space="preserve"> ng/L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Hs-cTnT,</w:t>
            </w:r>
          </w:p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ng/L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 xml:space="preserve">CRP, </w:t>
            </w:r>
          </w:p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mg/L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 xml:space="preserve">sST2, </w:t>
            </w:r>
          </w:p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ng/mL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suPAR, ng/mL</w:t>
            </w:r>
          </w:p>
        </w:tc>
      </w:tr>
      <w:tr w:rsidR="00091B7D" w:rsidRPr="003F2061" w:rsidTr="008331D3">
        <w:tc>
          <w:tcPr>
            <w:tcW w:w="2127" w:type="dxa"/>
            <w:tcBorders>
              <w:top w:val="single" w:sz="4" w:space="0" w:color="auto"/>
            </w:tcBorders>
          </w:tcPr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 xml:space="preserve">Hypertension </w:t>
            </w:r>
          </w:p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114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2509 (1043-6518)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51.6 (25.5-161.5)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9.6 (2.7-32.7)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37.61 (20.0-72.6)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6.0 (3.8-9.1)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091B7D" w:rsidRPr="003F2061" w:rsidTr="008331D3">
        <w:tc>
          <w:tcPr>
            <w:tcW w:w="2127" w:type="dxa"/>
          </w:tcPr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Diabetes</w:t>
            </w:r>
          </w:p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584" w:type="dxa"/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63</w:t>
            </w:r>
          </w:p>
        </w:tc>
        <w:tc>
          <w:tcPr>
            <w:tcW w:w="1967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2784 (1630-6136)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53.7 (31.8-205.4)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10.3 (2.6-28.0)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38.3 (21.3-88.2)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6.2 (4.0-9.3)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091B7D" w:rsidRPr="003F2061" w:rsidTr="008331D3">
        <w:tc>
          <w:tcPr>
            <w:tcW w:w="2127" w:type="dxa"/>
          </w:tcPr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COPD</w:t>
            </w:r>
          </w:p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584" w:type="dxa"/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40</w:t>
            </w:r>
          </w:p>
        </w:tc>
        <w:tc>
          <w:tcPr>
            <w:tcW w:w="1967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2309 (982-4893)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54.9 (21.5-131.2)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12.8 (3.4-25.9)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41.8 (19.3-84.1)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6.1 (3.4-9.0)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091B7D" w:rsidRPr="003F2061" w:rsidTr="008331D3">
        <w:tc>
          <w:tcPr>
            <w:tcW w:w="2127" w:type="dxa"/>
          </w:tcPr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Chronic kidney disease</w:t>
            </w:r>
          </w:p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</w:tc>
        <w:tc>
          <w:tcPr>
            <w:tcW w:w="584" w:type="dxa"/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94</w:t>
            </w:r>
          </w:p>
        </w:tc>
        <w:tc>
          <w:tcPr>
            <w:tcW w:w="1967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3511 (1797-9511)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58.2 (27.1-179.8)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7.3 (2.6-28.5)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41.0 (21.6-88.3)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6.0 (4.4-9.3)</w:t>
            </w:r>
          </w:p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</w:tr>
      <w:tr w:rsidR="00091B7D" w:rsidRPr="003F2061" w:rsidTr="008331D3">
        <w:tc>
          <w:tcPr>
            <w:tcW w:w="2127" w:type="dxa"/>
          </w:tcPr>
          <w:p w:rsidR="00091B7D" w:rsidRPr="003F2061" w:rsidRDefault="00091B7D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Dyslipidemia</w:t>
            </w:r>
          </w:p>
        </w:tc>
        <w:tc>
          <w:tcPr>
            <w:tcW w:w="584" w:type="dxa"/>
          </w:tcPr>
          <w:p w:rsidR="00091B7D" w:rsidRPr="003F2061" w:rsidRDefault="00091B7D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86</w:t>
            </w:r>
          </w:p>
        </w:tc>
        <w:tc>
          <w:tcPr>
            <w:tcW w:w="1967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2693 (1351-6532)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49.8 (23.5-160.9)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10.1 (2.5-31.8)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35.2 (18.4-73.1)</w:t>
            </w:r>
          </w:p>
        </w:tc>
        <w:tc>
          <w:tcPr>
            <w:tcW w:w="1322" w:type="dxa"/>
            <w:shd w:val="clear" w:color="auto" w:fill="auto"/>
            <w:vAlign w:val="bottom"/>
          </w:tcPr>
          <w:p w:rsidR="00091B7D" w:rsidRPr="003F2061" w:rsidRDefault="00091B7D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5.8 (3.9-8.7)</w:t>
            </w:r>
          </w:p>
        </w:tc>
      </w:tr>
      <w:tr w:rsidR="005A192A" w:rsidRPr="003F2061" w:rsidTr="008331D3">
        <w:tc>
          <w:tcPr>
            <w:tcW w:w="2127" w:type="dxa"/>
          </w:tcPr>
          <w:p w:rsidR="005A192A" w:rsidRPr="003F2061" w:rsidRDefault="005A192A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  <w:p w:rsidR="005A192A" w:rsidRPr="003F2061" w:rsidRDefault="005A192A" w:rsidP="008331D3">
            <w:pPr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No comorbidities</w:t>
            </w:r>
          </w:p>
        </w:tc>
        <w:tc>
          <w:tcPr>
            <w:tcW w:w="584" w:type="dxa"/>
          </w:tcPr>
          <w:p w:rsidR="005A192A" w:rsidRPr="003F2061" w:rsidRDefault="005A192A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</w:p>
          <w:p w:rsidR="005A192A" w:rsidRPr="003F2061" w:rsidRDefault="005A192A" w:rsidP="008331D3">
            <w:pPr>
              <w:jc w:val="center"/>
              <w:rPr>
                <w:rFonts w:cs="Arial"/>
                <w:color w:val="222222"/>
                <w:shd w:val="clear" w:color="auto" w:fill="FFFFFF"/>
                <w:lang w:val="en-US"/>
              </w:rPr>
            </w:pPr>
            <w:r w:rsidRPr="003F2061">
              <w:rPr>
                <w:rFonts w:cs="Arial"/>
                <w:color w:val="222222"/>
                <w:shd w:val="clear" w:color="auto" w:fill="FFFFFF"/>
                <w:lang w:val="en-US"/>
              </w:rPr>
              <w:t>26</w:t>
            </w:r>
          </w:p>
        </w:tc>
        <w:tc>
          <w:tcPr>
            <w:tcW w:w="1967" w:type="dxa"/>
            <w:shd w:val="clear" w:color="auto" w:fill="auto"/>
            <w:vAlign w:val="bottom"/>
          </w:tcPr>
          <w:p w:rsidR="005A192A" w:rsidRPr="003F2061" w:rsidRDefault="005A192A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1532 (853-3157)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A192A" w:rsidRPr="003F2061" w:rsidRDefault="005A192A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19.9 (16-44)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A192A" w:rsidRPr="003F2061" w:rsidRDefault="005A192A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3.1 (1.4-11.2)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192A" w:rsidRPr="003F2061" w:rsidRDefault="005A192A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28.3 (15-50)</w:t>
            </w:r>
          </w:p>
        </w:tc>
        <w:tc>
          <w:tcPr>
            <w:tcW w:w="1322" w:type="dxa"/>
            <w:shd w:val="clear" w:color="auto" w:fill="auto"/>
            <w:vAlign w:val="bottom"/>
          </w:tcPr>
          <w:p w:rsidR="005A192A" w:rsidRPr="003F2061" w:rsidRDefault="005A192A" w:rsidP="008331D3">
            <w:pPr>
              <w:rPr>
                <w:rFonts w:eastAsia="Times New Roman" w:cs="Calibri"/>
                <w:color w:val="000000"/>
                <w:lang w:val="en-US" w:eastAsia="fr-FR"/>
              </w:rPr>
            </w:pPr>
            <w:r w:rsidRPr="003F2061">
              <w:rPr>
                <w:rFonts w:eastAsia="Times New Roman" w:cs="Calibri"/>
                <w:color w:val="000000"/>
                <w:lang w:val="en-US" w:eastAsia="fr-FR"/>
              </w:rPr>
              <w:t>3.9 (2.9-5.2)</w:t>
            </w:r>
          </w:p>
        </w:tc>
      </w:tr>
    </w:tbl>
    <w:p w:rsidR="00091B7D" w:rsidRPr="003F2061" w:rsidRDefault="00091B7D"/>
    <w:p w:rsidR="00091B7D" w:rsidRPr="003F2061" w:rsidRDefault="00091B7D" w:rsidP="00091B7D">
      <w:pPr>
        <w:rPr>
          <w:rFonts w:ascii="Calibri" w:eastAsia="Times New Roman" w:hAnsi="Calibri" w:cs="Calibri"/>
          <w:sz w:val="24"/>
          <w:szCs w:val="24"/>
          <w:lang w:val="en-GB"/>
        </w:rPr>
      </w:pPr>
      <w:r w:rsidRPr="003F2061">
        <w:rPr>
          <w:rFonts w:ascii="Calibri" w:eastAsia="Times New Roman" w:hAnsi="Calibri" w:cs="Calibri"/>
          <w:sz w:val="24"/>
          <w:szCs w:val="24"/>
          <w:lang w:val="en-GB" w:eastAsia="fr-FR"/>
        </w:rPr>
        <w:t>COPD</w:t>
      </w:r>
      <w:r w:rsidR="00B07409" w:rsidRPr="003F2061">
        <w:rPr>
          <w:rFonts w:ascii="Calibri" w:eastAsia="Times New Roman" w:hAnsi="Calibri" w:cs="Calibri"/>
          <w:sz w:val="24"/>
          <w:szCs w:val="24"/>
          <w:lang w:val="en-GB" w:eastAsia="fr-FR"/>
        </w:rPr>
        <w:t>,</w:t>
      </w:r>
      <w:r w:rsidRPr="003F2061">
        <w:rPr>
          <w:rFonts w:ascii="Calibri" w:eastAsia="Times New Roman" w:hAnsi="Calibri" w:cs="Calibri"/>
          <w:sz w:val="24"/>
          <w:szCs w:val="24"/>
          <w:lang w:val="en-GB" w:eastAsia="fr-FR"/>
        </w:rPr>
        <w:t xml:space="preserve"> Chronic obstructive pulmonary disease; </w:t>
      </w:r>
      <w:r w:rsidRPr="003F2061">
        <w:rPr>
          <w:rFonts w:ascii="Calibri" w:eastAsia="Times New Roman" w:hAnsi="Calibri" w:cs="Calibri"/>
          <w:bCs/>
          <w:iCs/>
          <w:color w:val="444444"/>
          <w:sz w:val="24"/>
          <w:szCs w:val="24"/>
          <w:shd w:val="clear" w:color="auto" w:fill="FFFFFF"/>
          <w:lang w:val="en-GB"/>
        </w:rPr>
        <w:t>hs-cTnT</w:t>
      </w:r>
      <w:r w:rsidR="00B07409" w:rsidRPr="003F2061">
        <w:rPr>
          <w:rFonts w:ascii="Calibri" w:eastAsia="Times New Roman" w:hAnsi="Calibri" w:cs="Calibri"/>
          <w:bCs/>
          <w:iCs/>
          <w:color w:val="444444"/>
          <w:sz w:val="24"/>
          <w:szCs w:val="24"/>
          <w:shd w:val="clear" w:color="auto" w:fill="FFFFFF"/>
          <w:lang w:val="en-GB"/>
        </w:rPr>
        <w:t>,</w:t>
      </w:r>
      <w:r w:rsidRPr="003F2061">
        <w:rPr>
          <w:rFonts w:ascii="Calibri" w:eastAsia="Times New Roman" w:hAnsi="Calibri" w:cs="Calibri"/>
          <w:bCs/>
          <w:iCs/>
          <w:color w:val="444444"/>
          <w:sz w:val="24"/>
          <w:szCs w:val="24"/>
          <w:shd w:val="clear" w:color="auto" w:fill="FFFFFF"/>
          <w:lang w:val="en-GB"/>
        </w:rPr>
        <w:t xml:space="preserve"> high sensitivity cardiac troponin T</w:t>
      </w:r>
      <w:r w:rsidRPr="003F2061">
        <w:rPr>
          <w:rFonts w:ascii="Calibri" w:eastAsia="Times New Roman" w:hAnsi="Calibri" w:cs="Calibri"/>
          <w:sz w:val="24"/>
          <w:szCs w:val="24"/>
          <w:lang w:val="en-GB"/>
        </w:rPr>
        <w:t>; CRP</w:t>
      </w:r>
      <w:r w:rsidR="00B07409" w:rsidRPr="003F2061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Pr="003F2061">
        <w:rPr>
          <w:rFonts w:ascii="Calibri" w:eastAsia="Times New Roman" w:hAnsi="Calibri" w:cs="Calibri"/>
          <w:sz w:val="24"/>
          <w:szCs w:val="24"/>
          <w:lang w:val="en-GB"/>
        </w:rPr>
        <w:t xml:space="preserve"> C reactive protein; sST2</w:t>
      </w:r>
      <w:r w:rsidR="00B07409" w:rsidRPr="003F2061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Pr="003F2061">
        <w:rPr>
          <w:rFonts w:ascii="Calibri" w:eastAsia="Times New Roman" w:hAnsi="Calibri" w:cs="Calibri"/>
          <w:sz w:val="24"/>
          <w:szCs w:val="24"/>
          <w:lang w:val="en-GB"/>
        </w:rPr>
        <w:t xml:space="preserve"> soluble suppression of tumorigenicity 2; suPAR</w:t>
      </w:r>
      <w:r w:rsidR="00B07409" w:rsidRPr="003F2061">
        <w:rPr>
          <w:rFonts w:ascii="Calibri" w:eastAsia="Times New Roman" w:hAnsi="Calibri" w:cs="Calibri"/>
          <w:sz w:val="24"/>
          <w:szCs w:val="24"/>
          <w:lang w:val="en-GB"/>
        </w:rPr>
        <w:t>,</w:t>
      </w:r>
      <w:r w:rsidRPr="003F2061">
        <w:rPr>
          <w:rFonts w:ascii="Calibri" w:eastAsia="Times New Roman" w:hAnsi="Calibri" w:cs="Calibri"/>
          <w:sz w:val="24"/>
          <w:szCs w:val="24"/>
          <w:lang w:val="en-GB"/>
        </w:rPr>
        <w:t xml:space="preserve"> soluble urokinase-plasminogen activator receptor</w:t>
      </w:r>
    </w:p>
    <w:p w:rsidR="00091B7D" w:rsidRPr="003F2061" w:rsidRDefault="00091B7D" w:rsidP="00091B7D"/>
    <w:p w:rsidR="00F92381" w:rsidRPr="003F2061" w:rsidRDefault="00F92381" w:rsidP="00091B7D">
      <w:r w:rsidRPr="003F2061">
        <w:t xml:space="preserve">Table C : </w:t>
      </w:r>
      <w:r w:rsidRPr="003F2061">
        <w:rPr>
          <w:lang w:val="en-US"/>
        </w:rPr>
        <w:t>Data for suPAR and NT-proBNP with high and low MAGGIC score.</w:t>
      </w:r>
    </w:p>
    <w:p w:rsidR="00F92381" w:rsidRPr="003F2061" w:rsidRDefault="00F92381" w:rsidP="00091B7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325"/>
        <w:gridCol w:w="2308"/>
        <w:gridCol w:w="2043"/>
      </w:tblGrid>
      <w:tr w:rsidR="00F92381" w:rsidRPr="003F2061" w:rsidTr="008331D3"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</w:tcPr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>Biomarkers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</w:tcPr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>MAGGIC score≤24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>MAGGIC score &gt;24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>p</w:t>
            </w:r>
          </w:p>
        </w:tc>
      </w:tr>
      <w:tr w:rsidR="00F92381" w:rsidRPr="003F2061" w:rsidTr="008331D3"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</w:tcPr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</w:p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>NT-proBNP, ng/L</w:t>
            </w:r>
          </w:p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shd w:val="clear" w:color="auto" w:fill="auto"/>
          </w:tcPr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</w:p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  <w:r w:rsidRPr="003F2061">
              <w:rPr>
                <w:rFonts w:cs="Arial"/>
                <w:color w:val="222222"/>
                <w:lang w:val="en-US"/>
              </w:rPr>
              <w:t>1577 (583.6-3202)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</w:tcPr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</w:p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  <w:r w:rsidRPr="003F2061">
              <w:rPr>
                <w:rFonts w:cs="Arial"/>
                <w:color w:val="222222"/>
                <w:lang w:val="en-US"/>
              </w:rPr>
              <w:t>3417 (1819-11149)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</w:p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  <w:r w:rsidRPr="003F2061">
              <w:rPr>
                <w:rFonts w:cs="Arial"/>
                <w:color w:val="222222"/>
                <w:lang w:val="en-US"/>
              </w:rPr>
              <w:t>&lt;0.001</w:t>
            </w:r>
          </w:p>
        </w:tc>
      </w:tr>
      <w:tr w:rsidR="00F92381" w:rsidRPr="00E93C57" w:rsidTr="008331D3">
        <w:tc>
          <w:tcPr>
            <w:tcW w:w="2396" w:type="dxa"/>
            <w:shd w:val="clear" w:color="auto" w:fill="auto"/>
          </w:tcPr>
          <w:p w:rsidR="00F92381" w:rsidRPr="003F2061" w:rsidRDefault="00F92381" w:rsidP="008331D3">
            <w:pPr>
              <w:pStyle w:val="NurText"/>
              <w:rPr>
                <w:rFonts w:asciiTheme="minorHAnsi" w:hAnsiTheme="minorHAnsi"/>
                <w:szCs w:val="22"/>
                <w:lang w:val="en-US"/>
              </w:rPr>
            </w:pPr>
            <w:r w:rsidRPr="003F2061">
              <w:rPr>
                <w:rFonts w:asciiTheme="minorHAnsi" w:hAnsiTheme="minorHAnsi"/>
                <w:szCs w:val="22"/>
                <w:lang w:val="en-US"/>
              </w:rPr>
              <w:t xml:space="preserve">suPAR, ng/mL </w:t>
            </w:r>
          </w:p>
        </w:tc>
        <w:tc>
          <w:tcPr>
            <w:tcW w:w="2325" w:type="dxa"/>
            <w:shd w:val="clear" w:color="auto" w:fill="auto"/>
          </w:tcPr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  <w:r w:rsidRPr="003F2061">
              <w:rPr>
                <w:rFonts w:cs="Arial"/>
                <w:color w:val="222222"/>
                <w:lang w:val="en-US"/>
              </w:rPr>
              <w:t>4.59 (2.9-6.9)</w:t>
            </w:r>
          </w:p>
        </w:tc>
        <w:tc>
          <w:tcPr>
            <w:tcW w:w="2308" w:type="dxa"/>
            <w:shd w:val="clear" w:color="auto" w:fill="auto"/>
          </w:tcPr>
          <w:p w:rsidR="00F92381" w:rsidRPr="003F2061" w:rsidRDefault="00F92381" w:rsidP="008331D3">
            <w:pPr>
              <w:rPr>
                <w:rFonts w:cs="Arial"/>
                <w:color w:val="222222"/>
                <w:lang w:val="en-US"/>
              </w:rPr>
            </w:pPr>
            <w:r w:rsidRPr="003F2061">
              <w:rPr>
                <w:rFonts w:cs="Arial"/>
                <w:color w:val="222222"/>
                <w:lang w:val="en-US"/>
              </w:rPr>
              <w:t>6.01 (4.4-9.6)</w:t>
            </w:r>
          </w:p>
        </w:tc>
        <w:tc>
          <w:tcPr>
            <w:tcW w:w="2043" w:type="dxa"/>
          </w:tcPr>
          <w:p w:rsidR="00F92381" w:rsidRPr="00E93C57" w:rsidRDefault="00F92381" w:rsidP="008331D3">
            <w:pPr>
              <w:rPr>
                <w:rFonts w:cs="Arial"/>
                <w:color w:val="222222"/>
                <w:lang w:val="en-US"/>
              </w:rPr>
            </w:pPr>
            <w:r w:rsidRPr="003F2061">
              <w:rPr>
                <w:rFonts w:cs="Arial"/>
                <w:color w:val="222222"/>
                <w:lang w:val="en-US"/>
              </w:rPr>
              <w:t>&lt;0.001</w:t>
            </w:r>
            <w:bookmarkStart w:id="0" w:name="_GoBack"/>
            <w:bookmarkEnd w:id="0"/>
          </w:p>
        </w:tc>
      </w:tr>
    </w:tbl>
    <w:p w:rsidR="00F92381" w:rsidRDefault="00F92381" w:rsidP="00091B7D"/>
    <w:sectPr w:rsidR="00F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1ef757c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7D"/>
    <w:rsid w:val="00091B7D"/>
    <w:rsid w:val="00117BFE"/>
    <w:rsid w:val="003F2061"/>
    <w:rsid w:val="005A192A"/>
    <w:rsid w:val="00B07409"/>
    <w:rsid w:val="00C75759"/>
    <w:rsid w:val="00F74DF3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D1BA7-D117-4EA9-B706-35DAC4C0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1B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091B7D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91B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CHRU Montpellier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GORCE DUPUY ANNE-MARIE</dc:creator>
  <cp:keywords/>
  <dc:description/>
  <cp:lastModifiedBy>Jahnke, Heike</cp:lastModifiedBy>
  <cp:revision>2</cp:revision>
  <dcterms:created xsi:type="dcterms:W3CDTF">2021-01-25T09:22:00Z</dcterms:created>
  <dcterms:modified xsi:type="dcterms:W3CDTF">2021-01-25T09:22:00Z</dcterms:modified>
</cp:coreProperties>
</file>