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 xml:space="preserve">Supplementary Table 1: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Diagnostic criteria of Coronavirus Disease 2019 (COVID-19)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issued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by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the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Chinese Health Commission (</w:t>
      </w:r>
      <w:r>
        <w:rPr>
          <w:rFonts w:hint="default" w:ascii="Times New Roman" w:hAnsi="Times New Roman" w:cs="Times New Roman"/>
          <w:sz w:val="24"/>
          <w:szCs w:val="32"/>
          <w:highlight w:val="none"/>
        </w:rPr>
        <w:t>seventh trial version).</w:t>
      </w:r>
    </w:p>
    <w:tbl>
      <w:tblPr>
        <w:tblStyle w:val="7"/>
        <w:tblW w:w="0" w:type="auto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</w:trPr>
        <w:tc>
          <w:tcPr>
            <w:tcW w:w="13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</w:rPr>
              <w:t>Diagnostic criteria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5" w:hRule="atLeast"/>
        </w:trPr>
        <w:tc>
          <w:tcPr>
            <w:tcW w:w="13870" w:type="dxa"/>
            <w:tcBorders>
              <w:top w:val="nil"/>
              <w:left w:val="nil"/>
              <w:right w:val="nil"/>
            </w:tcBorders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  <w:t>1. Epidemiological history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  <w:t>One or more of the following exposures during the 14 days before the onset of symptoms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  <w:t>1)Travel or residence history in Wuhan and surrounding areas, or the local community with confirmed COVID-19 patient.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  <w:t>2)Close contact* with cases with laboratory-confirmed COVID-19 (positive for the nucleic acid test).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  <w:t>3)Close contact* with people from Wuhan or surrounding areas or local communities with fever or respiratory symptoms case reports.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  <w:t>4) Cluster onset.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  <w:t>2. Clinical manifestation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  <w:t>1)fever and(or) respiratory symptoms.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  <w:t>2)Imaging features of viral pneumonia.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  <w:t>3)Normal or low white blood cell count or reduced lymphocyte in the early stage of onset.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  <w:t>Patients with exposure history should meet any two of the clinical manifestations. Patients without an exposure history should meet all three conditions.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  <w:t>Confirmed case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  <w:t>Suspected cases have at least one of the following pathogenic or serological evidence: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  <w:t>1)Positive real-time PCR of the patient’s specimens for SARS-CoV-2 nucleic acid.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  <w:t>2)Viral gene sequences are highly homologous to SARS-CoV-2.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E101A"/>
                <w:sz w:val="24"/>
                <w:szCs w:val="24"/>
                <w:highlight w:val="none"/>
              </w:rPr>
              <w:t>3)Serum SARS-CoV-2 specific IgM and IgG antibody were positive; serum SARS-CoV-2 specific IgG antibody changed from negative to positive or recover phase IgG antibody was four times higher than that of the acute phase.</w:t>
            </w:r>
          </w:p>
        </w:tc>
      </w:tr>
    </w:tbl>
    <w:p>
      <w:pPr>
        <w:numPr>
          <w:ilvl w:val="0"/>
          <w:numId w:val="0"/>
        </w:numPr>
        <w:ind w:left="0" w:leftChars="0"/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*Close contact is defined as healthcare-related exposures, including direct care for patients with confirmed COVID-19, collaboration with healthcare workers with confirmed COVID-19, visiting or staying in the same closed environment with patients with confirmed COVID-19, or members who live in the same family environment with patients with confirmed COVID-19.</w:t>
      </w:r>
    </w:p>
    <w:p>
      <w:pPr>
        <w:numPr>
          <w:ilvl w:val="0"/>
          <w:numId w:val="0"/>
        </w:numPr>
        <w:ind w:left="0" w:leftChars="0"/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sectPr>
          <w:pgSz w:w="16838" w:h="11906" w:orient="landscape"/>
          <w:pgMar w:top="1247" w:right="1417" w:bottom="1020" w:left="1417" w:header="851" w:footer="992" w:gutter="0"/>
          <w:cols w:space="0" w:num="1"/>
          <w:rtlGutter w:val="0"/>
          <w:docGrid w:type="lines" w:linePitch="322" w:charSpace="0"/>
        </w:sect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 xml:space="preserve">Supplementary Table 2: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yellow"/>
        </w:rPr>
        <w:t>Laboratory testing guidelines of Coronavirus Disease 2019 (COVID-19) issued by the Chinese Health Commission (fifth version).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yellow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Laboratory detection of SARS-CoV-2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yellow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yellow"/>
                <w:vertAlign w:val="baseline"/>
              </w:rPr>
              <w:t>RT-PCR routinely detects the SARS-CoV-2 infection. Any SARS-CoV-2 detection must be performed in qualified laboratories by personnel trained by related technical safety. The SARS-CoV-2 detection methods in this guideline are mainly directed against the ORF1ab and N gene of the SARS-CoV-2 genome.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yellow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yellow"/>
                <w:vertAlign w:val="baseline"/>
              </w:rPr>
              <w:t>Laboratory confirmation of a positive case requires one of the following two conditions: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yellow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yellow"/>
                <w:vertAlign w:val="baseline"/>
              </w:rPr>
              <w:t>1. The RT-PCR results of SARS-CoV-2 two targets (ORF1ab and N) were positive in the same specimen. If there is a single target positive test result, it needs to be resampled and retested. If it is still a single target positive, it is determined to be positive.</w:t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yellow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yellow"/>
                <w:vertAlign w:val="baseline"/>
              </w:rPr>
              <w:t>2. If two kinds of real-time fluorescent RT-PCR samples show a single target positive at the same time, or the same type of samples show a single target positive in two sampling tests, it can be determined as positive.</w:t>
            </w:r>
          </w:p>
        </w:tc>
      </w:tr>
    </w:tbl>
    <w:p>
      <w:pPr>
        <w:numPr>
          <w:ilvl w:val="0"/>
          <w:numId w:val="0"/>
        </w:numPr>
        <w:ind w:left="0" w:leftChars="0"/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pPr>
    </w:p>
    <w:p>
      <w:pPr>
        <w:numPr>
          <w:ilvl w:val="0"/>
          <w:numId w:val="0"/>
        </w:numPr>
        <w:ind w:left="0" w:leftChars="0"/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pPr>
    </w:p>
    <w:p>
      <w:pPr>
        <w:numPr>
          <w:ilvl w:val="0"/>
          <w:numId w:val="0"/>
        </w:numPr>
        <w:ind w:left="0" w:leftChars="0"/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sectPr>
          <w:pgSz w:w="16838" w:h="11906" w:orient="landscape"/>
          <w:pgMar w:top="1247" w:right="1417" w:bottom="1020" w:left="1417" w:header="851" w:footer="992" w:gutter="0"/>
          <w:cols w:space="0" w:num="1"/>
          <w:rtlGutter w:val="0"/>
          <w:docGrid w:type="lines" w:linePitch="322" w:charSpace="0"/>
        </w:sectPr>
      </w:pPr>
      <w:bookmarkStart w:id="0" w:name="_GoBack"/>
      <w:bookmarkEnd w:id="0"/>
    </w:p>
    <w:p>
      <w:pPr>
        <w:numPr>
          <w:ilvl w:val="0"/>
          <w:numId w:val="0"/>
        </w:numPr>
        <w:ind w:left="0" w:leftChars="0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 xml:space="preserve">Supplementary Table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>Evaluation of clinical sensitivity of seven kits in three groups.</w:t>
      </w:r>
    </w:p>
    <w:tbl>
      <w:tblPr>
        <w:tblStyle w:val="7"/>
        <w:tblW w:w="13857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3785"/>
        <w:gridCol w:w="3785"/>
        <w:gridCol w:w="378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0" w:hRule="atLeast"/>
        </w:trPr>
        <w:tc>
          <w:tcPr>
            <w:tcW w:w="2502" w:type="dxa"/>
            <w:tcBorders>
              <w:bottom w:val="single" w:color="auto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Kits</w:t>
            </w:r>
          </w:p>
        </w:tc>
        <w:tc>
          <w:tcPr>
            <w:tcW w:w="3785" w:type="dxa"/>
            <w:tcBorders>
              <w:bottom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Groups</w:t>
            </w:r>
          </w:p>
        </w:tc>
        <w:tc>
          <w:tcPr>
            <w:tcW w:w="3785" w:type="dxa"/>
            <w:tcBorders>
              <w:bottom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% Sensitivity</w:t>
            </w:r>
          </w:p>
        </w:tc>
        <w:tc>
          <w:tcPr>
            <w:tcW w:w="3785" w:type="dxa"/>
            <w:tcBorders>
              <w:bottom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p-Value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2502" w:type="dxa"/>
            <w:tcBorders>
              <w:top w:val="single" w:color="auto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Kit A</w:t>
            </w:r>
          </w:p>
        </w:tc>
        <w:tc>
          <w:tcPr>
            <w:tcW w:w="3785" w:type="dxa"/>
            <w:tcBorders>
              <w:top w:val="single" w:color="auto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冬青黑体简体中文" w:cs="Times New Roman"/>
                <w:sz w:val="24"/>
                <w:szCs w:val="24"/>
                <w:highlight w:val="none"/>
                <w:vertAlign w:val="baseline"/>
              </w:rPr>
              <w:t>Ⅰ</w:t>
            </w:r>
          </w:p>
        </w:tc>
        <w:tc>
          <w:tcPr>
            <w:tcW w:w="3785" w:type="dxa"/>
            <w:tcBorders>
              <w:top w:val="single" w:color="auto" w:sz="4" w:space="0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90.48(38/42)</w:t>
            </w:r>
          </w:p>
        </w:tc>
        <w:tc>
          <w:tcPr>
            <w:tcW w:w="3785" w:type="dxa"/>
            <w:vMerge w:val="restart"/>
            <w:tcBorders>
              <w:top w:val="single" w:color="auto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250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Kit B</w:t>
            </w:r>
          </w:p>
        </w:tc>
        <w:tc>
          <w:tcPr>
            <w:tcW w:w="378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冬青黑体简体中文" w:cs="Times New Roman"/>
                <w:sz w:val="24"/>
                <w:szCs w:val="24"/>
                <w:highlight w:val="none"/>
                <w:vertAlign w:val="baseline"/>
              </w:rPr>
              <w:t>Ⅰ</w:t>
            </w:r>
          </w:p>
        </w:tc>
        <w:tc>
          <w:tcPr>
            <w:tcW w:w="378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92.86(39/42)</w:t>
            </w:r>
          </w:p>
        </w:tc>
        <w:tc>
          <w:tcPr>
            <w:tcW w:w="3785" w:type="dxa"/>
            <w:vMerge w:val="continue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250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Kit C</w:t>
            </w:r>
          </w:p>
        </w:tc>
        <w:tc>
          <w:tcPr>
            <w:tcW w:w="378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冬青黑体简体中文" w:cs="Times New Roman"/>
                <w:sz w:val="24"/>
                <w:szCs w:val="24"/>
                <w:highlight w:val="none"/>
                <w:vertAlign w:val="baseline"/>
              </w:rPr>
              <w:t>Ⅰ</w:t>
            </w:r>
          </w:p>
        </w:tc>
        <w:tc>
          <w:tcPr>
            <w:tcW w:w="378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83.33(35/42)</w:t>
            </w:r>
          </w:p>
        </w:tc>
        <w:tc>
          <w:tcPr>
            <w:tcW w:w="3785" w:type="dxa"/>
            <w:vMerge w:val="continue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250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Kit D</w:t>
            </w:r>
          </w:p>
        </w:tc>
        <w:tc>
          <w:tcPr>
            <w:tcW w:w="378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冬青黑体简体中文" w:cs="Times New Roman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Ⅱ</w:t>
            </w:r>
          </w:p>
        </w:tc>
        <w:tc>
          <w:tcPr>
            <w:tcW w:w="378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97.62(41/42)</w:t>
            </w:r>
          </w:p>
        </w:tc>
        <w:tc>
          <w:tcPr>
            <w:tcW w:w="3785" w:type="dxa"/>
            <w:vMerge w:val="restart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&lt;0.05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250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Kit E</w:t>
            </w:r>
          </w:p>
        </w:tc>
        <w:tc>
          <w:tcPr>
            <w:tcW w:w="378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冬青黑体简体中文" w:cs="Times New Roman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Ⅱ</w:t>
            </w:r>
          </w:p>
        </w:tc>
        <w:tc>
          <w:tcPr>
            <w:tcW w:w="378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78.57(33/42)</w:t>
            </w:r>
          </w:p>
        </w:tc>
        <w:tc>
          <w:tcPr>
            <w:tcW w:w="3785" w:type="dxa"/>
            <w:vMerge w:val="continue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5" w:hRule="atLeast"/>
        </w:trPr>
        <w:tc>
          <w:tcPr>
            <w:tcW w:w="2502" w:type="dxa"/>
            <w:tcBorders>
              <w:bottom w:val="nil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Kit F</w:t>
            </w:r>
          </w:p>
        </w:tc>
        <w:tc>
          <w:tcPr>
            <w:tcW w:w="3785" w:type="dxa"/>
            <w:tcBorders>
              <w:bottom w:val="nil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冬青黑体简体中文" w:cs="Times New Roman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Ⅲ</w:t>
            </w:r>
          </w:p>
        </w:tc>
        <w:tc>
          <w:tcPr>
            <w:tcW w:w="3785" w:type="dxa"/>
            <w:tcBorders>
              <w:bottom w:val="nil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90.48(38/42)</w:t>
            </w:r>
          </w:p>
        </w:tc>
        <w:tc>
          <w:tcPr>
            <w:tcW w:w="3785" w:type="dxa"/>
            <w:vMerge w:val="restart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&lt;0.05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5" w:hRule="atLeast"/>
        </w:trPr>
        <w:tc>
          <w:tcPr>
            <w:tcW w:w="2502" w:type="dxa"/>
            <w:tcBorders>
              <w:top w:val="nil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Kit G</w:t>
            </w:r>
          </w:p>
        </w:tc>
        <w:tc>
          <w:tcPr>
            <w:tcW w:w="3785" w:type="dxa"/>
            <w:tcBorders>
              <w:top w:val="nil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冬青黑体简体中文" w:cs="Times New Roman"/>
                <w:kern w:val="2"/>
                <w:sz w:val="24"/>
                <w:szCs w:val="24"/>
                <w:highlight w:val="none"/>
                <w:vertAlign w:val="baseline"/>
                <w:lang w:eastAsia="zh-CN" w:bidi="ar-SA"/>
              </w:rPr>
              <w:t>Ⅲ</w:t>
            </w:r>
          </w:p>
        </w:tc>
        <w:tc>
          <w:tcPr>
            <w:tcW w:w="3785" w:type="dxa"/>
            <w:tcBorders>
              <w:top w:val="nil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76.19(32/42)</w:t>
            </w:r>
          </w:p>
        </w:tc>
        <w:tc>
          <w:tcPr>
            <w:tcW w:w="3785" w:type="dxa"/>
            <w:vMerge w:val="continue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ind w:left="0" w:leftChars="0"/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sectPr>
          <w:pgSz w:w="16838" w:h="11906" w:orient="landscape"/>
          <w:pgMar w:top="1247" w:right="1417" w:bottom="1020" w:left="1417" w:header="851" w:footer="992" w:gutter="0"/>
          <w:cols w:space="0" w:num="1"/>
          <w:rtlGutter w:val="0"/>
          <w:docGrid w:type="lines" w:linePitch="322" w:charSpace="0"/>
        </w:sectPr>
      </w:pPr>
    </w:p>
    <w:p>
      <w:pPr>
        <w:numPr>
          <w:ilvl w:val="0"/>
          <w:numId w:val="0"/>
        </w:numPr>
        <w:ind w:left="0" w:leftChars="0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 xml:space="preserve">Supplementary Table 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4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: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>Comparison of detection capabilities in different kits for diverse target genes.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5"/>
        <w:gridCol w:w="3555"/>
        <w:gridCol w:w="3555"/>
        <w:gridCol w:w="3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Kits</w:t>
            </w:r>
          </w:p>
        </w:tc>
        <w:tc>
          <w:tcPr>
            <w:tcW w:w="35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 xml:space="preserve">%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OR1ab gene detection rate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  <w:t>#</w:t>
            </w:r>
          </w:p>
        </w:tc>
        <w:tc>
          <w:tcPr>
            <w:tcW w:w="35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 xml:space="preserve">%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N gene detection rate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35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% E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gene detection rate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  <w:t>#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Kit A</w:t>
            </w:r>
          </w:p>
        </w:tc>
        <w:tc>
          <w:tcPr>
            <w:tcW w:w="355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90.48(38/42)</w:t>
            </w:r>
          </w:p>
        </w:tc>
        <w:tc>
          <w:tcPr>
            <w:tcW w:w="355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NA</w:t>
            </w:r>
          </w:p>
        </w:tc>
        <w:tc>
          <w:tcPr>
            <w:tcW w:w="355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Kit B</w:t>
            </w:r>
          </w:p>
        </w:tc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92.86(39/42)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vertAlign w:val="superscript"/>
                <w:lang w:eastAsia="zh-CN" w:bidi="ar"/>
              </w:rPr>
              <w:t>a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Kit C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23.81(10/42)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80.95(34/42)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Kit D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92.86(39/42)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90.48(38/42)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Kit E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78.57(33/42)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57.14(24/42)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Kit F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80.95(34/42)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90.48(38/42)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66.67(28/42)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baseline"/>
              </w:rPr>
              <w:t>Kit G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30.95(13/42)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78.57(33/42)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left="0" w:leftChars="0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85.71(36/42)</w:t>
            </w:r>
          </w:p>
        </w:tc>
      </w:tr>
    </w:tbl>
    <w:p>
      <w:pPr>
        <w:ind w:left="0" w:leftChars="0"/>
        <w:rPr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NA, not applicable; Value in parentheses represents the number of positives/total number of true positives; </w:t>
      </w:r>
      <w:r>
        <w:rPr>
          <w:rFonts w:hint="default" w:ascii="Times New Roman" w:hAnsi="Times New Roman" w:cs="Times New Roman"/>
          <w:sz w:val="24"/>
          <w:szCs w:val="24"/>
          <w:highlight w:val="none"/>
          <w:vertAlign w:val="superscript"/>
        </w:rPr>
        <w:t>#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The positive detection rate of each gene is calculated according to the positive cut off value provided by the kit instructions;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vertAlign w:val="superscript"/>
          <w:lang w:eastAsia="zh-CN" w:bidi="ar"/>
        </w:rPr>
        <w:t>a</w:t>
      </w:r>
      <w:r>
        <w:rPr>
          <w:rFonts w:hint="default" w:ascii="Times New Roman" w:hAnsi="Times New Roman" w:cs="Times New Roman"/>
          <w:sz w:val="24"/>
          <w:szCs w:val="32"/>
          <w:highlight w:val="none"/>
        </w:rPr>
        <w:t xml:space="preserve"> The kit B used only one fluorescent channel (FAM) to detect two target genes simultaneously.</w:t>
      </w:r>
    </w:p>
    <w:sectPr>
      <w:pgSz w:w="16838" w:h="11906" w:orient="landscape"/>
      <w:pgMar w:top="1247" w:right="1417" w:bottom="1020" w:left="1417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KW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TradeGothicLTSt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GMetaScienc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GMetaSerifScienc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TT5235d5a9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TT5235d5a9+f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xus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engXian">
    <w:altName w:val="汉仪中等线KW"/>
    <w:panose1 w:val="02010600030101010101"/>
    <w:charset w:val="86"/>
    <w:family w:val="script"/>
    <w:pitch w:val="default"/>
    <w:sig w:usb0="00000000" w:usb1="00000000" w:usb2="00000016" w:usb3="00000000" w:csb0="0004000F" w:csb1="00000000"/>
  </w:font>
  <w:font w:name="MS Mincho">
    <w:altName w:val="Hiragino Sans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BookAntiqua">
    <w:altName w:val="苹方-简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AdvTT6071803a.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TT9c438aa4.B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华文行楷">
    <w:altName w:val="宋体-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ookAntiqua">
    <w:altName w:val="苹方-简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vPSA183">
    <w:altName w:val="苹方-简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CynlvfAdvTT86d47313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gvpfhAdvTT86d47313+03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TT3713a231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TT3713a231+2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P8C43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TT50a2f13e.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P8C46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P0003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Garamond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illSansM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PTime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PTimes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919a0533.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TT6780a46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TT5afe5d37.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8608a8d1+03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TT6780a46b+f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46dcae81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TT5235d5a9+03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M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rriweathe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804030504040204"/>
    <w:charset w:val="00"/>
    <w:family w:val="auto"/>
    <w:pitch w:val="default"/>
    <w:sig w:usb0="A10006FF" w:usb1="4000205B" w:usb2="00000010" w:usb3="00000000" w:csb0="2000019F" w:csb1="00000000"/>
  </w:font>
  <w:font w:name="TimesLTSt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TT28000ce1.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TT28000ce1.B+f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TTdd0b0455.B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AdvOT1ef757c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1ef757c0+2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ee460ee4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Che">
    <w:altName w:val="苹方-简"/>
    <w:panose1 w:val="02030609000101010101"/>
    <w:charset w:val="86"/>
    <w:family w:val="modern"/>
    <w:pitch w:val="default"/>
    <w:sig w:usb0="00000000" w:usb1="00000000" w:usb2="00000030" w:usb3="00000000" w:csb0="0008009F" w:csb1="00000000"/>
  </w:font>
  <w:font w:name="DotumChe">
    <w:altName w:val="苹方-简"/>
    <w:panose1 w:val="020B0609000101010101"/>
    <w:charset w:val="00"/>
    <w:family w:val="modern"/>
    <w:pitch w:val="default"/>
    <w:sig w:usb0="00000000" w:usb1="00000000" w:usb2="00000030" w:usb3="00000000" w:csb0="0008009F" w:csb1="00000000"/>
  </w:font>
  <w:font w:name="仿宋_GB2312">
    <w:altName w:val="汉仪仿宋KW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GulliverRM">
    <w:altName w:val="苹方-简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Batang">
    <w:altName w:val="Apple SD Gothic Neo"/>
    <w:panose1 w:val="02030600000101010101"/>
    <w:charset w:val="00"/>
    <w:family w:val="roman"/>
    <w:pitch w:val="default"/>
    <w:sig w:usb0="00000000" w:usb1="00000000" w:usb2="00000030" w:usb3="00000000" w:csb0="0008009F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FF9AA"/>
    <w:rsid w:val="1AFB4C73"/>
    <w:rsid w:val="337FF9AA"/>
    <w:rsid w:val="3EFF789F"/>
    <w:rsid w:val="3FD7759F"/>
    <w:rsid w:val="4E5FC600"/>
    <w:rsid w:val="6FEFE984"/>
    <w:rsid w:val="6FFE53AC"/>
    <w:rsid w:val="71D1910A"/>
    <w:rsid w:val="758F18D8"/>
    <w:rsid w:val="7B2ABAE5"/>
    <w:rsid w:val="7B5F3978"/>
    <w:rsid w:val="9DFF2404"/>
    <w:rsid w:val="AE9D3464"/>
    <w:rsid w:val="BB7D63DA"/>
    <w:rsid w:val="BBFBDD2C"/>
    <w:rsid w:val="BFBF075E"/>
    <w:rsid w:val="BFBFCE3B"/>
    <w:rsid w:val="BFDF4D47"/>
    <w:rsid w:val="DCF86154"/>
    <w:rsid w:val="FADFEDB7"/>
    <w:rsid w:val="FBFF9364"/>
    <w:rsid w:val="FD7F7983"/>
    <w:rsid w:val="FFBF487F"/>
    <w:rsid w:val="FFDEE651"/>
    <w:rsid w:val="FFFB9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Office_2.1.2.3417_F1E327BC-269C-435d-A152-05C5408002CA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2020-02-28T16:30:00Z</dcterms:created>
  <dc:creator>bqwang</dc:creator>
  <cp:lastModifiedBy>bqwang</cp:lastModifiedBy>
  <dcterms:modified xsi:type="dcterms:W3CDTF">2020-04-16T20:36:53Z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