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806" w:rsidRPr="003322B2" w:rsidRDefault="00A03806" w:rsidP="00A03806">
      <w:pPr>
        <w:spacing w:line="480" w:lineRule="auto"/>
        <w:jc w:val="both"/>
        <w:rPr>
          <w:rFonts w:ascii="Cambria" w:eastAsia="MS Mincho" w:hAnsi="Cambria" w:cs="Times New Roman"/>
          <w:b/>
          <w:color w:val="002060"/>
          <w:lang w:val="en-US" w:eastAsia="nl-NL"/>
        </w:rPr>
      </w:pPr>
      <w:r w:rsidRPr="003322B2">
        <w:rPr>
          <w:rFonts w:ascii="Cambria" w:eastAsia="MS Mincho" w:hAnsi="Cambria" w:cs="Times New Roman"/>
          <w:b/>
          <w:color w:val="002060"/>
          <w:lang w:val="en-US" w:eastAsia="nl-NL"/>
        </w:rPr>
        <w:t>Supplemental data Table 2.</w:t>
      </w:r>
      <w:r w:rsidRPr="003322B2">
        <w:rPr>
          <w:rFonts w:ascii="Cambria" w:eastAsia="MS Mincho" w:hAnsi="Cambria" w:cs="Times New Roman"/>
          <w:color w:val="002060"/>
          <w:lang w:val="en-US" w:eastAsia="nl-NL"/>
        </w:rPr>
        <w:t xml:space="preserve"> </w:t>
      </w:r>
      <w:r w:rsidRPr="003322B2">
        <w:rPr>
          <w:rFonts w:ascii="Cambria" w:eastAsia="MS Mincho" w:hAnsi="Cambria" w:cs="Times New Roman"/>
          <w:b/>
          <w:color w:val="002060"/>
          <w:lang w:val="en-US" w:eastAsia="nl-NL"/>
        </w:rPr>
        <w:t>Total imprecision of the different iQC materials analyzed (n=20) on the QUANTA-</w:t>
      </w:r>
      <w:proofErr w:type="spellStart"/>
      <w:r w:rsidRPr="003322B2">
        <w:rPr>
          <w:rFonts w:ascii="Cambria" w:eastAsia="MS Mincho" w:hAnsi="Cambria" w:cs="Times New Roman"/>
          <w:b/>
          <w:color w:val="002060"/>
          <w:lang w:val="en-US" w:eastAsia="nl-NL"/>
        </w:rPr>
        <w:t>Lyser</w:t>
      </w:r>
      <w:proofErr w:type="spellEnd"/>
      <w:r w:rsidRPr="003322B2">
        <w:rPr>
          <w:rFonts w:ascii="Cambria" w:eastAsia="MS Mincho" w:hAnsi="Cambria" w:cs="Times New Roman"/>
          <w:b/>
          <w:color w:val="002060"/>
          <w:lang w:val="en-US" w:eastAsia="nl-NL"/>
        </w:rPr>
        <w:t xml:space="preserve"> - NOVA View</w:t>
      </w:r>
      <w:proofErr w:type="gramStart"/>
      <w:r w:rsidRPr="003322B2">
        <w:rPr>
          <w:rFonts w:ascii="Cambria" w:eastAsia="MS Mincho" w:hAnsi="Cambria" w:cs="Times New Roman"/>
          <w:b/>
          <w:color w:val="002060"/>
          <w:vertAlign w:val="superscript"/>
          <w:lang w:val="en-US" w:eastAsia="nl-NL"/>
        </w:rPr>
        <w:t xml:space="preserve">®  </w:t>
      </w:r>
      <w:r w:rsidRPr="003322B2">
        <w:rPr>
          <w:rFonts w:ascii="Cambria" w:eastAsia="MS Mincho" w:hAnsi="Cambria" w:cs="Times New Roman"/>
          <w:b/>
          <w:color w:val="002060"/>
          <w:lang w:val="en-US" w:eastAsia="nl-NL"/>
        </w:rPr>
        <w:t>system</w:t>
      </w:r>
      <w:proofErr w:type="gramEnd"/>
      <w:r w:rsidRPr="003322B2">
        <w:rPr>
          <w:rFonts w:ascii="Cambria" w:eastAsia="MS Mincho" w:hAnsi="Cambria" w:cs="Times New Roman"/>
          <w:b/>
          <w:color w:val="002060"/>
          <w:lang w:val="en-US" w:eastAsia="nl-NL"/>
        </w:rPr>
        <w:t xml:space="preserve"> in accordance to the CLSI EP5-A2 </w:t>
      </w:r>
      <w:r w:rsidR="003322B2">
        <w:rPr>
          <w:rFonts w:ascii="Cambria" w:eastAsia="MS Mincho" w:hAnsi="Cambria" w:cs="Times New Roman"/>
          <w:b/>
          <w:color w:val="002060"/>
          <w:lang w:val="en-US" w:eastAsia="nl-NL"/>
        </w:rPr>
        <w:t>(15).</w:t>
      </w:r>
    </w:p>
    <w:p w:rsidR="00A03806" w:rsidRPr="003322B2" w:rsidRDefault="00A03806" w:rsidP="00A03806">
      <w:pPr>
        <w:spacing w:line="480" w:lineRule="auto"/>
        <w:jc w:val="both"/>
        <w:rPr>
          <w:rFonts w:ascii="Cambria" w:eastAsia="MS Mincho" w:hAnsi="Cambria" w:cs="Times New Roman"/>
          <w:b/>
          <w:color w:val="002060"/>
          <w:lang w:val="en-US" w:eastAsia="nl-NL"/>
        </w:rPr>
      </w:pP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474"/>
        <w:gridCol w:w="1474"/>
        <w:gridCol w:w="1474"/>
        <w:gridCol w:w="1474"/>
        <w:gridCol w:w="1617"/>
      </w:tblGrid>
      <w:tr w:rsidR="003322B2" w:rsidRPr="003322B2" w:rsidTr="004011F8">
        <w:trPr>
          <w:trHeight w:val="5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806" w:rsidRPr="003322B2" w:rsidRDefault="00A03806" w:rsidP="00A03806">
            <w:pPr>
              <w:jc w:val="both"/>
              <w:rPr>
                <w:rFonts w:ascii="Cambria" w:eastAsia="MS Mincho" w:hAnsi="Cambria" w:cs="Calibri"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color w:val="002060"/>
                <w:sz w:val="16"/>
                <w:szCs w:val="16"/>
                <w:lang w:val="en-US" w:eastAsia="nl-NL"/>
              </w:rPr>
              <w:t>n=20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b/>
                <w:bCs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 xml:space="preserve">Negative kit </w:t>
            </w:r>
            <w:proofErr w:type="spellStart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iQC</w:t>
            </w: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vertAlign w:val="superscript"/>
                <w:lang w:val="en-US" w:eastAsia="nl-NL"/>
              </w:rPr>
              <w:t>a</w:t>
            </w:r>
            <w:proofErr w:type="spellEnd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 xml:space="preserve"> (</w:t>
            </w:r>
            <w:proofErr w:type="spellStart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LIU</w:t>
            </w: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vertAlign w:val="superscript"/>
                <w:lang w:val="en-US" w:eastAsia="nl-NL"/>
              </w:rPr>
              <w:t>b</w:t>
            </w:r>
            <w:proofErr w:type="spellEnd"/>
            <w:r w:rsid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)</w:t>
            </w:r>
            <w:r w:rsidR="003322B2"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b/>
                <w:bCs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 xml:space="preserve">Positive kit </w:t>
            </w:r>
            <w:proofErr w:type="spellStart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iQC</w:t>
            </w: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vertAlign w:val="superscript"/>
                <w:lang w:val="en-US" w:eastAsia="nl-NL"/>
              </w:rPr>
              <w:t>a</w:t>
            </w:r>
            <w:proofErr w:type="spellEnd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 xml:space="preserve"> (</w:t>
            </w:r>
            <w:proofErr w:type="spellStart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LIU</w:t>
            </w: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vertAlign w:val="superscript"/>
                <w:lang w:val="en-US" w:eastAsia="nl-NL"/>
              </w:rPr>
              <w:t>b</w:t>
            </w:r>
            <w:proofErr w:type="spellEnd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b/>
                <w:bCs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 xml:space="preserve">Negative sample </w:t>
            </w:r>
            <w:proofErr w:type="spellStart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iQC</w:t>
            </w: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vertAlign w:val="superscript"/>
                <w:lang w:val="en-US" w:eastAsia="nl-NL"/>
              </w:rPr>
              <w:t>a</w:t>
            </w:r>
            <w:proofErr w:type="spellEnd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 xml:space="preserve"> (</w:t>
            </w:r>
            <w:proofErr w:type="spellStart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LIU</w:t>
            </w: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vertAlign w:val="superscript"/>
                <w:lang w:val="en-US" w:eastAsia="nl-NL"/>
              </w:rPr>
              <w:t>b</w:t>
            </w:r>
            <w:proofErr w:type="spellEnd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b/>
                <w:bCs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 xml:space="preserve">Positive sample </w:t>
            </w:r>
            <w:proofErr w:type="spellStart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iQC</w:t>
            </w: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vertAlign w:val="superscript"/>
                <w:lang w:val="en-US" w:eastAsia="nl-NL"/>
              </w:rPr>
              <w:t>a</w:t>
            </w:r>
            <w:proofErr w:type="spellEnd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 xml:space="preserve"> speckled (</w:t>
            </w:r>
            <w:proofErr w:type="spellStart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LIU</w:t>
            </w: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vertAlign w:val="superscript"/>
                <w:lang w:val="en-US" w:eastAsia="nl-NL"/>
              </w:rPr>
              <w:t>b</w:t>
            </w:r>
            <w:proofErr w:type="spellEnd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806" w:rsidRPr="003322B2" w:rsidRDefault="00A03806" w:rsidP="00A03806">
            <w:pPr>
              <w:jc w:val="both"/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 xml:space="preserve">Positive sample </w:t>
            </w:r>
            <w:proofErr w:type="spellStart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iQC</w:t>
            </w: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vertAlign w:val="superscript"/>
                <w:lang w:val="en-US" w:eastAsia="nl-NL"/>
              </w:rPr>
              <w:t>a</w:t>
            </w:r>
            <w:proofErr w:type="spellEnd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 xml:space="preserve"> homogeneous (</w:t>
            </w:r>
            <w:proofErr w:type="spellStart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LIU</w:t>
            </w: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vertAlign w:val="superscript"/>
                <w:lang w:val="en-US" w:eastAsia="nl-NL"/>
              </w:rPr>
              <w:t>b</w:t>
            </w:r>
            <w:proofErr w:type="spellEnd"/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)</w:t>
            </w:r>
          </w:p>
        </w:tc>
      </w:tr>
      <w:tr w:rsidR="003322B2" w:rsidRPr="003322B2" w:rsidTr="004011F8">
        <w:trPr>
          <w:trHeight w:val="454"/>
        </w:trPr>
        <w:tc>
          <w:tcPr>
            <w:tcW w:w="226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b/>
                <w:bCs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Mean</w:t>
            </w:r>
          </w:p>
        </w:tc>
        <w:tc>
          <w:tcPr>
            <w:tcW w:w="147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b/>
                <w:bCs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color w:val="002060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b/>
                <w:bCs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color w:val="002060"/>
                <w:sz w:val="16"/>
                <w:szCs w:val="16"/>
                <w:lang w:val="en-US" w:eastAsia="nl-NL"/>
              </w:rPr>
              <w:t>2133.4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color w:val="002060"/>
                <w:sz w:val="16"/>
                <w:szCs w:val="16"/>
                <w:lang w:val="en-US" w:eastAsia="nl-NL"/>
              </w:rPr>
              <w:t>13.9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color w:val="002060"/>
                <w:sz w:val="16"/>
                <w:szCs w:val="16"/>
                <w:lang w:val="en-US" w:eastAsia="nl-NL"/>
              </w:rPr>
              <w:t>189.4</w:t>
            </w:r>
          </w:p>
        </w:tc>
        <w:tc>
          <w:tcPr>
            <w:tcW w:w="161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color w:val="002060"/>
                <w:sz w:val="16"/>
                <w:szCs w:val="16"/>
                <w:lang w:val="en-US" w:eastAsia="nl-NL"/>
              </w:rPr>
              <w:t>264.8</w:t>
            </w:r>
          </w:p>
        </w:tc>
      </w:tr>
      <w:tr w:rsidR="003322B2" w:rsidRPr="003322B2" w:rsidTr="004011F8">
        <w:trPr>
          <w:trHeight w:val="454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b/>
                <w:bCs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Standard deviation</w:t>
            </w:r>
          </w:p>
        </w:tc>
        <w:tc>
          <w:tcPr>
            <w:tcW w:w="147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b/>
                <w:bCs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color w:val="002060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b/>
                <w:bCs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color w:val="002060"/>
                <w:sz w:val="16"/>
                <w:szCs w:val="16"/>
                <w:lang w:val="en-US" w:eastAsia="nl-NL"/>
              </w:rPr>
              <w:t>658.0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color w:val="002060"/>
                <w:sz w:val="16"/>
                <w:szCs w:val="16"/>
                <w:lang w:val="en-US" w:eastAsia="nl-NL"/>
              </w:rPr>
              <w:t>5.2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color w:val="002060"/>
                <w:sz w:val="16"/>
                <w:szCs w:val="16"/>
                <w:lang w:val="en-US" w:eastAsia="nl-NL"/>
              </w:rPr>
              <w:t>51.4</w:t>
            </w: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color w:val="002060"/>
                <w:sz w:val="16"/>
                <w:szCs w:val="16"/>
                <w:lang w:val="en-US" w:eastAsia="nl-NL"/>
              </w:rPr>
              <w:t>68.2</w:t>
            </w:r>
          </w:p>
        </w:tc>
      </w:tr>
      <w:tr w:rsidR="003322B2" w:rsidRPr="003322B2" w:rsidTr="004011F8">
        <w:trPr>
          <w:trHeight w:val="454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b/>
                <w:bCs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Coefficient of variation (%)</w:t>
            </w:r>
          </w:p>
        </w:tc>
        <w:tc>
          <w:tcPr>
            <w:tcW w:w="14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b/>
                <w:bCs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b/>
                <w:bCs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30.8%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b/>
                <w:bCs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37.2%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b/>
                <w:bCs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27.1%</w:t>
            </w: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806" w:rsidRPr="003322B2" w:rsidRDefault="00A03806" w:rsidP="00A03806">
            <w:pPr>
              <w:jc w:val="both"/>
              <w:rPr>
                <w:rFonts w:ascii="Cambria" w:eastAsia="MS Gothic" w:hAnsi="Cambria" w:cs="Calibri"/>
                <w:b/>
                <w:bCs/>
                <w:i/>
                <w:iCs/>
                <w:color w:val="002060"/>
                <w:sz w:val="16"/>
                <w:szCs w:val="16"/>
                <w:lang w:val="en-US" w:eastAsia="nl-NL"/>
              </w:rPr>
            </w:pPr>
            <w:r w:rsidRPr="003322B2">
              <w:rPr>
                <w:rFonts w:ascii="Cambria" w:eastAsia="MS Mincho" w:hAnsi="Cambria" w:cs="Calibri"/>
                <w:b/>
                <w:bCs/>
                <w:color w:val="002060"/>
                <w:sz w:val="16"/>
                <w:szCs w:val="16"/>
                <w:lang w:val="en-US" w:eastAsia="nl-NL"/>
              </w:rPr>
              <w:t>25.7%</w:t>
            </w:r>
          </w:p>
        </w:tc>
      </w:tr>
    </w:tbl>
    <w:p w:rsidR="00A03806" w:rsidRPr="003322B2" w:rsidRDefault="00A03806" w:rsidP="00A03806">
      <w:pPr>
        <w:spacing w:line="480" w:lineRule="auto"/>
        <w:jc w:val="both"/>
        <w:rPr>
          <w:rFonts w:ascii="Cambria" w:eastAsia="MS Mincho" w:hAnsi="Cambria" w:cs="Times New Roman"/>
          <w:color w:val="002060"/>
          <w:lang w:val="en-US" w:eastAsia="nl-NL"/>
        </w:rPr>
      </w:pPr>
      <w:proofErr w:type="spellStart"/>
      <w:proofErr w:type="gramStart"/>
      <w:r w:rsidRPr="003322B2">
        <w:rPr>
          <w:rFonts w:ascii="Cambria" w:eastAsia="MS Mincho" w:hAnsi="Cambria" w:cs="Times New Roman"/>
          <w:color w:val="002060"/>
          <w:vertAlign w:val="superscript"/>
          <w:lang w:val="en-US" w:eastAsia="nl-NL"/>
        </w:rPr>
        <w:t>a</w:t>
      </w:r>
      <w:r w:rsidRPr="003322B2">
        <w:rPr>
          <w:rFonts w:ascii="Cambria" w:eastAsia="MS Mincho" w:hAnsi="Cambria" w:cs="Times New Roman"/>
          <w:color w:val="002060"/>
          <w:lang w:val="en-US" w:eastAsia="nl-NL"/>
        </w:rPr>
        <w:t>iQC</w:t>
      </w:r>
      <w:proofErr w:type="spellEnd"/>
      <w:proofErr w:type="gramEnd"/>
      <w:r w:rsidR="003322B2">
        <w:rPr>
          <w:rFonts w:ascii="Cambria" w:eastAsia="MS Mincho" w:hAnsi="Cambria" w:cs="Times New Roman"/>
          <w:color w:val="002060"/>
          <w:lang w:val="en-US" w:eastAsia="nl-NL"/>
        </w:rPr>
        <w:t>, i</w:t>
      </w:r>
      <w:r w:rsidRPr="003322B2">
        <w:rPr>
          <w:rFonts w:ascii="Cambria" w:eastAsia="MS Mincho" w:hAnsi="Cambria" w:cs="Times New Roman"/>
          <w:color w:val="002060"/>
          <w:lang w:val="en-US" w:eastAsia="nl-NL"/>
        </w:rPr>
        <w:t xml:space="preserve">nternal quality control; </w:t>
      </w:r>
      <w:proofErr w:type="spellStart"/>
      <w:r w:rsidRPr="003322B2">
        <w:rPr>
          <w:rFonts w:ascii="Cambria" w:eastAsia="MS Mincho" w:hAnsi="Cambria" w:cs="Times New Roman"/>
          <w:color w:val="002060"/>
          <w:vertAlign w:val="superscript"/>
          <w:lang w:val="en-US" w:eastAsia="nl-NL"/>
        </w:rPr>
        <w:t>b</w:t>
      </w:r>
      <w:r w:rsidRPr="003322B2">
        <w:rPr>
          <w:rFonts w:ascii="Cambria" w:eastAsia="MS Mincho" w:hAnsi="Cambria" w:cs="Times New Roman"/>
          <w:color w:val="002060"/>
          <w:lang w:val="en-US" w:eastAsia="nl-NL"/>
        </w:rPr>
        <w:t>LIU</w:t>
      </w:r>
      <w:proofErr w:type="spellEnd"/>
      <w:r w:rsidR="003322B2">
        <w:rPr>
          <w:rFonts w:ascii="Cambria" w:eastAsia="MS Mincho" w:hAnsi="Cambria" w:cs="Times New Roman"/>
          <w:color w:val="002060"/>
          <w:lang w:val="en-US" w:eastAsia="nl-NL"/>
        </w:rPr>
        <w:t>, light intensity units.</w:t>
      </w:r>
      <w:r w:rsidRPr="003322B2">
        <w:rPr>
          <w:rFonts w:ascii="Cambria" w:eastAsia="MS Mincho" w:hAnsi="Cambria" w:cs="Times New Roman"/>
          <w:color w:val="002060"/>
          <w:lang w:val="en-US" w:eastAsia="nl-NL"/>
        </w:rPr>
        <w:t xml:space="preserve"> </w:t>
      </w:r>
      <w:proofErr w:type="gramStart"/>
      <w:r w:rsidR="003322B2">
        <w:rPr>
          <w:rFonts w:ascii="Cambria" w:eastAsia="MS Mincho" w:hAnsi="Cambria" w:cs="Times New Roman"/>
          <w:color w:val="002060"/>
          <w:vertAlign w:val="superscript"/>
          <w:lang w:val="en-US" w:eastAsia="nl-NL"/>
        </w:rPr>
        <w:t>c</w:t>
      </w:r>
      <w:bookmarkStart w:id="0" w:name="_GoBack"/>
      <w:bookmarkEnd w:id="0"/>
      <w:r w:rsidRPr="003322B2">
        <w:rPr>
          <w:rFonts w:ascii="Cambria" w:eastAsia="MS Mincho" w:hAnsi="Cambria" w:cs="Times New Roman"/>
          <w:color w:val="002060"/>
          <w:lang w:val="en-US" w:eastAsia="nl-NL"/>
        </w:rPr>
        <w:t>There</w:t>
      </w:r>
      <w:proofErr w:type="gramEnd"/>
      <w:r w:rsidRPr="003322B2">
        <w:rPr>
          <w:rFonts w:ascii="Cambria" w:eastAsia="MS Mincho" w:hAnsi="Cambria" w:cs="Times New Roman"/>
          <w:color w:val="002060"/>
          <w:lang w:val="en-US" w:eastAsia="nl-NL"/>
        </w:rPr>
        <w:t xml:space="preserve"> was no total imprecision result obtained for the negative kit iQC, as this material only generated a fluorescence intensity of ‘0’</w:t>
      </w:r>
    </w:p>
    <w:p w:rsidR="00A03806" w:rsidRPr="003322B2" w:rsidRDefault="00A03806" w:rsidP="00A03806">
      <w:pPr>
        <w:spacing w:line="480" w:lineRule="auto"/>
        <w:jc w:val="both"/>
        <w:rPr>
          <w:rFonts w:ascii="Cambria" w:eastAsia="MS Mincho" w:hAnsi="Cambria" w:cs="Times New Roman"/>
          <w:color w:val="002060"/>
          <w:lang w:val="en-US" w:eastAsia="nl-NL"/>
        </w:rPr>
      </w:pPr>
    </w:p>
    <w:p w:rsidR="00A03806" w:rsidRPr="003322B2" w:rsidRDefault="00A03806" w:rsidP="00A03806">
      <w:pPr>
        <w:spacing w:line="480" w:lineRule="auto"/>
        <w:jc w:val="both"/>
        <w:rPr>
          <w:rFonts w:ascii="Cambria" w:eastAsia="MS Mincho" w:hAnsi="Cambria" w:cs="Times New Roman"/>
          <w:color w:val="002060"/>
          <w:lang w:val="en-US" w:eastAsia="nl-NL"/>
        </w:rPr>
      </w:pPr>
    </w:p>
    <w:p w:rsidR="00A03806" w:rsidRPr="003322B2" w:rsidRDefault="00A03806" w:rsidP="00A03806">
      <w:pPr>
        <w:spacing w:line="480" w:lineRule="auto"/>
        <w:jc w:val="both"/>
        <w:rPr>
          <w:rFonts w:ascii="Cambria" w:eastAsia="MS Mincho" w:hAnsi="Cambria" w:cs="Times New Roman"/>
          <w:color w:val="002060"/>
          <w:lang w:val="en-US" w:eastAsia="nl-NL"/>
        </w:rPr>
      </w:pPr>
    </w:p>
    <w:p w:rsidR="00D314B6" w:rsidRPr="003322B2" w:rsidRDefault="00D314B6">
      <w:pPr>
        <w:rPr>
          <w:color w:val="002060"/>
          <w:lang w:val="en-US"/>
        </w:rPr>
      </w:pPr>
    </w:p>
    <w:sectPr w:rsidR="00D314B6" w:rsidRPr="003322B2" w:rsidSect="00E8197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806"/>
    <w:rsid w:val="003322B2"/>
    <w:rsid w:val="005D36EC"/>
    <w:rsid w:val="00A03806"/>
    <w:rsid w:val="00D314B6"/>
    <w:rsid w:val="00DC3434"/>
    <w:rsid w:val="00E8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A77A7-65F2-8741-AB41-6B5F21AD5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Bogaert</dc:creator>
  <cp:keywords/>
  <dc:description/>
  <cp:lastModifiedBy>Jahnke, Heike</cp:lastModifiedBy>
  <cp:revision>2</cp:revision>
  <dcterms:created xsi:type="dcterms:W3CDTF">2018-12-05T15:12:00Z</dcterms:created>
  <dcterms:modified xsi:type="dcterms:W3CDTF">2018-12-05T15:12:00Z</dcterms:modified>
</cp:coreProperties>
</file>