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6F" w:rsidRPr="00333F6F" w:rsidRDefault="00333F6F" w:rsidP="00DD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333F6F">
        <w:rPr>
          <w:rFonts w:ascii="Arial" w:hAnsi="Arial" w:cs="Arial"/>
          <w:b/>
          <w:sz w:val="20"/>
          <w:szCs w:val="20"/>
          <w:lang w:val="en-US"/>
        </w:rPr>
        <w:t>Supplemental Material</w:t>
      </w:r>
    </w:p>
    <w:p w:rsidR="00333F6F" w:rsidRDefault="00333F6F" w:rsidP="00DD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668E6" w:rsidRPr="00921AD9" w:rsidRDefault="001668E6" w:rsidP="00DD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21AD9">
        <w:rPr>
          <w:rFonts w:ascii="Arial" w:hAnsi="Arial" w:cs="Arial"/>
          <w:sz w:val="20"/>
          <w:szCs w:val="20"/>
          <w:lang w:val="en-US"/>
        </w:rPr>
        <w:t xml:space="preserve">Table </w:t>
      </w:r>
      <w:r w:rsidR="0037292A" w:rsidRPr="00921AD9">
        <w:rPr>
          <w:rFonts w:ascii="Arial" w:hAnsi="Arial" w:cs="Arial"/>
          <w:sz w:val="20"/>
          <w:szCs w:val="20"/>
          <w:lang w:val="en-US"/>
        </w:rPr>
        <w:t xml:space="preserve">1: Main demographic, </w:t>
      </w:r>
      <w:r w:rsidRPr="00921AD9">
        <w:rPr>
          <w:rFonts w:ascii="Arial" w:hAnsi="Arial" w:cs="Arial"/>
          <w:sz w:val="20"/>
          <w:szCs w:val="20"/>
          <w:lang w:val="en-US"/>
        </w:rPr>
        <w:t xml:space="preserve">clinical </w:t>
      </w:r>
      <w:r w:rsidR="0037292A" w:rsidRPr="00921AD9">
        <w:rPr>
          <w:rFonts w:ascii="Arial" w:hAnsi="Arial" w:cs="Arial"/>
          <w:sz w:val="20"/>
          <w:szCs w:val="20"/>
          <w:lang w:val="en-US"/>
        </w:rPr>
        <w:t xml:space="preserve">and laboratory </w:t>
      </w:r>
      <w:r w:rsidRPr="00921AD9">
        <w:rPr>
          <w:rFonts w:ascii="Arial" w:hAnsi="Arial" w:cs="Arial"/>
          <w:sz w:val="20"/>
          <w:szCs w:val="20"/>
          <w:lang w:val="en-US"/>
        </w:rPr>
        <w:t>characteristics of the patien</w:t>
      </w:r>
      <w:r w:rsidR="00D1688C" w:rsidRPr="00921AD9">
        <w:rPr>
          <w:rFonts w:ascii="Arial" w:hAnsi="Arial" w:cs="Arial"/>
          <w:sz w:val="20"/>
          <w:szCs w:val="20"/>
          <w:lang w:val="en-US"/>
        </w:rPr>
        <w:t>ts with Crohn’s disease (CD),</w:t>
      </w:r>
      <w:r w:rsidRPr="00921AD9">
        <w:rPr>
          <w:rFonts w:ascii="Arial" w:hAnsi="Arial" w:cs="Arial"/>
          <w:sz w:val="20"/>
          <w:szCs w:val="20"/>
          <w:lang w:val="en-US"/>
        </w:rPr>
        <w:t xml:space="preserve"> ulcerative colitis (UC) </w:t>
      </w:r>
      <w:r w:rsidR="00D1688C" w:rsidRPr="00921AD9">
        <w:rPr>
          <w:rFonts w:ascii="Arial" w:hAnsi="Arial" w:cs="Arial"/>
          <w:sz w:val="20"/>
          <w:szCs w:val="20"/>
          <w:lang w:val="en-US"/>
        </w:rPr>
        <w:t xml:space="preserve">and control </w:t>
      </w:r>
      <w:r w:rsidR="0004154D">
        <w:rPr>
          <w:rFonts w:ascii="Arial" w:hAnsi="Arial" w:cs="Arial"/>
          <w:sz w:val="20"/>
          <w:szCs w:val="20"/>
          <w:lang w:val="en-US"/>
        </w:rPr>
        <w:t xml:space="preserve">individuals </w:t>
      </w:r>
      <w:r w:rsidRPr="00921AD9">
        <w:rPr>
          <w:rFonts w:ascii="Arial" w:hAnsi="Arial" w:cs="Arial"/>
          <w:sz w:val="20"/>
          <w:szCs w:val="20"/>
          <w:lang w:val="en-US"/>
        </w:rPr>
        <w:t>included in the present study.</w:t>
      </w:r>
    </w:p>
    <w:p w:rsidR="00B859D2" w:rsidRPr="00921AD9" w:rsidRDefault="00B859D2" w:rsidP="00166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126"/>
        <w:gridCol w:w="2126"/>
        <w:gridCol w:w="2127"/>
      </w:tblGrid>
      <w:tr w:rsidR="003138F0" w:rsidRPr="00B6713E" w:rsidTr="00D323F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3138F0" w:rsidRPr="00D323FF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23FF">
              <w:rPr>
                <w:rFonts w:ascii="Arial" w:hAnsi="Arial" w:cs="Arial"/>
                <w:b/>
                <w:sz w:val="20"/>
                <w:szCs w:val="20"/>
                <w:lang w:val="en-US"/>
              </w:rPr>
              <w:t>CD (n=100)</w:t>
            </w:r>
          </w:p>
        </w:tc>
        <w:tc>
          <w:tcPr>
            <w:tcW w:w="2126" w:type="dxa"/>
            <w:vAlign w:val="center"/>
          </w:tcPr>
          <w:p w:rsidR="003138F0" w:rsidRPr="00D323FF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23FF">
              <w:rPr>
                <w:rFonts w:ascii="Arial" w:hAnsi="Arial" w:cs="Arial"/>
                <w:b/>
                <w:sz w:val="20"/>
                <w:szCs w:val="20"/>
                <w:lang w:val="en-US"/>
              </w:rPr>
              <w:t>UC (n=100)</w:t>
            </w:r>
          </w:p>
        </w:tc>
        <w:tc>
          <w:tcPr>
            <w:tcW w:w="2127" w:type="dxa"/>
            <w:vAlign w:val="center"/>
          </w:tcPr>
          <w:p w:rsidR="003138F0" w:rsidRPr="00D323FF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23FF">
              <w:rPr>
                <w:rFonts w:ascii="Arial" w:hAnsi="Arial" w:cs="Arial"/>
                <w:b/>
                <w:sz w:val="20"/>
                <w:szCs w:val="20"/>
                <w:lang w:val="en-US"/>
              </w:rPr>
              <w:t>Control</w:t>
            </w:r>
            <w:r w:rsidR="00223AFD" w:rsidRPr="00D323FF"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  <w:r w:rsidRPr="00D323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(n=50)</w:t>
            </w:r>
          </w:p>
        </w:tc>
      </w:tr>
      <w:tr w:rsidR="003138F0" w:rsidRPr="00B6713E" w:rsidTr="00D323FF">
        <w:tc>
          <w:tcPr>
            <w:tcW w:w="2660" w:type="dxa"/>
            <w:tcBorders>
              <w:top w:val="single" w:sz="4" w:space="0" w:color="auto"/>
            </w:tcBorders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Sex (male/female)</w:t>
            </w:r>
            <w:r w:rsidR="00D323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(43%)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/57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(57%)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(47%)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/53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(53%)</w:t>
            </w:r>
          </w:p>
        </w:tc>
        <w:tc>
          <w:tcPr>
            <w:tcW w:w="2127" w:type="dxa"/>
            <w:vAlign w:val="center"/>
          </w:tcPr>
          <w:p w:rsidR="003138F0" w:rsidRPr="00B6713E" w:rsidRDefault="004B5DB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19 (38%) /31(62%)</w:t>
            </w: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Age at sample date (</w:t>
            </w:r>
            <w:r w:rsidR="004E13E9">
              <w:rPr>
                <w:rFonts w:ascii="Arial" w:hAnsi="Arial" w:cs="Arial"/>
                <w:sz w:val="20"/>
                <w:szCs w:val="20"/>
                <w:lang w:val="en-US"/>
              </w:rPr>
              <w:t xml:space="preserve">mean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  <w:r w:rsidR="004E13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219BE" w:rsidRPr="00B6713E"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 w:rsidR="004E13E9">
              <w:rPr>
                <w:rFonts w:ascii="Arial" w:hAnsi="Arial" w:cs="Arial"/>
                <w:sz w:val="20"/>
                <w:szCs w:val="20"/>
                <w:lang w:val="en-US"/>
              </w:rPr>
              <w:t xml:space="preserve"> SD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38.03 ± 13.91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48.59 ± 15.63</w:t>
            </w:r>
          </w:p>
        </w:tc>
        <w:tc>
          <w:tcPr>
            <w:tcW w:w="2127" w:type="dxa"/>
            <w:vAlign w:val="center"/>
          </w:tcPr>
          <w:p w:rsidR="003138F0" w:rsidRPr="00B6713E" w:rsidRDefault="004B5DB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48.54 ± 18.72</w:t>
            </w: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Age at diagnosis (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mean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219BE" w:rsidRPr="00B6713E"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 SD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24.87 ± 11.23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31.56 ± 14.02</w:t>
            </w:r>
          </w:p>
        </w:tc>
        <w:tc>
          <w:tcPr>
            <w:tcW w:w="2127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Disease duration (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mean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219BE" w:rsidRPr="00B6713E"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 w:rsidR="000219BE">
              <w:rPr>
                <w:rFonts w:ascii="Arial" w:hAnsi="Arial" w:cs="Arial"/>
                <w:sz w:val="20"/>
                <w:szCs w:val="20"/>
                <w:lang w:val="en-US"/>
              </w:rPr>
              <w:t xml:space="preserve"> SD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13.16 ±  8.92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17.03 ± 13.77</w:t>
            </w:r>
          </w:p>
        </w:tc>
        <w:tc>
          <w:tcPr>
            <w:tcW w:w="2127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Location or extent (%)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L1: 16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(16%)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L2: 22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(22%)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L3: 62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(62%)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E1: 11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(11%)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E2: 25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(25%)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E3: 64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(64%)</w:t>
            </w:r>
          </w:p>
        </w:tc>
        <w:tc>
          <w:tcPr>
            <w:tcW w:w="2127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Behaviour (%)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B1:49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(49%)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B2: 27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(27%)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B3: 24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(24%)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Perianal: 30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(30%)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Age (%)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A1: 17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(17%)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A2: 73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(73%)</w:t>
            </w:r>
          </w:p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A3: 10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(10%)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PAB pattern reticulogranular IgA</w:t>
            </w:r>
            <w:r w:rsidR="00224D95" w:rsidRPr="00B6713E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 xml:space="preserve">≠ </w:t>
            </w: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positive/negative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(9%)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/91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(91%)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(7%)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/93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(93%)</w:t>
            </w:r>
          </w:p>
        </w:tc>
        <w:tc>
          <w:tcPr>
            <w:tcW w:w="2127" w:type="dxa"/>
            <w:vAlign w:val="center"/>
          </w:tcPr>
          <w:p w:rsidR="003138F0" w:rsidRPr="00B6713E" w:rsidRDefault="009A1663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0 (0%) /50 (100%)</w:t>
            </w:r>
          </w:p>
        </w:tc>
        <w:bookmarkStart w:id="0" w:name="_GoBack"/>
        <w:bookmarkEnd w:id="0"/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Anti-CUZD1 by IFA</w:t>
            </w:r>
            <w:r w:rsidR="00224D95" w:rsidRPr="00B6713E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≠≠</w:t>
            </w: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IgA positive/negative</w:t>
            </w:r>
          </w:p>
        </w:tc>
        <w:tc>
          <w:tcPr>
            <w:tcW w:w="2126" w:type="dxa"/>
            <w:vAlign w:val="center"/>
          </w:tcPr>
          <w:p w:rsidR="003138F0" w:rsidRPr="00B6713E" w:rsidRDefault="004B5DB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9 (9%) /91 (91%)</w:t>
            </w:r>
          </w:p>
        </w:tc>
        <w:tc>
          <w:tcPr>
            <w:tcW w:w="2126" w:type="dxa"/>
            <w:vAlign w:val="center"/>
          </w:tcPr>
          <w:p w:rsidR="003138F0" w:rsidRPr="00B6713E" w:rsidRDefault="004B5DB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7 (7%) /93 (93%)</w:t>
            </w:r>
          </w:p>
        </w:tc>
        <w:tc>
          <w:tcPr>
            <w:tcW w:w="2127" w:type="dxa"/>
            <w:vAlign w:val="center"/>
          </w:tcPr>
          <w:p w:rsidR="003138F0" w:rsidRPr="00B6713E" w:rsidRDefault="009A1663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PAB pattern reticulogranular IgG</w:t>
            </w:r>
            <w:r w:rsidR="00224D95" w:rsidRPr="00B6713E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 xml:space="preserve">≠ </w:t>
            </w:r>
          </w:p>
          <w:p w:rsidR="003138F0" w:rsidRPr="00B6713E" w:rsidRDefault="003138F0" w:rsidP="00B6713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positive/negative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(19%)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/81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(81%)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(5%)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/95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(95%)</w:t>
            </w:r>
          </w:p>
        </w:tc>
        <w:tc>
          <w:tcPr>
            <w:tcW w:w="2127" w:type="dxa"/>
            <w:vAlign w:val="center"/>
          </w:tcPr>
          <w:p w:rsidR="003138F0" w:rsidRPr="00B6713E" w:rsidRDefault="009A1663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0 (0%) /50 (100%)</w:t>
            </w:r>
          </w:p>
        </w:tc>
      </w:tr>
      <w:tr w:rsidR="003138F0" w:rsidRPr="00B6713E" w:rsidTr="00D323FF">
        <w:tc>
          <w:tcPr>
            <w:tcW w:w="2660" w:type="dxa"/>
          </w:tcPr>
          <w:p w:rsidR="003138F0" w:rsidRPr="00B6713E" w:rsidRDefault="003138F0" w:rsidP="00B6713E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t>Anti-CUZD1 by IFA</w:t>
            </w:r>
            <w:r w:rsidR="00224D95" w:rsidRPr="00B6713E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≠≠</w:t>
            </w:r>
            <w:r w:rsidRPr="00B6713E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IgG positive/negative</w:t>
            </w:r>
          </w:p>
        </w:tc>
        <w:tc>
          <w:tcPr>
            <w:tcW w:w="2126" w:type="dxa"/>
            <w:vAlign w:val="center"/>
          </w:tcPr>
          <w:p w:rsidR="003138F0" w:rsidRPr="00B6713E" w:rsidRDefault="004B5DB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19 (19%) /81 (81%)</w:t>
            </w:r>
          </w:p>
        </w:tc>
        <w:tc>
          <w:tcPr>
            <w:tcW w:w="2126" w:type="dxa"/>
            <w:vAlign w:val="center"/>
          </w:tcPr>
          <w:p w:rsidR="003138F0" w:rsidRPr="00B6713E" w:rsidRDefault="003138F0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(5%) </w:t>
            </w: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/95</w:t>
            </w:r>
            <w:r w:rsidR="004B5DB0" w:rsidRPr="00B6713E">
              <w:rPr>
                <w:rFonts w:ascii="Arial" w:hAnsi="Arial" w:cs="Arial"/>
                <w:sz w:val="20"/>
                <w:szCs w:val="20"/>
                <w:lang w:val="en-US"/>
              </w:rPr>
              <w:t xml:space="preserve"> (95%)</w:t>
            </w:r>
          </w:p>
        </w:tc>
        <w:tc>
          <w:tcPr>
            <w:tcW w:w="2127" w:type="dxa"/>
            <w:vAlign w:val="center"/>
          </w:tcPr>
          <w:p w:rsidR="003138F0" w:rsidRPr="00B6713E" w:rsidRDefault="009A1663" w:rsidP="00D323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13E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</w:tbl>
    <w:p w:rsidR="00921AD9" w:rsidRDefault="00921AD9" w:rsidP="0063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D3900" w:rsidRPr="00921AD9" w:rsidRDefault="003138F0" w:rsidP="00630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21AD9">
        <w:rPr>
          <w:rFonts w:ascii="Arial" w:hAnsi="Arial" w:cs="Arial"/>
          <w:sz w:val="20"/>
          <w:szCs w:val="20"/>
          <w:lang w:val="en-US"/>
        </w:rPr>
        <w:t>*</w:t>
      </w:r>
      <w:r w:rsidRPr="00921AD9">
        <w:rPr>
          <w:rFonts w:ascii="Arial" w:hAnsi="Arial" w:cs="Arial"/>
          <w:color w:val="000000"/>
          <w:sz w:val="20"/>
          <w:szCs w:val="20"/>
          <w:lang w:val="en-US"/>
        </w:rPr>
        <w:t>50 control samples (composed of 32 samples from patients with diseases unrelated to IBD and 18 samples from additional healthy individuals).</w:t>
      </w:r>
      <w:r w:rsidR="00224D95" w:rsidRPr="00921AD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24D95" w:rsidRPr="00921AD9">
        <w:rPr>
          <w:rFonts w:ascii="Arial" w:hAnsi="Arial" w:cs="Arial"/>
          <w:bCs/>
          <w:sz w:val="20"/>
          <w:szCs w:val="20"/>
          <w:vertAlign w:val="superscript"/>
          <w:lang w:val="en-US"/>
        </w:rPr>
        <w:t xml:space="preserve">≠ </w:t>
      </w:r>
      <w:r w:rsidR="00333F6F">
        <w:rPr>
          <w:rFonts w:ascii="Arial" w:hAnsi="Arial" w:cs="Arial"/>
          <w:bCs/>
          <w:sz w:val="20"/>
          <w:szCs w:val="20"/>
          <w:lang w:val="en-US"/>
        </w:rPr>
        <w:t>P</w:t>
      </w:r>
      <w:r w:rsidR="00224D95" w:rsidRPr="00921AD9">
        <w:rPr>
          <w:rFonts w:ascii="Arial" w:hAnsi="Arial" w:cs="Arial"/>
          <w:bCs/>
          <w:sz w:val="20"/>
          <w:szCs w:val="20"/>
          <w:lang w:val="en-US"/>
        </w:rPr>
        <w:t xml:space="preserve">ancreatic tissue as substrate, </w:t>
      </w:r>
      <w:r w:rsidR="00224D95" w:rsidRPr="00921AD9">
        <w:rPr>
          <w:rFonts w:ascii="Arial" w:hAnsi="Arial" w:cs="Arial"/>
          <w:bCs/>
          <w:sz w:val="20"/>
          <w:szCs w:val="20"/>
          <w:vertAlign w:val="superscript"/>
          <w:lang w:val="en-US"/>
        </w:rPr>
        <w:t>≠≠</w:t>
      </w:r>
      <w:r w:rsidR="00224D95" w:rsidRPr="00921AD9">
        <w:rPr>
          <w:rFonts w:ascii="Arial" w:hAnsi="Arial" w:cs="Arial"/>
          <w:color w:val="0D0D0D"/>
          <w:sz w:val="20"/>
          <w:szCs w:val="20"/>
          <w:lang w:val="en-US"/>
        </w:rPr>
        <w:t>recombinant cells expressing CUZD1 as a substrate in IIF</w:t>
      </w:r>
      <w:r w:rsidR="003C572B" w:rsidRPr="00921AD9">
        <w:rPr>
          <w:rFonts w:ascii="Arial" w:hAnsi="Arial" w:cs="Arial"/>
          <w:color w:val="0D0D0D"/>
          <w:sz w:val="20"/>
          <w:szCs w:val="20"/>
          <w:lang w:val="en-US"/>
        </w:rPr>
        <w:t>.</w:t>
      </w:r>
      <w:r w:rsidR="00333F6F" w:rsidRPr="00921AD9">
        <w:rPr>
          <w:rFonts w:ascii="Arial" w:hAnsi="Arial" w:cs="Arial"/>
          <w:sz w:val="20"/>
          <w:szCs w:val="20"/>
          <w:lang w:val="en-US"/>
        </w:rPr>
        <w:t xml:space="preserve"> </w:t>
      </w:r>
      <w:r w:rsidR="00DD3900" w:rsidRPr="00921AD9">
        <w:rPr>
          <w:rFonts w:ascii="Arial" w:hAnsi="Arial" w:cs="Arial"/>
          <w:sz w:val="20"/>
          <w:szCs w:val="20"/>
          <w:lang w:val="en-US"/>
        </w:rPr>
        <w:t xml:space="preserve">L (location),  B (behaviour) </w:t>
      </w:r>
      <w:r w:rsidR="00260A7B" w:rsidRPr="00921AD9">
        <w:rPr>
          <w:rFonts w:ascii="Arial" w:hAnsi="Arial" w:cs="Arial"/>
          <w:sz w:val="20"/>
          <w:szCs w:val="20"/>
          <w:lang w:val="en-US"/>
        </w:rPr>
        <w:t xml:space="preserve">and A (age) </w:t>
      </w:r>
      <w:r w:rsidR="00DD3900" w:rsidRPr="00921AD9">
        <w:rPr>
          <w:rFonts w:ascii="Arial" w:hAnsi="Arial" w:cs="Arial"/>
          <w:sz w:val="20"/>
          <w:szCs w:val="20"/>
          <w:lang w:val="en-US"/>
        </w:rPr>
        <w:t>according to Montreal classification; L1, ilea</w:t>
      </w:r>
      <w:r w:rsidR="00EE6D45" w:rsidRPr="00921AD9">
        <w:rPr>
          <w:rFonts w:ascii="Arial" w:hAnsi="Arial" w:cs="Arial"/>
          <w:sz w:val="20"/>
          <w:szCs w:val="20"/>
          <w:lang w:val="en-US"/>
        </w:rPr>
        <w:t>l; L2, colonic; L3, ileocolonic</w:t>
      </w:r>
      <w:r w:rsidR="00DD3900" w:rsidRPr="00921AD9">
        <w:rPr>
          <w:rFonts w:ascii="Arial" w:hAnsi="Arial" w:cs="Arial"/>
          <w:sz w:val="20"/>
          <w:szCs w:val="20"/>
          <w:lang w:val="en-US"/>
        </w:rPr>
        <w:t xml:space="preserve"> and L4, upper disease</w:t>
      </w:r>
      <w:r w:rsidR="00EE6D45" w:rsidRPr="00921AD9">
        <w:rPr>
          <w:rFonts w:ascii="Arial" w:hAnsi="Arial" w:cs="Arial"/>
          <w:sz w:val="20"/>
          <w:szCs w:val="20"/>
          <w:lang w:val="en-US"/>
        </w:rPr>
        <w:t xml:space="preserve"> </w:t>
      </w:r>
      <w:r w:rsidR="00DD3900" w:rsidRPr="00921AD9">
        <w:rPr>
          <w:rFonts w:ascii="Arial" w:hAnsi="Arial" w:cs="Arial"/>
          <w:sz w:val="20"/>
          <w:szCs w:val="20"/>
          <w:lang w:val="en-US"/>
        </w:rPr>
        <w:t>modifier; B1, non-stricturing</w:t>
      </w:r>
      <w:r w:rsidR="00EE6D45" w:rsidRPr="00921AD9">
        <w:rPr>
          <w:rFonts w:ascii="Arial" w:hAnsi="Arial" w:cs="Arial"/>
          <w:sz w:val="20"/>
          <w:szCs w:val="20"/>
          <w:lang w:val="en-US"/>
        </w:rPr>
        <w:t xml:space="preserve"> </w:t>
      </w:r>
      <w:r w:rsidR="00DD3900" w:rsidRPr="00921AD9">
        <w:rPr>
          <w:rFonts w:ascii="Arial" w:hAnsi="Arial" w:cs="Arial"/>
          <w:sz w:val="20"/>
          <w:szCs w:val="20"/>
          <w:lang w:val="en-US"/>
        </w:rPr>
        <w:t xml:space="preserve">/non-penetrating; B2, stricturing; B3, penetrating </w:t>
      </w:r>
      <w:r w:rsidR="00630737" w:rsidRPr="00921AD9">
        <w:rPr>
          <w:rFonts w:ascii="Arial" w:hAnsi="Arial" w:cs="Arial"/>
          <w:sz w:val="20"/>
          <w:szCs w:val="20"/>
          <w:lang w:val="en-US"/>
        </w:rPr>
        <w:t xml:space="preserve">behavior; p perianal disease modifier; A1 below 16 y, A2 between 17 and 40 y, A3 above 40 y; E1, Involvement limited to the rectum (that is, proximal extent of inflammation is distal to the rectosigmoid junction) ; E2, Left sided UC (distal UC): Involvement limited to a proportion of the colorectum distal to the splenic flexure; E3, Extensive UC (pancolitis): Involvement extends </w:t>
      </w:r>
      <w:r w:rsidR="000219BE">
        <w:rPr>
          <w:rFonts w:ascii="Arial" w:hAnsi="Arial" w:cs="Arial"/>
          <w:sz w:val="20"/>
          <w:szCs w:val="20"/>
          <w:lang w:val="en-US"/>
        </w:rPr>
        <w:t>proximal to the splenic flexure ; SD, standard deviation.</w:t>
      </w:r>
    </w:p>
    <w:p w:rsidR="00A31192" w:rsidRDefault="00A31192" w:rsidP="00DD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A31192" w:rsidRPr="00DD3900" w:rsidRDefault="00A31192" w:rsidP="00DD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2A4FBD" w:rsidRDefault="002A4FBD" w:rsidP="002A4FBD"/>
    <w:p w:rsidR="002A4FBD" w:rsidRDefault="002A4FBD" w:rsidP="002A4FBD">
      <w:r w:rsidRPr="007A2230">
        <w:rPr>
          <w:noProof/>
          <w:lang w:val="de-DE" w:eastAsia="de-DE"/>
        </w:rPr>
        <w:drawing>
          <wp:inline distT="0" distB="0" distL="0" distR="0">
            <wp:extent cx="2569770" cy="3013439"/>
            <wp:effectExtent l="19050" t="0" r="198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12596" r="1420" b="-5288"/>
                    <a:stretch/>
                  </pic:blipFill>
                  <pic:spPr bwMode="auto">
                    <a:xfrm>
                      <a:off x="0" y="0"/>
                      <a:ext cx="2581845" cy="30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FBD" w:rsidRDefault="002A4FBD" w:rsidP="002A4FBD"/>
    <w:p w:rsidR="00333F6F" w:rsidRDefault="00333F6F" w:rsidP="00333F6F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Supplementary F</w:t>
      </w:r>
      <w:r w:rsidRPr="00816A44">
        <w:rPr>
          <w:b/>
          <w:sz w:val="24"/>
          <w:szCs w:val="24"/>
        </w:rPr>
        <w:t>igure 1:  Production of CUZD1 recombinant protein.</w:t>
      </w:r>
    </w:p>
    <w:p w:rsidR="00333F6F" w:rsidRPr="00816A44" w:rsidRDefault="00333F6F" w:rsidP="00333F6F">
      <w:pPr>
        <w:spacing w:line="480" w:lineRule="auto"/>
        <w:jc w:val="both"/>
        <w:rPr>
          <w:sz w:val="24"/>
          <w:szCs w:val="24"/>
        </w:rPr>
      </w:pPr>
      <w:r w:rsidRPr="00816A44">
        <w:rPr>
          <w:sz w:val="24"/>
          <w:szCs w:val="24"/>
        </w:rPr>
        <w:t xml:space="preserve">Recombinant CUZD1 was detected by Western blot analysis using an anti-CUZD1 peptide antibody. Detection of the secreted extracellular fragment of CUZD1 in the supernatant of the Expi293F cells at: 24, 48, 72, 96 hours, 6 days (d6) and 7 days (d7) after transfection. CUZD1 protein reached its peak expression 72h after transfection. Lane 1 shows untransfected cell supernatants (unt). Molecular mass markers (KDa) are shown. </w:t>
      </w:r>
    </w:p>
    <w:p w:rsidR="002A4FBD" w:rsidRDefault="002A4FBD" w:rsidP="002A4FBD"/>
    <w:p w:rsidR="002A4FBD" w:rsidRDefault="002A4FBD" w:rsidP="002A4FBD"/>
    <w:p w:rsidR="002A4FBD" w:rsidRDefault="002A4FBD" w:rsidP="002A4FBD"/>
    <w:p w:rsidR="002A4FBD" w:rsidRDefault="002A4FBD" w:rsidP="002A4FBD"/>
    <w:p w:rsidR="002A4FBD" w:rsidRDefault="002A4FBD" w:rsidP="002A4FBD"/>
    <w:p w:rsidR="002A4FBD" w:rsidRDefault="002A4FBD" w:rsidP="002A4FBD"/>
    <w:p w:rsidR="002A4FBD" w:rsidRDefault="002A4FBD" w:rsidP="002A4FBD"/>
    <w:p w:rsidR="002A4FBD" w:rsidRDefault="002A4FBD" w:rsidP="002A4FBD">
      <w:pPr>
        <w:rPr>
          <w:b/>
          <w:lang w:val="de-DE"/>
        </w:rPr>
      </w:pPr>
    </w:p>
    <w:p w:rsidR="002A4FBD" w:rsidRPr="00FA150F" w:rsidRDefault="002A4FBD" w:rsidP="002A4FBD">
      <w:pPr>
        <w:rPr>
          <w:b/>
        </w:rPr>
      </w:pPr>
      <w:r w:rsidRPr="00FA150F">
        <w:rPr>
          <w:b/>
        </w:rPr>
        <w:t>Supplementary figure 2</w:t>
      </w:r>
    </w:p>
    <w:p w:rsidR="002A4FBD" w:rsidRDefault="002A4FBD" w:rsidP="002A4FBD">
      <w:r w:rsidRPr="00C561EF">
        <w:rPr>
          <w:noProof/>
          <w:lang w:val="en-US" w:eastAsia="en-US"/>
        </w:rPr>
        <w:pict>
          <v:rect id="_x0000_s1032" style="position:absolute;margin-left:-116pt;margin-top:147.05pt;width:241.25pt;height:34.1pt;rotation:90;z-index:2516664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Zx0AIAADgGAAAOAAAAZHJzL2Uyb0RvYy54bWy8VNuO0zAQfUfiHyy/Z3Op2ybRpqulaRHS&#10;AisWPsBNnMbCsYPtNl0h/p2xs+22ywsCRB6szMXjmTNz5vrm0Am0Z9pwJQscX0UYMVmpmsttgb98&#10;XgcpRsZSWVOhJCvwIzP4ZvH61fXQ5yxRrRI10wiCSJMPfYFba/s8DE3Vso6aK9UzCcZG6Y5aEPU2&#10;rDUdIHonwiSKZuGgdN1rVTFjQFuORrzw8ZuGVfZj0xhmkSgw5Gb9qf25cWe4uKb5VtO+5dVTGvQP&#10;sugol/DoKVRJLUU7zX8J1fFKK6Mae1WpLlRNwyvma4Bq4uhFNQ8t7ZmvBcAx/Qkm8+/CVh/29xrx&#10;usAEI0k7aNEnAI3KrWAomTp8ht7k4PbQ32tXoenvVPXVIKmWLbixW63V0DJaQ1ax8w8vLjjBwFW0&#10;Gd6rGsLTnVUeqkOjO6QVtGRKIvd5LUCCDr4/j6f+sINFFSgn0WySzqcYVWAjk0k09w0Mae5iueR6&#10;bexbpjrkfgqsoRQfle7vjHW5Pbs4d6nWXAg/A0JeKMBx1MDbcNXZXBa+pd+zKFulq5QEJJmtAhKV&#10;ZXC7XpJgto7n03JSLpdl/MO9G5O85XXNpHvmOF4x+b32PQ36OBinATNK8NqFcyl5mrCl0GhPYcA3&#10;29hXK3YdYD3q4hHascZdB2wY9UfkTiE8OGfRw8vsvRkgeIFEnJDoTZIF61k6D8iaTINsHqVBFGdv&#10;sllEMlKuL5G445L9PRJoKHA2hfn0KPwvSGjecQvrSvCuwOkZsG78V7L2IFvKxfh/hqCr+hlBGK7j&#10;WHmyOH6MPLOHzcGzMZ4dqbdR9SPQxxMFNhjsWhhsdyYw/WiA1VVg821HNcNIvJPAwiwmxO06L5Dp&#10;PAFBn1s25xYqq1bBRrQYjb9LO+7HXa/5toXHxqGS6haY23BPI8fqMTGoygmwnnx9T6vU7b9z2Xs9&#10;L/zFTwAAAP//AwBQSwMEFAAGAAgAAAAhAEOBUUDiAAAACgEAAA8AAABkcnMvZG93bnJldi54bWxM&#10;j8tOwzAURPdI/IN1kdgg6tR9pSE3FQIhpLJAtBVs3fiSBPyIYjcJf4+7guVoRjNn8s1oNOup842z&#10;CNNJAoxs6VRjK4TD/uk2BeaDtEpqZwnhhzxsisuLXGbKDfaN+l2oWCyxPpMIdQhtxrkvazLST1xL&#10;NnqfrjMyRNlVXHVyiOVGc5EkS25kY+NCLVt6qKn83p0MwjD/UF/99CBen7c3vdePglcv74jXV+P9&#10;HbBAY/gLwxk/okMRmY7uZJVnGmGRxisBYb6ezYCdA2IpgB0R1qtFCrzI+f8LxS8AAAD//wMAUEsB&#10;Ai0AFAAGAAgAAAAhALaDOJL+AAAA4QEAABMAAAAAAAAAAAAAAAAAAAAAAFtDb250ZW50X1R5cGVz&#10;XS54bWxQSwECLQAUAAYACAAAACEAOP0h/9YAAACUAQAACwAAAAAAAAAAAAAAAAAvAQAAX3JlbHMv&#10;LnJlbHNQSwECLQAUAAYACAAAACEAKkvGcdACAAA4BgAADgAAAAAAAAAAAAAAAAAuAgAAZHJzL2Uy&#10;b0RvYy54bWxQSwECLQAUAAYACAAAACEAQ4FRQOIAAAAKAQAADwAAAAAAAAAAAAAAAAAqBQAAZHJz&#10;L2Rvd25yZXYueG1sUEsFBgAAAAAEAAQA8wAAADkGAAAAAA==&#10;" filled="f" fillcolor="white [3212]" stroked="f" strokecolor="white [3212]">
            <v:textbox style="layout-flow:vertical;mso-layout-flow-alt:bottom-to-top">
              <w:txbxContent>
                <w:p w:rsidR="002A4FBD" w:rsidRPr="00F30B34" w:rsidRDefault="002A4FBD" w:rsidP="002A4FBD">
                  <w:pPr>
                    <w:jc w:val="center"/>
                    <w:rPr>
                      <w:sz w:val="16"/>
                      <w:lang w:val="en-CA"/>
                    </w:rPr>
                  </w:pPr>
                  <w:r>
                    <w:rPr>
                      <w:sz w:val="16"/>
                      <w:lang w:val="en-CA"/>
                    </w:rPr>
                    <w:t>Absorbance</w:t>
                  </w:r>
                </w:p>
              </w:txbxContent>
            </v:textbox>
            <w10:wrap anchorx="margin" anchory="margin"/>
          </v:rect>
        </w:pict>
      </w:r>
      <w:r w:rsidRPr="00C561EF">
        <w:rPr>
          <w:noProof/>
          <w:lang w:val="en-US" w:eastAsia="en-US"/>
        </w:rPr>
        <w:pict>
          <v:rect id="_x0000_s1033" style="position:absolute;margin-left:79.55pt;margin-top:214.45pt;width:103.8pt;height:2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yzngIAAEYFAAAOAAAAZHJzL2Uyb0RvYy54bWysVF1v2yAUfZ+0/4B4T/1RJ02sOlUVJ9Ok&#10;bqvW7QdgwDYaBg9InK7af98FJ2myvUzT/IC5l8vhnnsP3N7tO4l23FihVYGTqxgjrqhmQjUF/vpl&#10;M5ljZB1RjEiteIGfucV3y7dvboc+56lutWTcIABRNh/6ArfO9XkUWdryjtgr3XMFi7U2HXFgmiZi&#10;hgyA3skojeNZNGjDeqMptxa85biIlwG/rjl1n+racodkgSE3F0YTxsqP0fKW5I0hfSvoIQ3yD1l0&#10;RCg49ARVEkfQ1og/oDpBjba6dldUd5Gua0F54ABskvg3Nk8t6XngAsWx/alM9v/B0o+7R4MEK/AM&#10;I0U6aNFnKBpRjeQoXfj6DL3NIeypfzSeoe0fNP1mkdKrFsL4vTF6aDlhkFXi46OLDd6wsBVVwwfN&#10;AJ5snQ6l2tem84BQBLQPHXk+dYTvHaLgTK6TeTqDxlFYSxezaTYNR5D8uLs31r3jukN+UmADyQd0&#10;snuwzmdD8mOIP0zpjZAydF0qNBR4MU2nYYPVUjC/GEh6/fGVNGhHQDlVk4QYue2AxOhLYv+NAgI/&#10;yGz0BxecGiTsIUIOF+idcCB6KboCz89QfBHXioXkHBFynAOUVD4nqAlQOsxGcb0s4sV6vp5nkyyd&#10;rSdZXJaT+80qm8w2yc20vC5XqzL56VNPsrwVjHHlGR6FnmR/J6TDlRslepL6BSVrmupUrk34Do06&#10;C4su0wiFAVbHf2AX1OMFMwrP7at9kGeSeTyvpkqzZ9CT0eNlhscHJq02PzAa4CIX2H7fEsMxku8V&#10;aHKRZJm/+cHIpjcpGOZ8pTpfIYoCVIEdRuN05cbXYtsb0bRw0qgEpe9Bx7UIEnvNCqh4Ay5rIHV4&#10;WPxrcG6HqNfnb/kLAAD//wMAUEsDBBQABgAIAAAAIQBfzSvb4wAAAAsBAAAPAAAAZHJzL2Rvd25y&#10;ZXYueG1sTI9BTsMwEEX3SNzBGiR21GkaqiTEqRAFVUVCgpYDuPEQh8Z2arttenuGFexmNE9/3q8W&#10;o+nZCX3onBUwnSTA0DZOdbYV8Ll9ucuBhSitkr2zKOCCARb19VUlS+XO9gNPm9gyCrGhlAJ0jEPJ&#10;eWg0GhkmbkBLty/njYy0+pYrL88UbnqeJsmcG9lZ+qDlgE8am/3maATMDuvV+uAvw/tz8Zqt9stv&#10;/bbcCnF7Mz4+AIs4xj8YfvVJHWpy2rmjVYH1AtL8PiVUQDYrMmBEZEVKZXY05PMp8Lri/zvUPwAA&#10;AP//AwBQSwECLQAUAAYACAAAACEAtoM4kv4AAADhAQAAEwAAAAAAAAAAAAAAAAAAAAAAW0NvbnRl&#10;bnRfVHlwZXNdLnhtbFBLAQItABQABgAIAAAAIQA4/SH/1gAAAJQBAAALAAAAAAAAAAAAAAAAAC8B&#10;AABfcmVscy8ucmVsc1BLAQItABQABgAIAAAAIQCOv2yzngIAAEYFAAAOAAAAAAAAAAAAAAAAAC4C&#10;AABkcnMvZTJvRG9jLnhtbFBLAQItABQABgAIAAAAIQBfzSvb4wAAAAsBAAAPAAAAAAAAAAAAAAAA&#10;APgEAABkcnMvZG93bnJldi54bWxQSwUGAAAAAAQABADzAAAACAYAAAAA&#10;" filled="f" strokecolor="white [3212]">
            <v:textbox>
              <w:txbxContent>
                <w:p w:rsidR="002A4FBD" w:rsidRPr="00CA4360" w:rsidRDefault="002A4FBD" w:rsidP="002A4FB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Number of fraction</w:t>
                  </w:r>
                </w:p>
              </w:txbxContent>
            </v:textbox>
          </v:rect>
        </w:pict>
      </w:r>
      <w:r w:rsidRPr="00C561EF">
        <w:rPr>
          <w:noProof/>
          <w:lang w:val="en-US" w:eastAsia="en-US"/>
        </w:rPr>
        <w:pict>
          <v:rect id="Rectangle 33" o:spid="_x0000_s1031" style="position:absolute;margin-left:103.6pt;margin-top:171.3pt;width:18.75pt;height:26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mIMgIAAGUEAAAOAAAAZHJzL2Uyb0RvYy54bWysVFFv0zAQfkfiP1h+p2nSlnVR02nqKEIa&#10;MDH4AY7jJBaObc5uk/Lrd3ay0sEDEiIPls93/vzdd3fZ3AydIkcBThpd0HQ2p0Robiqpm4J++7p/&#10;s6bEeaYrpowWBT0JR2+2r19tepuLzLRGVQIIgmiX97agrfc2TxLHW9ExNzNWaHTWBjrm0YQmqYD1&#10;iN6pJJvP3ya9gcqC4cI5PL0bnXQb8etacP+5rp3wRBUUufm4QlzLsCbbDcsbYLaVfKLB/oFFx6TG&#10;R89Qd8wzcgD5B1QnORhnaj/jpktMXUsuYg6YTTr/LZvHllkRc0FxnD3L5P4fLP90fAAiq4JmWCnN&#10;OqzRF1SN6UYJslgEgXrrcox7tA8QUnT23vDvjmizazFM3AKYvhWsQlppiE9eXAiGw6uk7D+aCuHZ&#10;wZuo1VBDFwBRBTLEkpzOJRGDJxwPs8U6zVaUcHQt8LtaxRdY/nzZgvPvhelI2BQUkHsEZ8d75wMZ&#10;lj+HRPJGyWovlYoGNOVOATky7I59/Ma7yrZsPI0dghhuDI147hJDadIX9HqFJP+GP8dvYv8CopMe&#10;Z0DJrqDrEDN1ZZD0na5ih3om1bhHLkpPGgdZx/L4oRymSpWmOqHaYMZex9nETWvgJyU99nlB3Y8D&#10;A0GJ+qCxYtfpchkGIxrL1VWGBlx6yksP0xyhCuopGbc7Pw7TwYJsWnwpjTJoc4tVrmWsQOiAkdXE&#10;G3s5CjnNXRiWSztG/fo7bJ8AAAD//wMAUEsDBBQABgAIAAAAIQABU3JC4QAAAAsBAAAPAAAAZHJz&#10;L2Rvd25yZXYueG1sTI/NTsMwEITvSLyDtUjcqE0DgYY4FUJClApVakDi6sabHxGvQ+y24e27nOA2&#10;o/00O5MvJ9eLA46h86TheqZAIFXedtRo+Hh/vroHEaIha3pPqOEHAyyL87PcZNYfaYuHMjaCQyhk&#10;RkMb45BJGaoWnQkzPyDxrfajM5Ht2Eg7miOHu17OlUqlMx3xh9YM+NRi9VXunYY1rjarz3rr4ptP&#10;63L9Xb2+bILWlxfT4wOIiFP8g+G3PleHgjvt/J5sEL2GeZrcMMpicccbmEiUWoDYsbhVCcgil/83&#10;FCcAAAD//wMAUEsBAi0AFAAGAAgAAAAhALaDOJL+AAAA4QEAABMAAAAAAAAAAAAAAAAAAAAAAFtD&#10;b250ZW50X1R5cGVzXS54bWxQSwECLQAUAAYACAAAACEAOP0h/9YAAACUAQAACwAAAAAAAAAAAAAA&#10;AAAvAQAAX3JlbHMvLnJlbHNQSwECLQAUAAYACAAAACEANV6JiDICAABlBAAADgAAAAAAAAAAAAAA&#10;AAAuAgAAZHJzL2Uyb0RvYy54bWxQSwECLQAUAAYACAAAACEAAVNyQuEAAAALAQAADwAAAAAAAAAA&#10;AAAAAACMBAAAZHJzL2Rvd25yZXYueG1sUEsFBgAAAAAEAAQA8wAAAJoFAAAAAA==&#10;" strokecolor="red">
            <v:fill opacity="0"/>
            <v:textbox style="mso-next-textbox:#Rectangle 33">
              <w:txbxContent>
                <w:p w:rsidR="002A4FBD" w:rsidRDefault="002A4FBD" w:rsidP="002A4FBD"/>
              </w:txbxContent>
            </v:textbox>
          </v:rect>
        </w:pict>
      </w:r>
      <w:r w:rsidRPr="00C561EF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4" o:spid="_x0000_s1026" type="#_x0000_t32" style="position:absolute;margin-left:265.95pt;margin-top:86.25pt;width:16.1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0NNwIAAF8EAAAOAAAAZHJzL2Uyb0RvYy54bWysVMuO2yAU3VfqPyD2ie3EyWSsOKORnXQz&#10;7USa6QcQwDYqBgQkTlT133shj860m6qqF/hi7uPccw9ePhx7iQ7cOqFVibNxihFXVDOh2hJ/fd2M&#10;Fhg5TxQjUite4hN3+GH18cNyMAWf6E5Lxi2CJMoVgylx570pksTRjvfEjbXhCg4bbXviYWvbhFky&#10;QPZeJpM0nSeDtsxYTblz8LU+H+JVzN80nPrnpnHcI1liwObjauO6C2uyWpKitcR0gl5gkH9A0ROh&#10;oOgtVU08QXsr/kjVC2q1040fU90numkE5bEH6CZLf+vmpSOGx16AHGduNLn/l5Z+OWwtEqzEU6BH&#10;kR5m9Lj3OpZG0zwQNBhXgF+ltja0SI/qxTxp+s0hpauOqJZH79eTgeAsRCTvQsLGGSizGz5rBj4E&#10;CkS2jo3tQ0rgAR3jUE63ofCjRxQ+TtJZls4wotejhBTXOGOd/8R1j4JRYuctEW3nK60UTF7bLFYh&#10;hyfnAypSXANCUaU3QsooAKnQAJUWs7tZjHBaChZOg5+z7a6SFh0IaGizSeGJPcLJWzer94rFbB0n&#10;bH2xPRESbOQjOd4KoEtyHMr1nGEkOVybYJ3xSRUqQuuA+GKdZfT9Pr1fL9aLfJRP5utRntb16HFT&#10;5aP5Jrub1dO6qursRwCf5UUnGOMq4L9KOsv/TjKXy3UW403UN6aS99kjpQD2+o6g4+zDuM/C2Wl2&#10;2trQXZABqDg6X25cuCZv99Hr139h9RMAAP//AwBQSwMEFAAGAAgAAAAhACAWPKreAAAACwEAAA8A&#10;AABkcnMvZG93bnJldi54bWxMj8FOwzAMhu9IvENkJG4sHdtaVppOMIQ4cdhg7Jo2pq1onKpJ1/L2&#10;GAmJHe3/0+/P2WayrThh7xtHCuazCARS6UxDlYL3t+ebOxA+aDK6dYQKvtHDJr+8yHRq3Eg7PO1D&#10;JbiEfKoV1CF0qZS+rNFqP3MdEmefrrc68NhX0vR65HLbytsoiqXVDfGFWne4rbH82g9WweGlS8Jh&#10;/ZFgeCxehyNW2yc/KnV9NT3cgwg4hX8YfvVZHXJ2KtxAxotWwWq+XDDKQbJIQDCxWsYxiOJvI/NM&#10;nv+Q/wAAAP//AwBQSwECLQAUAAYACAAAACEAtoM4kv4AAADhAQAAEwAAAAAAAAAAAAAAAAAAAAAA&#10;W0NvbnRlbnRfVHlwZXNdLnhtbFBLAQItABQABgAIAAAAIQA4/SH/1gAAAJQBAAALAAAAAAAAAAAA&#10;AAAAAC8BAABfcmVscy8ucmVsc1BLAQItABQABgAIAAAAIQCLNC0NNwIAAF8EAAAOAAAAAAAAAAAA&#10;AAAAAC4CAABkcnMvZTJvRG9jLnhtbFBLAQItABQABgAIAAAAIQAgFjyq3gAAAAsBAAAPAAAAAAAA&#10;AAAAAAAAAJEEAABkcnMvZG93bnJldi54bWxQSwUGAAAAAAQABADzAAAAnAUAAAAA&#10;" strokecolor="red" strokeweight="2.25pt">
            <v:stroke endarrow="block"/>
          </v:shape>
        </w:pict>
      </w:r>
      <w:r w:rsidRPr="00C561EF">
        <w:rPr>
          <w:noProof/>
          <w:lang w:val="en-US" w:eastAsia="en-US"/>
        </w:rPr>
        <w:pict>
          <v:shape id="AutoShape 70" o:spid="_x0000_s1029" type="#_x0000_t32" style="position:absolute;margin-left:333.15pt;margin-top:115.15pt;width:16.1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z8NwIAAF8EAAAOAAAAZHJzL2Uyb0RvYy54bWysVMlu2zAQvRfoPxC825IceYlgOQgku5e0&#10;MZD0A2iSkohSJEHSlo2i/94hvTRpL0VRHaihZnvzZkbLh2Mv0YFbJ7QqcTZOMeKKaiZUW+Kvr5vR&#10;AiPniWJEasVLfOIOP6w+flgOpuAT3WnJuEUQRLliMCXuvDdFkjja8Z64sTZcgbLRticerrZNmCUD&#10;RO9lMknTWTJoy4zVlDsHX+uzEq9i/Kbh1D83jeMeyRIDNh9PG89dOJPVkhStJaYT9AKD/AOKnggF&#10;SW+hauIJ2lvxR6heUKudbvyY6j7RTSMojzVANVn6WzUvHTE81gLkOHOjyf2/sPTLYWuRYCW+yzBS&#10;pIcePe69jqnRPBI0GFeAXaW2NpRIj+rFPGn6zSGlq46olkfr15MB5yxQmrxzCRdnIM1u+KwZ2BBI&#10;ENk6NrYPIYEHdIxNOd2awo8eUfg4SadZOsWIXlUJKa5+xjr/ieseBaHEzlsi2s5XWinovLZZzEIO&#10;T84HVKS4OoSkSm+ElHEApEIDZFpM59Po4bQULGiDnbPtrpIWHQjM0GaTwhNrBM1bM6v3isVoHSds&#10;fZE9ERJk5CM53gqgS3Ic0vWcYSQ5rE2QzvikChmhdEB8kc5j9P0+vV8v1ot8lE9m61Ge1vXocVPl&#10;o9kmm0/ru7qq6uxHAJ/lRScY4yrgv450lv/dyFyW6zyMt6G+MZW8jx4pBbDXdwQdex/aHXbQFTvN&#10;Tlsbqgs3mOJofNm4sCZv79Hq139h9RMAAP//AwBQSwMEFAAGAAgAAAAhAFlKGbndAAAACwEAAA8A&#10;AABkcnMvZG93bnJldi54bWxMj8FOhDAQhu8mvkMzJt7cAhpApGx0jfHkwdXVa6EjEOmU0LLg2zsm&#10;JnqcmS//fH+5Xe0gjjj53pGCeBOBQGqc6alV8PrycJGD8EGT0YMjVPCFHrbV6UmpC+MWesbjPrSC&#10;Q8gXWkEXwlhI6ZsOrfYbNyLx7cNNVgcep1aaSS8cbgeZRFEqre6JP3R6xF2Hzed+tgoOj2MWDtdv&#10;GYa7+ml+x3Z37xelzs/W2xsQAdfwB8OPPqtDxU61m8l4MShIr/KMUQVJchmDYCLNY25X/25kVcr/&#10;HapvAAAA//8DAFBLAQItABQABgAIAAAAIQC2gziS/gAAAOEBAAATAAAAAAAAAAAAAAAAAAAAAABb&#10;Q29udGVudF9UeXBlc10ueG1sUEsBAi0AFAAGAAgAAAAhADj9If/WAAAAlAEAAAsAAAAAAAAAAAAA&#10;AAAALwEAAF9yZWxzLy5yZWxzUEsBAi0AFAAGAAgAAAAhAJp7zPw3AgAAXwQAAA4AAAAAAAAAAAAA&#10;AAAALgIAAGRycy9lMm9Eb2MueG1sUEsBAi0AFAAGAAgAAAAhAFlKGbndAAAACwEAAA8AAAAAAAAA&#10;AAAAAAAAkQQAAGRycy9kb3ducmV2LnhtbFBLBQYAAAAABAAEAPMAAACbBQAAAAA=&#10;" strokecolor="red" strokeweight="2.25pt">
            <v:stroke endarrow="block"/>
          </v:shape>
        </w:pict>
      </w:r>
      <w:r w:rsidRPr="00C561EF">
        <w:rPr>
          <w:noProof/>
          <w:lang w:val="en-US" w:eastAsia="en-US"/>
        </w:rPr>
        <w:pict>
          <v:shape id="AutoShape 36" o:spid="_x0000_s1028" type="#_x0000_t32" style="position:absolute;margin-left:332.15pt;margin-top:60.6pt;width:16.15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JKNwIAAF8EAAAOAAAAZHJzL2Uyb0RvYy54bWysVMlu2zAQvRfoPxC825K8xREsB4Fk9ZI2&#10;BpJ+AE1SElGKJEjaslH03zuklybtpSiqAzXUbG9m3mj1cOwlOnDrhFYFzsYpRlxRzYRqC/z1tR4t&#10;MXKeKEakVrzAJ+7ww/rjh9Vgcj7RnZaMWwRBlMsHU+DOe5MniaMd74kba8MVKBtte+LhatuEWTJA&#10;9F4mkzRdJIO2zFhNuXPwtTor8TrGbxpO/XPTOO6RLDBg8/G08dyFM1mvSN5aYjpBLzDIP6DoiVCQ&#10;9BaqIp6gvRV/hOoFtdrpxo+p7hPdNILyWANUk6W/VfPSEcNjLdAcZ25tcv8vLP1y2FokWIGnE4wU&#10;6WFGj3uvY2o0XYQGDcblYFeqrQ0l0qN6MU+afnNI6bIjquXR+vVkwDkLHsk7l3BxBtLshs+agQ2B&#10;BLFbx8b2IST0AR3jUE63ofCjRxQ+TtJ5ls4xoldVQvKrn7HOf+K6R0EosPOWiLbzpVYKJq9tFrOQ&#10;w5PzARXJrw4hqdK1kDISQCo0QKbl/G4ePZyWggVtsHO23ZXSogMBDtV1Ck+sETRvzazeKxajdZyw&#10;zUX2REiQkY/N8VZAuyTHIV3PGUaSw9oE6YxPqpARSgfEF+lMo+/36f1muVnORrPJYjOapVU1eqzL&#10;2WhRZ3fzalqVZZX9COCzWd4JxrgK+K+UzmZ/R5nLcp3JeCP1rVPJ++ixpQD2+o6g4+zDuM/E2Wl2&#10;2tpQXaABsDgaXzYurMnbe7T69V9Y/wQAAP//AwBQSwMEFAAGAAgAAAAhAF8dk9DeAAAACwEAAA8A&#10;AABkcnMvZG93bnJldi54bWxMj0FPwzAMhe9I+w+RJ3Fj6dDUsq7ptA0hThwYjF3TxrQVjVM16Vr+&#10;PUZCGjfb7+n5e9l2sq24YO8bRwqWiwgEUulMQ5WC97enuwcQPmgyunWECr7Rwzaf3WQ6NW6kV7wc&#10;QyU4hHyqFdQhdKmUvqzRar9wHRJrn663OvDaV9L0euRw28r7KIql1Q3xh1p3eKix/DoOVsHpuUvC&#10;af2RYNgXL8MZq8OjH5W6nU+7DYiAU7ia4Ref0SFnpsINZLxoFcSrOGErC8sVl2JHnKx5KP4uMs/k&#10;/w75DwAAAP//AwBQSwECLQAUAAYACAAAACEAtoM4kv4AAADhAQAAEwAAAAAAAAAAAAAAAAAAAAAA&#10;W0NvbnRlbnRfVHlwZXNdLnhtbFBLAQItABQABgAIAAAAIQA4/SH/1gAAAJQBAAALAAAAAAAAAAAA&#10;AAAAAC8BAABfcmVscy8ucmVsc1BLAQItABQABgAIAAAAIQB6cNJKNwIAAF8EAAAOAAAAAAAAAAAA&#10;AAAAAC4CAABkcnMvZTJvRG9jLnhtbFBLAQItABQABgAIAAAAIQBfHZPQ3gAAAAsBAAAPAAAAAAAA&#10;AAAAAAAAAJEEAABkcnMvZG93bnJldi54bWxQSwUGAAAAAAQABADzAAAAnAUAAAAA&#10;" strokecolor="red" strokeweight="2.25pt">
            <v:stroke endarrow="block"/>
          </v:shape>
        </w:pict>
      </w:r>
      <w:r w:rsidRPr="00C561EF">
        <w:rPr>
          <w:noProof/>
          <w:lang w:val="en-US" w:eastAsia="en-US"/>
        </w:rPr>
        <w:pict>
          <v:shape id="AutoShape 35" o:spid="_x0000_s1027" type="#_x0000_t32" style="position:absolute;margin-left:316pt;margin-top:143.6pt;width:16.1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BpOA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ZIGR&#10;Ij3M6HHvdUyN7qahQYNxBdhVamtDifSoXsyTpt8cUrrqiGp5tH49GXDOgkfyziVcnIE0u+GzZmBD&#10;IEHs1rGxfQgJfUDHOJTTbSj86BGFj5N0mqVTjOhVlZDi6mes85+47lEQSuy8JaLtfKWVgslrm8Us&#10;5PDkfEBFiqtDSKr0RkgZCSAVGiDTfHo/jR5OS8GCNtg52+4qadGBAIc2mxSeWCNo3ppZvVcsRus4&#10;YeuL7ImQICMfm+OtgHZJjkO6njOMJIe1CdIZn1QhI5QOiC/SmUbfF+liPV/P81E+ma1HeVrXo8dN&#10;lY9mm+x+Wt/VVVVnPwL4LC86wRhXAf+V0ln+d5S5LNeZjDdS3zqVvI8eWwpgr+8IOs4+jPtMnJ1m&#10;p60N1QUaAIuj8WXjwpq8vUerX/+F1U8AAAD//wMAUEsDBBQABgAIAAAAIQDIP7y+3gAAAAsBAAAP&#10;AAAAZHJzL2Rvd25yZXYueG1sTI/BToNAEIbvJn2HzTTxZpc2BCqyNG2N8eTBavW6sCMQ2VnCLgXf&#10;3jEx0ePMfPnn+/PdbDtxwcG3jhSsVxEIpMqZlmoFry8PN1sQPmgyunOECr7Qw65YXOU6M26iZ7yc&#10;Qi04hHymFTQh9JmUvmrQar9yPRLfPtxgdeBxqKUZ9MThtpObKEqk1S3xh0b3eGyw+jyNVsH5sU/D&#10;+fYtxXAon8Z3rI/3flLqejnv70AEnMMfDD/6rA4FO5VuJONFpyBZxzGjCjbbiEsxkcRJCqL83cgi&#10;l/87FN8AAAD//wMAUEsBAi0AFAAGAAgAAAAhALaDOJL+AAAA4QEAABMAAAAAAAAAAAAAAAAAAAAA&#10;AFtDb250ZW50X1R5cGVzXS54bWxQSwECLQAUAAYACAAAACEAOP0h/9YAAACUAQAACwAAAAAAAAAA&#10;AAAAAAAvAQAAX3JlbHMvLnJlbHNQSwECLQAUAAYACAAAACEAczSwaTgCAABfBAAADgAAAAAAAAAA&#10;AAAAAAAuAgAAZHJzL2Uyb0RvYy54bWxQSwECLQAUAAYACAAAACEAyD+8vt4AAAALAQAADwAAAAAA&#10;AAAAAAAAAACSBAAAZHJzL2Rvd25yZXYueG1sUEsFBgAAAAAEAAQA8wAAAJ0FAAAAAA==&#10;" strokecolor="red" strokeweight="2.25pt">
            <v:stroke endarrow="block"/>
          </v:shape>
        </w:pict>
      </w:r>
      <w:r w:rsidRPr="00C561EF">
        <w:rPr>
          <w:noProof/>
          <w:lang w:val="en-US" w:eastAsia="en-US"/>
        </w:rPr>
        <w:pict>
          <v:shape id="AutoShape 71" o:spid="_x0000_s1030" type="#_x0000_t32" style="position:absolute;margin-left:332.95pt;margin-top:50.9pt;width:16.15pt;height:0;z-index:2516643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eZNwIAAF8EAAAOAAAAZHJzL2Uyb0RvYy54bWysVE2P2yAQvVfqf0DcE9uJk81acVYrO+ll&#10;20ba7Q8ggG1UDAhInKjqf+9APtq0l6qqD3gwM29m3jy8fDr2Eh24dUKrEmfjFCOuqGZCtSX+8rYZ&#10;LTBynihGpFa8xCfu8NPq/bvlYAo+0Z2WjFsEIMoVgylx570pksTRjvfEjbXhCg4bbXviYWvbhFky&#10;AHovk0mazpNBW2asptw5+FqfD/Eq4jcNp/5z0zjukSwx1ObjauO6C2uyWpKitcR0gl7KIP9QRU+E&#10;gqQ3qJp4gvZW/AHVC2q1040fU90numkE5bEH6CZLf+vmtSOGx16AHGduNLn/B0s/HbYWCVbi6RQj&#10;RXqY0fPe65gaPWSBoMG4AvwqtbWhRXpUr+ZF068OKV11RLU8er+dDATHiOQuJGycgTS74aNm4EMg&#10;QWTr2Ng+QAIP6BiHcroNhR89ovBxks6ydIYRvR4lpLjGGev8B657FIwSO2+JaDtfaaVg8tpmMQs5&#10;vDgPfUDgNSAkVXojpIwCkAoNkGkxe5jFCKelYOE0+Dnb7ipp0YGAhjabFJ7ACqDduVm9VyyidZyw&#10;9cX2REiwkY/keCuALslxSNdzhpHkcG2CdUaUKmSE1qHii3WW0bfH9HG9WC/yUT6Zr0d5Wtej502V&#10;j+ab7GFWT+uqqrPvofgsLzrBGFeh/quks/zvJHO5XGcx3kR9Yyq5R48kQLHXdyw6zj6M+yycnWan&#10;rQ3dBRmAiqPz5caFa/LrPnr9/C+sfgAAAP//AwBQSwMEFAAGAAgAAAAhAJADWo7dAAAACQEAAA8A&#10;AABkcnMvZG93bnJldi54bWxMj01Pg0AQhu8m/Q+baeLNLmpDKWVptMZ48mBr7XVhRyCys4RdCv57&#10;x3iwt/l48s4z2XayrThj7xtHCm4XEQik0pmGKgXvh+ebBIQPmoxuHaGCb/SwzWdXmU6NG+kNz/tQ&#10;CQ4hn2oFdQhdKqUva7TaL1yHxLtP11sduO0raXo9crht5V0UxdLqhvhCrTvc1Vh+7Qer4PjSrcJx&#10;/bHC8Fi8Diesdk9+VOp6Pj1sQAScwj8Mv/qsDjk7FW4g40WrIF4m94wqWC9jEAzEScRF8TeQeSYv&#10;P8h/AAAA//8DAFBLAQItABQABgAIAAAAIQC2gziS/gAAAOEBAAATAAAAAAAAAAAAAAAAAAAAAABb&#10;Q29udGVudF9UeXBlc10ueG1sUEsBAi0AFAAGAAgAAAAhADj9If/WAAAAlAEAAAsAAAAAAAAAAAAA&#10;AAAALwEAAF9yZWxzLy5yZWxzUEsBAi0AFAAGAAgAAAAhAIreF5k3AgAAXwQAAA4AAAAAAAAAAAAA&#10;AAAALgIAAGRycy9lMm9Eb2MueG1sUEsBAi0AFAAGAAgAAAAhAJADWo7dAAAACQEAAA8AAAAAAAAA&#10;AAAAAAAAkQQAAGRycy9kb3ducmV2LnhtbFBLBQYAAAAABAAEAPMAAACbBQAAAAA=&#10;" strokecolor="red" strokeweight="2.25pt">
            <v:stroke endarrow="block"/>
          </v:shape>
        </w:pict>
      </w:r>
      <w:r w:rsidRPr="000F4118">
        <w:rPr>
          <w:noProof/>
          <w:lang w:val="de-DE" w:eastAsia="de-DE"/>
        </w:rPr>
        <w:drawing>
          <wp:inline distT="0" distB="0" distL="0" distR="0">
            <wp:extent cx="2755681" cy="2361446"/>
            <wp:effectExtent l="19050" t="0" r="6569" b="0"/>
            <wp:docPr id="9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/>
                  </pic:nvPicPr>
                  <pic:blipFill>
                    <a:blip r:embed="rId6" cstate="print"/>
                    <a:srcRect t="6360" r="3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94" cy="236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694">
        <w:rPr>
          <w:noProof/>
          <w:lang w:val="de-DE" w:eastAsia="de-DE"/>
        </w:rPr>
        <w:drawing>
          <wp:inline distT="0" distB="0" distL="0" distR="0">
            <wp:extent cx="2839159" cy="279049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59" cy="279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FBD" w:rsidRDefault="002A4FBD" w:rsidP="002A4FBD">
      <w:pPr>
        <w:rPr>
          <w:noProof/>
        </w:rPr>
      </w:pPr>
      <w:r w:rsidRPr="00484694">
        <w:rPr>
          <w:noProof/>
        </w:rPr>
        <w:t xml:space="preserve"> </w:t>
      </w:r>
      <w:r>
        <w:rPr>
          <w:noProof/>
        </w:rPr>
        <w:t xml:space="preserve">                                  </w:t>
      </w:r>
    </w:p>
    <w:p w:rsidR="00333F6F" w:rsidRDefault="00333F6F" w:rsidP="00333F6F">
      <w:pPr>
        <w:spacing w:line="48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Supplementary F</w:t>
      </w:r>
      <w:r w:rsidRPr="00816A44">
        <w:rPr>
          <w:b/>
          <w:bCs/>
          <w:sz w:val="24"/>
        </w:rPr>
        <w:t>igure 2: Purification of the protein fragment corresponding to the extracellular region of CUZD1 from supernatant of Expi293F cells by AIEX-FPLC.</w:t>
      </w:r>
    </w:p>
    <w:p w:rsidR="002A4FBD" w:rsidRPr="00630737" w:rsidRDefault="00333F6F" w:rsidP="00333F6F">
      <w:pPr>
        <w:spacing w:line="480" w:lineRule="auto"/>
        <w:jc w:val="both"/>
        <w:rPr>
          <w:lang w:val="en-US"/>
        </w:rPr>
      </w:pPr>
      <w:r w:rsidRPr="00816A44">
        <w:rPr>
          <w:bCs/>
          <w:sz w:val="24"/>
        </w:rPr>
        <w:t>(</w:t>
      </w:r>
      <w:r w:rsidRPr="00816A44">
        <w:rPr>
          <w:sz w:val="24"/>
        </w:rPr>
        <w:t xml:space="preserve">A) Elution chromatogram of the proteins present in the supernatant of the transfected cells. The recombinant protein was eluted in 200 mM NaCl fractions (peak inside the red box). </w:t>
      </w:r>
      <w:r>
        <w:rPr>
          <w:sz w:val="24"/>
        </w:rPr>
        <w:t>(</w:t>
      </w:r>
      <w:r w:rsidRPr="00816A44">
        <w:rPr>
          <w:sz w:val="24"/>
        </w:rPr>
        <w:t>B) Eluted CUZD1 was monitored by Western Blot of the FPLC fractions. Bands pointed by red arrow were confirmed as CUZD1 protein by LC-MS/MS. For more discussion, see text.</w:t>
      </w:r>
      <w:r w:rsidRPr="00630737">
        <w:rPr>
          <w:lang w:val="en-US"/>
        </w:rPr>
        <w:t xml:space="preserve"> </w:t>
      </w:r>
    </w:p>
    <w:sectPr w:rsidR="002A4FBD" w:rsidRPr="00630737" w:rsidSect="00191A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savePreviewPicture/>
  <w:compat/>
  <w:rsids>
    <w:rsidRoot w:val="001668E6"/>
    <w:rsid w:val="000070A7"/>
    <w:rsid w:val="000219BE"/>
    <w:rsid w:val="0004154D"/>
    <w:rsid w:val="000B4D4D"/>
    <w:rsid w:val="001668E6"/>
    <w:rsid w:val="00191AA0"/>
    <w:rsid w:val="0021157D"/>
    <w:rsid w:val="00223AFD"/>
    <w:rsid w:val="00224D95"/>
    <w:rsid w:val="00260A7B"/>
    <w:rsid w:val="002A4FBD"/>
    <w:rsid w:val="003138F0"/>
    <w:rsid w:val="00333F6F"/>
    <w:rsid w:val="0037292A"/>
    <w:rsid w:val="003741A7"/>
    <w:rsid w:val="003A59AE"/>
    <w:rsid w:val="003C572B"/>
    <w:rsid w:val="00492D8C"/>
    <w:rsid w:val="004B5DB0"/>
    <w:rsid w:val="004E13E9"/>
    <w:rsid w:val="0055741B"/>
    <w:rsid w:val="00612B9F"/>
    <w:rsid w:val="00625CF4"/>
    <w:rsid w:val="00630737"/>
    <w:rsid w:val="007273AA"/>
    <w:rsid w:val="008575E0"/>
    <w:rsid w:val="0089556C"/>
    <w:rsid w:val="008E371A"/>
    <w:rsid w:val="008F25F3"/>
    <w:rsid w:val="00921AD9"/>
    <w:rsid w:val="009A1663"/>
    <w:rsid w:val="009D1F4F"/>
    <w:rsid w:val="00A31192"/>
    <w:rsid w:val="00A52392"/>
    <w:rsid w:val="00A930C4"/>
    <w:rsid w:val="00B23243"/>
    <w:rsid w:val="00B6713E"/>
    <w:rsid w:val="00B80752"/>
    <w:rsid w:val="00B859D2"/>
    <w:rsid w:val="00BC69F1"/>
    <w:rsid w:val="00C13B19"/>
    <w:rsid w:val="00D1688C"/>
    <w:rsid w:val="00D323FF"/>
    <w:rsid w:val="00D640EC"/>
    <w:rsid w:val="00DD3900"/>
    <w:rsid w:val="00DE1B52"/>
    <w:rsid w:val="00DF7648"/>
    <w:rsid w:val="00EE6D45"/>
    <w:rsid w:val="00F7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0"/>
        <o:r id="V:Rule2" type="connector" idref="#AutoShape 35"/>
        <o:r id="V:Rule3" type="connector" idref="#AutoShape 34"/>
        <o:r id="V:Rule4" type="connector" idref="#AutoShape 71"/>
        <o:r id="V:Rule5" type="connector" idref="#AutoShape 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1AA0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8E6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85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A0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C96C-EE95-49F2-A6D5-024CAC86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heja</cp:lastModifiedBy>
  <cp:revision>3</cp:revision>
  <dcterms:created xsi:type="dcterms:W3CDTF">2017-02-22T09:00:00Z</dcterms:created>
  <dcterms:modified xsi:type="dcterms:W3CDTF">2017-02-22T09:06:00Z</dcterms:modified>
</cp:coreProperties>
</file>