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E67" w:rsidRPr="008C2E67" w:rsidRDefault="008C2E67" w:rsidP="008C2E67">
      <w:pPr>
        <w:rPr>
          <w:rFonts w:ascii="Arial" w:hAnsi="Arial" w:cs="Arial"/>
          <w:b/>
          <w:bCs/>
          <w:sz w:val="24"/>
          <w:szCs w:val="24"/>
        </w:rPr>
      </w:pPr>
      <w:r w:rsidRPr="008C2E67">
        <w:rPr>
          <w:rFonts w:ascii="Arial" w:hAnsi="Arial" w:cs="Arial"/>
          <w:b/>
          <w:bCs/>
          <w:sz w:val="24"/>
          <w:szCs w:val="24"/>
        </w:rPr>
        <w:t>Rapid screening for targeted genetic variants via high-resolution melting curve analysis</w:t>
      </w:r>
    </w:p>
    <w:p w:rsidR="001E1411" w:rsidRPr="008C2E67" w:rsidRDefault="001E1411" w:rsidP="001E1411">
      <w:pPr>
        <w:rPr>
          <w:rFonts w:ascii="Arial" w:hAnsi="Arial" w:cs="Arial"/>
          <w:bCs/>
        </w:rPr>
      </w:pPr>
    </w:p>
    <w:p w:rsidR="001E1411" w:rsidRPr="008C2E67" w:rsidRDefault="001E1411" w:rsidP="001E1411">
      <w:pPr>
        <w:rPr>
          <w:rFonts w:ascii="Arial" w:hAnsi="Arial" w:cs="Arial"/>
          <w:bCs/>
        </w:rPr>
      </w:pPr>
      <w:r w:rsidRPr="008C2E67">
        <w:rPr>
          <w:rFonts w:ascii="Arial" w:hAnsi="Arial" w:cs="Arial"/>
          <w:bCs/>
        </w:rPr>
        <w:t>Allison B. Chambliss</w:t>
      </w:r>
      <w:r w:rsidRPr="008C2E67">
        <w:rPr>
          <w:rFonts w:ascii="Arial" w:hAnsi="Arial" w:cs="Arial"/>
          <w:bCs/>
          <w:vertAlign w:val="superscript"/>
        </w:rPr>
        <w:t>1</w:t>
      </w:r>
      <w:r w:rsidRPr="008C2E67">
        <w:rPr>
          <w:rFonts w:ascii="Arial" w:hAnsi="Arial" w:cs="Arial"/>
          <w:bCs/>
        </w:rPr>
        <w:t>, Molly Resnick</w:t>
      </w:r>
      <w:r w:rsidRPr="008C2E67">
        <w:rPr>
          <w:rFonts w:ascii="Arial" w:hAnsi="Arial" w:cs="Arial"/>
          <w:bCs/>
          <w:vertAlign w:val="superscript"/>
        </w:rPr>
        <w:t>1</w:t>
      </w:r>
      <w:r w:rsidRPr="008C2E67">
        <w:rPr>
          <w:rFonts w:ascii="Arial" w:hAnsi="Arial" w:cs="Arial"/>
          <w:bCs/>
        </w:rPr>
        <w:t>, Athena K. Petrides</w:t>
      </w:r>
      <w:r w:rsidRPr="008C2E67">
        <w:rPr>
          <w:rFonts w:ascii="Arial" w:hAnsi="Arial" w:cs="Arial"/>
          <w:bCs/>
          <w:vertAlign w:val="superscript"/>
        </w:rPr>
        <w:t>1</w:t>
      </w:r>
      <w:r w:rsidRPr="008C2E67">
        <w:rPr>
          <w:rFonts w:ascii="Arial" w:hAnsi="Arial" w:cs="Arial"/>
          <w:bCs/>
        </w:rPr>
        <w:t>, William A. Clarke</w:t>
      </w:r>
      <w:r w:rsidRPr="008C2E67">
        <w:rPr>
          <w:rFonts w:ascii="Arial" w:hAnsi="Arial" w:cs="Arial"/>
          <w:bCs/>
          <w:vertAlign w:val="superscript"/>
        </w:rPr>
        <w:t>1</w:t>
      </w:r>
      <w:r w:rsidRPr="008C2E67">
        <w:rPr>
          <w:rFonts w:ascii="Arial" w:hAnsi="Arial" w:cs="Arial"/>
          <w:bCs/>
        </w:rPr>
        <w:t>, and Mark A. Marzinke</w:t>
      </w:r>
      <w:r w:rsidRPr="008C2E67">
        <w:rPr>
          <w:rFonts w:ascii="Arial" w:hAnsi="Arial" w:cs="Arial"/>
          <w:bCs/>
          <w:vertAlign w:val="superscript"/>
        </w:rPr>
        <w:t>1,2*</w:t>
      </w:r>
    </w:p>
    <w:p w:rsidR="001E1411" w:rsidRPr="008C2E67" w:rsidRDefault="001E1411" w:rsidP="001E1411">
      <w:pPr>
        <w:jc w:val="center"/>
        <w:rPr>
          <w:rFonts w:ascii="Arial" w:hAnsi="Arial" w:cs="Arial"/>
          <w:bCs/>
        </w:rPr>
      </w:pPr>
    </w:p>
    <w:p w:rsidR="001E1411" w:rsidRPr="008C2E67" w:rsidRDefault="001E1411" w:rsidP="001E1411">
      <w:pPr>
        <w:rPr>
          <w:rFonts w:ascii="Arial" w:hAnsi="Arial" w:cs="Arial"/>
          <w:bCs/>
        </w:rPr>
      </w:pPr>
      <w:r w:rsidRPr="008C2E67">
        <w:rPr>
          <w:rFonts w:ascii="Arial" w:hAnsi="Arial" w:cs="Arial"/>
          <w:bCs/>
          <w:vertAlign w:val="superscript"/>
        </w:rPr>
        <w:t>1</w:t>
      </w:r>
      <w:r w:rsidRPr="008C2E67">
        <w:rPr>
          <w:rFonts w:ascii="Arial" w:hAnsi="Arial" w:cs="Arial"/>
          <w:bCs/>
        </w:rPr>
        <w:t>Department of Pathology, Johns Hopkins University School of Medicine, Baltimore, MD, USA</w:t>
      </w:r>
    </w:p>
    <w:p w:rsidR="001E1411" w:rsidRPr="008C2E67" w:rsidRDefault="001E1411" w:rsidP="001E1411">
      <w:pPr>
        <w:rPr>
          <w:rFonts w:ascii="Arial" w:hAnsi="Arial" w:cs="Arial"/>
          <w:bCs/>
        </w:rPr>
      </w:pPr>
      <w:r w:rsidRPr="008C2E67">
        <w:rPr>
          <w:rFonts w:ascii="Arial" w:hAnsi="Arial" w:cs="Arial"/>
          <w:bCs/>
          <w:vertAlign w:val="superscript"/>
        </w:rPr>
        <w:t>2</w:t>
      </w:r>
      <w:r w:rsidRPr="008C2E67">
        <w:rPr>
          <w:rFonts w:ascii="Arial" w:hAnsi="Arial" w:cs="Arial"/>
          <w:bCs/>
        </w:rPr>
        <w:t>Department of Medicine, Johns Hopkins University School of Medicine, Baltimore, MD, USA</w:t>
      </w:r>
    </w:p>
    <w:p w:rsidR="001E1411" w:rsidRPr="008C2E67" w:rsidRDefault="001E1411"/>
    <w:p w:rsidR="0007432B" w:rsidRPr="008C2E67" w:rsidRDefault="0007432B">
      <w:pPr>
        <w:rPr>
          <w:rFonts w:ascii="Arial" w:hAnsi="Arial" w:cs="Arial"/>
          <w:b/>
        </w:rPr>
      </w:pPr>
      <w:r w:rsidRPr="008C2E67">
        <w:rPr>
          <w:rFonts w:ascii="Arial" w:hAnsi="Arial" w:cs="Arial"/>
          <w:b/>
        </w:rPr>
        <w:t>Supplemental Information</w:t>
      </w:r>
      <w:r w:rsidR="008C2E67" w:rsidRPr="008C2E67">
        <w:rPr>
          <w:rFonts w:ascii="Arial" w:hAnsi="Arial" w:cs="Arial"/>
          <w:b/>
        </w:rPr>
        <w:t xml:space="preserve">: DOI </w:t>
      </w:r>
      <w:hyperlink r:id="rId6" w:history="1">
        <w:r w:rsidR="008C2E67" w:rsidRPr="008C2E67">
          <w:rPr>
            <w:rStyle w:val="Hyperlink"/>
            <w:rFonts w:ascii="Arial" w:hAnsi="Arial" w:cs="Arial"/>
            <w:b/>
            <w:color w:val="auto"/>
            <w:u w:val="none"/>
          </w:rPr>
          <w:t>10.1515/labmed-2015-0603</w:t>
        </w:r>
      </w:hyperlink>
    </w:p>
    <w:p w:rsidR="001E1411" w:rsidRPr="008C2E67" w:rsidRDefault="001E1411">
      <w:pPr>
        <w:rPr>
          <w:rFonts w:ascii="Arial" w:hAnsi="Arial" w:cs="Arial"/>
          <w:b/>
        </w:rPr>
      </w:pPr>
    </w:p>
    <w:p w:rsidR="0007432B" w:rsidRPr="008C2E67" w:rsidRDefault="0007432B">
      <w:pPr>
        <w:rPr>
          <w:rFonts w:ascii="Arial" w:hAnsi="Arial" w:cs="Arial"/>
          <w:b/>
        </w:rPr>
      </w:pPr>
      <w:r w:rsidRPr="008C2E67">
        <w:rPr>
          <w:rFonts w:ascii="Arial" w:hAnsi="Arial" w:cs="Arial"/>
          <w:b/>
        </w:rPr>
        <w:br w:type="page"/>
      </w:r>
    </w:p>
    <w:p w:rsidR="001E1411" w:rsidRPr="008C2E67" w:rsidRDefault="001E1411">
      <w:pPr>
        <w:rPr>
          <w:rFonts w:ascii="Arial" w:hAnsi="Arial" w:cs="Arial"/>
          <w:b/>
        </w:rPr>
      </w:pPr>
      <w:r w:rsidRPr="008C2E67">
        <w:rPr>
          <w:rFonts w:ascii="Arial" w:hAnsi="Arial" w:cs="Arial"/>
          <w:b/>
        </w:rPr>
        <w:lastRenderedPageBreak/>
        <w:t>Supplemental Tables</w:t>
      </w:r>
    </w:p>
    <w:p w:rsidR="001E1411" w:rsidRPr="008C2E67" w:rsidRDefault="001E1411"/>
    <w:p w:rsidR="000D7C9A" w:rsidRPr="008C2E67" w:rsidRDefault="00BA3565">
      <w:pPr>
        <w:rPr>
          <w:rFonts w:ascii="Arial" w:hAnsi="Arial" w:cs="Arial"/>
          <w:b/>
          <w:sz w:val="24"/>
          <w:szCs w:val="24"/>
        </w:rPr>
      </w:pPr>
      <w:r w:rsidRPr="008C2E67">
        <w:rPr>
          <w:rFonts w:ascii="Arial" w:hAnsi="Arial" w:cs="Arial"/>
          <w:b/>
        </w:rPr>
        <w:t>Supplemental</w:t>
      </w:r>
      <w:r w:rsidR="00935E48" w:rsidRPr="008C2E67">
        <w:rPr>
          <w:rFonts w:ascii="Arial" w:hAnsi="Arial" w:cs="Arial"/>
          <w:b/>
        </w:rPr>
        <w:t xml:space="preserve"> Table </w:t>
      </w:r>
      <w:r w:rsidR="000C4A0F" w:rsidRPr="008C2E67">
        <w:rPr>
          <w:rFonts w:ascii="Arial" w:hAnsi="Arial" w:cs="Arial"/>
          <w:b/>
        </w:rPr>
        <w:t>1</w:t>
      </w:r>
      <w:r w:rsidR="00935E48" w:rsidRPr="008C2E67">
        <w:rPr>
          <w:rFonts w:ascii="Arial" w:hAnsi="Arial" w:cs="Arial"/>
          <w:b/>
        </w:rPr>
        <w:t>. Primer s</w:t>
      </w:r>
      <w:r w:rsidR="0009403F" w:rsidRPr="008C2E67">
        <w:rPr>
          <w:rFonts w:ascii="Arial" w:hAnsi="Arial" w:cs="Arial"/>
          <w:b/>
        </w:rPr>
        <w:t>equences</w:t>
      </w:r>
      <w:r w:rsidR="00935E48" w:rsidRPr="008C2E67">
        <w:rPr>
          <w:rFonts w:ascii="Arial" w:hAnsi="Arial" w:cs="Arial"/>
          <w:b/>
        </w:rPr>
        <w:t xml:space="preserve"> for CYP450 SNP </w:t>
      </w:r>
      <w:r w:rsidR="003F7105" w:rsidRPr="008C2E67">
        <w:rPr>
          <w:rFonts w:ascii="Arial" w:hAnsi="Arial" w:cs="Arial"/>
          <w:b/>
        </w:rPr>
        <w:t>geno</w:t>
      </w:r>
      <w:r w:rsidR="001E2E44" w:rsidRPr="008C2E67">
        <w:rPr>
          <w:rFonts w:ascii="Arial" w:hAnsi="Arial" w:cs="Arial"/>
          <w:b/>
        </w:rPr>
        <w:t>typing</w:t>
      </w:r>
      <w:r w:rsidR="008C2E67" w:rsidRPr="008C2E67">
        <w:rPr>
          <w:rFonts w:ascii="Arial" w:hAnsi="Arial" w:cs="Arial"/>
          <w:b/>
        </w:rPr>
        <w:t>.</w:t>
      </w:r>
    </w:p>
    <w:tbl>
      <w:tblPr>
        <w:tblW w:w="10075" w:type="dxa"/>
        <w:tblInd w:w="-5" w:type="dxa"/>
        <w:tblLook w:val="04A0"/>
      </w:tblPr>
      <w:tblGrid>
        <w:gridCol w:w="3240"/>
        <w:gridCol w:w="4590"/>
        <w:gridCol w:w="2245"/>
      </w:tblGrid>
      <w:tr w:rsidR="008B63F4" w:rsidRPr="008C2E67" w:rsidTr="00E04D59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D59" w:rsidRPr="008C2E67" w:rsidRDefault="00E04D59" w:rsidP="00E04D5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Primer SNP target and orientation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D59" w:rsidRPr="008C2E67" w:rsidRDefault="00E04D59" w:rsidP="00E04D5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Primer sequence (5’-3’)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D59" w:rsidRPr="008C2E67" w:rsidRDefault="00E04D59" w:rsidP="00E04D59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PCR product size (bp)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5A20F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CYP2C9*2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caps/>
                <w:sz w:val="20"/>
                <w:szCs w:val="20"/>
              </w:rPr>
              <w:t>agaaatggaaggagatccggcgttt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  <w:p w:rsidR="00E04D59" w:rsidRPr="008C2E67" w:rsidRDefault="008B63F4" w:rsidP="0063350A">
            <w:pPr>
              <w:jc w:val="center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caps/>
                <w:sz w:val="20"/>
                <w:szCs w:val="20"/>
              </w:rPr>
              <w:t>150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CYP2C9*2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ATATGGAGTAGGGTCACCCACCCTT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CYP2C9*3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caps/>
                <w:sz w:val="20"/>
                <w:szCs w:val="20"/>
              </w:rPr>
              <w:t>tgcaagacaggagccacatgc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Style w:val="ffline"/>
                <w:rFonts w:ascii="Arial" w:hAnsi="Arial" w:cs="Arial"/>
                <w:caps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Style w:val="ffline"/>
                <w:rFonts w:ascii="Arial" w:hAnsi="Arial" w:cs="Arial"/>
                <w:caps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caps/>
                <w:sz w:val="20"/>
                <w:szCs w:val="20"/>
              </w:rPr>
              <w:t>176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CYP2C9*3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CTTCGAAAACATGGAGTTGCAGTGTAGGA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5A20F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ACAACCAGAGCTTGGCATATTG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208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GTTGATGTCCATCGATTCTTGGTG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sz w:val="20"/>
                <w:szCs w:val="20"/>
              </w:rPr>
              <w:t>CTCCATTATTTTCCAGAAACGTTTCG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Style w:val="ffline"/>
                <w:rFonts w:ascii="Arial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Style w:val="ffline"/>
                <w:rFonts w:ascii="Arial" w:hAnsi="Arial" w:cs="Arial"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CCCAGAAAAAAAGACTGTAAGTGG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CYP2C19*17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sz w:val="20"/>
                <w:szCs w:val="20"/>
              </w:rPr>
              <w:t>CTGTTTTATGAACAGGATGAATGTGGTA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Style w:val="ffline"/>
                <w:rFonts w:ascii="Arial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Style w:val="ffline"/>
                <w:rFonts w:ascii="Arial" w:hAnsi="Arial" w:cs="Arial"/>
                <w:sz w:val="20"/>
                <w:szCs w:val="20"/>
              </w:rPr>
            </w:pPr>
            <w:r w:rsidRPr="008C2E67">
              <w:rPr>
                <w:rStyle w:val="ffline"/>
                <w:rFonts w:ascii="Arial" w:hAnsi="Arial" w:cs="Arial"/>
                <w:sz w:val="20"/>
                <w:szCs w:val="20"/>
              </w:rPr>
              <w:t>159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CYP2C19*17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CGTGGCGCATTATCTCTTACAT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AGCTCCATTTCC CTGGAGACTTG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CYP3A5*2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GCAAGAAAGATGTTGAAATCAATGGGGT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GTTGTACGACACACAGCAACCT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201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CYP3A5*3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TACCACCCAGCTTAACGAATGC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CYP3A5*6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ACAATGGAATTGTACCTTTTAAGTGGATGA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193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CYP3A5*6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CTCTCAACAATCCACAAGACCCCT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CYP3A5*7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-F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CCACCATTGACCCTTTGGGAATGAATAC</w:t>
            </w:r>
          </w:p>
        </w:tc>
        <w:tc>
          <w:tcPr>
            <w:tcW w:w="224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B63F4" w:rsidRPr="008C2E67" w:rsidRDefault="008B63F4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193</w:t>
            </w:r>
          </w:p>
        </w:tc>
      </w:tr>
      <w:tr w:rsidR="00E04D59" w:rsidRPr="008C2E67" w:rsidTr="0063350A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i/>
                <w:sz w:val="20"/>
                <w:szCs w:val="20"/>
              </w:rPr>
              <w:t>CYP3A5*7</w:t>
            </w: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-R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C2E67">
              <w:rPr>
                <w:rFonts w:ascii="Arial" w:eastAsia="Times New Roman" w:hAnsi="Arial" w:cs="Arial"/>
                <w:sz w:val="20"/>
                <w:szCs w:val="20"/>
              </w:rPr>
              <w:t>ATCTCAGATTATCCAATTCTGTTTCTTTCC</w:t>
            </w:r>
          </w:p>
        </w:tc>
        <w:tc>
          <w:tcPr>
            <w:tcW w:w="22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4D59" w:rsidRPr="008C2E67" w:rsidRDefault="00E04D59" w:rsidP="0063350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227A82" w:rsidRPr="008C2E67" w:rsidRDefault="00227A82">
      <w:pPr>
        <w:rPr>
          <w:rFonts w:ascii="Arial" w:hAnsi="Arial" w:cs="Arial"/>
          <w:sz w:val="24"/>
          <w:szCs w:val="24"/>
        </w:rPr>
      </w:pPr>
    </w:p>
    <w:p w:rsidR="000C4A0F" w:rsidRPr="008C2E67" w:rsidRDefault="000C4A0F">
      <w:pPr>
        <w:rPr>
          <w:rFonts w:ascii="Arial" w:hAnsi="Arial" w:cs="Arial"/>
          <w:sz w:val="24"/>
          <w:szCs w:val="24"/>
        </w:rPr>
      </w:pPr>
      <w:r w:rsidRPr="008C2E67">
        <w:rPr>
          <w:rFonts w:ascii="Arial" w:hAnsi="Arial" w:cs="Arial"/>
          <w:sz w:val="24"/>
          <w:szCs w:val="24"/>
        </w:rPr>
        <w:br w:type="page"/>
      </w:r>
    </w:p>
    <w:p w:rsidR="00394E18" w:rsidRPr="008C2E67" w:rsidRDefault="000C4A0F" w:rsidP="000C4A0F">
      <w:pPr>
        <w:rPr>
          <w:rFonts w:ascii="Arial" w:hAnsi="Arial" w:cs="Arial"/>
          <w:b/>
          <w:sz w:val="24"/>
          <w:szCs w:val="24"/>
        </w:rPr>
      </w:pPr>
      <w:r w:rsidRPr="008C2E67">
        <w:rPr>
          <w:rFonts w:ascii="Arial" w:hAnsi="Arial" w:cs="Arial"/>
          <w:b/>
        </w:rPr>
        <w:t>Supplemental Table 2. PCR cycling and HRM reaction conditions</w:t>
      </w:r>
      <w:r w:rsidR="008C2E67" w:rsidRPr="008C2E67">
        <w:rPr>
          <w:rFonts w:ascii="Arial" w:hAnsi="Arial" w:cs="Arial"/>
          <w:b/>
        </w:rPr>
        <w:t>.</w:t>
      </w:r>
    </w:p>
    <w:tbl>
      <w:tblPr>
        <w:tblStyle w:val="Tabellengitternetz"/>
        <w:tblW w:w="0" w:type="auto"/>
        <w:tblLook w:val="04A0"/>
      </w:tblPr>
      <w:tblGrid>
        <w:gridCol w:w="2335"/>
        <w:gridCol w:w="1872"/>
        <w:gridCol w:w="1872"/>
        <w:gridCol w:w="1656"/>
        <w:gridCol w:w="2088"/>
      </w:tblGrid>
      <w:tr w:rsidR="000C4A0F" w:rsidRPr="008C2E67" w:rsidTr="00025A01">
        <w:tc>
          <w:tcPr>
            <w:tcW w:w="2335" w:type="dxa"/>
          </w:tcPr>
          <w:p w:rsidR="000C4A0F" w:rsidRPr="008C2E67" w:rsidRDefault="000C4A0F" w:rsidP="005166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2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Activation step</w:t>
            </w:r>
          </w:p>
        </w:tc>
        <w:tc>
          <w:tcPr>
            <w:tcW w:w="1872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PCR cycling</w:t>
            </w:r>
          </w:p>
        </w:tc>
        <w:tc>
          <w:tcPr>
            <w:tcW w:w="1656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HRM holds</w:t>
            </w:r>
          </w:p>
        </w:tc>
        <w:tc>
          <w:tcPr>
            <w:tcW w:w="2088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Temperature ramp</w:t>
            </w:r>
          </w:p>
        </w:tc>
      </w:tr>
      <w:tr w:rsidR="000C4A0F" w:rsidRPr="008C2E67" w:rsidTr="00025A01">
        <w:tc>
          <w:tcPr>
            <w:tcW w:w="2335" w:type="dxa"/>
            <w:vAlign w:val="center"/>
          </w:tcPr>
          <w:p w:rsidR="000C4A0F" w:rsidRPr="008C2E67" w:rsidRDefault="000C4A0F" w:rsidP="0051666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CYP2C9</w:t>
            </w:r>
            <w:r w:rsidRPr="008C2E67">
              <w:rPr>
                <w:rFonts w:ascii="Arial" w:hAnsi="Arial" w:cs="Arial"/>
                <w:sz w:val="20"/>
                <w:szCs w:val="20"/>
              </w:rPr>
              <w:t>: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*2</w:t>
            </w:r>
            <w:r w:rsidRPr="008C2E67">
              <w:rPr>
                <w:rFonts w:ascii="Arial" w:hAnsi="Arial" w:cs="Arial"/>
                <w:sz w:val="20"/>
                <w:szCs w:val="20"/>
              </w:rPr>
              <w:t>,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*3</w:t>
            </w:r>
          </w:p>
          <w:p w:rsidR="000C4A0F" w:rsidRPr="008C2E67" w:rsidRDefault="000C4A0F" w:rsidP="00516666">
            <w:pPr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CYP2C19</w:t>
            </w:r>
            <w:r w:rsidRPr="008C2E67">
              <w:rPr>
                <w:rFonts w:ascii="Arial" w:hAnsi="Arial" w:cs="Arial"/>
                <w:sz w:val="20"/>
                <w:szCs w:val="20"/>
              </w:rPr>
              <w:t>: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*3</w:t>
            </w:r>
            <w:r w:rsidRPr="008C2E67">
              <w:rPr>
                <w:rFonts w:ascii="Arial" w:hAnsi="Arial" w:cs="Arial"/>
                <w:sz w:val="20"/>
                <w:szCs w:val="20"/>
              </w:rPr>
              <w:t>,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*17</w:t>
            </w:r>
          </w:p>
        </w:tc>
        <w:tc>
          <w:tcPr>
            <w:tcW w:w="1872" w:type="dxa"/>
            <w:vMerge w:val="restart"/>
            <w:vAlign w:val="center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95°C, 5 min</w:t>
            </w:r>
          </w:p>
        </w:tc>
        <w:tc>
          <w:tcPr>
            <w:tcW w:w="1872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40x: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58°C, 5 s</w:t>
            </w:r>
          </w:p>
          <w:p w:rsidR="000C4A0F" w:rsidRPr="008C2E67" w:rsidRDefault="000C4A0F" w:rsidP="00E33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72°C, 7 s</w:t>
            </w:r>
            <w:r w:rsidR="00E33424" w:rsidRPr="008C2E6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656" w:type="dxa"/>
            <w:vMerge w:val="restart"/>
            <w:vAlign w:val="center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94°C, 30 s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followed by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40°C, 30 s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vAlign w:val="center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65-95 °C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0.10 °C/s</w:t>
            </w:r>
          </w:p>
        </w:tc>
      </w:tr>
      <w:tr w:rsidR="000C4A0F" w:rsidRPr="008C2E67" w:rsidTr="00025A01">
        <w:tc>
          <w:tcPr>
            <w:tcW w:w="2335" w:type="dxa"/>
            <w:vAlign w:val="center"/>
          </w:tcPr>
          <w:p w:rsidR="000C4A0F" w:rsidRPr="008C2E67" w:rsidRDefault="000C4A0F" w:rsidP="0051666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CYP2C19</w:t>
            </w:r>
            <w:r w:rsidRPr="008C2E67">
              <w:rPr>
                <w:rFonts w:ascii="Arial" w:hAnsi="Arial" w:cs="Arial"/>
                <w:sz w:val="20"/>
                <w:szCs w:val="20"/>
              </w:rPr>
              <w:t>: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*2</w:t>
            </w:r>
          </w:p>
        </w:tc>
        <w:tc>
          <w:tcPr>
            <w:tcW w:w="1872" w:type="dxa"/>
            <w:vMerge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2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50x: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95°C, 15 s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58°C, 15 s</w:t>
            </w:r>
          </w:p>
          <w:p w:rsidR="000C4A0F" w:rsidRPr="008C2E67" w:rsidRDefault="000C4A0F" w:rsidP="00394E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72°C, 10 s</w:t>
            </w:r>
            <w:r w:rsidR="00394E18" w:rsidRPr="008C2E67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656" w:type="dxa"/>
            <w:vMerge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vAlign w:val="center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70-80 °C</w:t>
            </w:r>
          </w:p>
          <w:p w:rsidR="000C4A0F" w:rsidRPr="008C2E67" w:rsidRDefault="000C4A0F" w:rsidP="00561B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0.0</w:t>
            </w:r>
            <w:r w:rsidR="00561B32" w:rsidRPr="008C2E67">
              <w:rPr>
                <w:rFonts w:ascii="Arial" w:hAnsi="Arial" w:cs="Arial"/>
                <w:sz w:val="20"/>
                <w:szCs w:val="20"/>
              </w:rPr>
              <w:t>2</w:t>
            </w:r>
            <w:r w:rsidRPr="008C2E67">
              <w:rPr>
                <w:rFonts w:ascii="Arial" w:hAnsi="Arial" w:cs="Arial"/>
                <w:sz w:val="20"/>
                <w:szCs w:val="20"/>
              </w:rPr>
              <w:t xml:space="preserve"> °C/s</w:t>
            </w:r>
          </w:p>
        </w:tc>
      </w:tr>
      <w:tr w:rsidR="000C4A0F" w:rsidRPr="008C2E67" w:rsidTr="00025A01">
        <w:tc>
          <w:tcPr>
            <w:tcW w:w="2335" w:type="dxa"/>
            <w:vAlign w:val="center"/>
          </w:tcPr>
          <w:p w:rsidR="000C4A0F" w:rsidRPr="008C2E67" w:rsidRDefault="000C4A0F" w:rsidP="0051666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CYP3A5</w:t>
            </w:r>
            <w:r w:rsidRPr="008C2E67">
              <w:rPr>
                <w:rFonts w:ascii="Arial" w:hAnsi="Arial" w:cs="Arial"/>
                <w:sz w:val="20"/>
                <w:szCs w:val="20"/>
              </w:rPr>
              <w:t>: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*2</w:t>
            </w:r>
            <w:r w:rsidRPr="008C2E67">
              <w:rPr>
                <w:rFonts w:ascii="Arial" w:hAnsi="Arial" w:cs="Arial"/>
                <w:sz w:val="20"/>
                <w:szCs w:val="20"/>
              </w:rPr>
              <w:t>,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*3</w:t>
            </w:r>
            <w:r w:rsidRPr="008C2E67">
              <w:rPr>
                <w:rFonts w:ascii="Arial" w:hAnsi="Arial" w:cs="Arial"/>
                <w:sz w:val="20"/>
                <w:szCs w:val="20"/>
              </w:rPr>
              <w:t>,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*6</w:t>
            </w:r>
            <w:r w:rsidRPr="008C2E67">
              <w:rPr>
                <w:rFonts w:ascii="Arial" w:hAnsi="Arial" w:cs="Arial"/>
                <w:sz w:val="20"/>
                <w:szCs w:val="20"/>
              </w:rPr>
              <w:t>,</w:t>
            </w:r>
            <w:r w:rsidRPr="008C2E67">
              <w:rPr>
                <w:rFonts w:ascii="Arial" w:hAnsi="Arial" w:cs="Arial"/>
                <w:i/>
                <w:sz w:val="20"/>
                <w:szCs w:val="20"/>
              </w:rPr>
              <w:t xml:space="preserve"> *7</w:t>
            </w:r>
          </w:p>
        </w:tc>
        <w:tc>
          <w:tcPr>
            <w:tcW w:w="1872" w:type="dxa"/>
            <w:vMerge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2" w:type="dxa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40x: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95°C, 10 s</w:t>
            </w:r>
          </w:p>
          <w:p w:rsidR="000C4A0F" w:rsidRPr="008C2E67" w:rsidRDefault="000C4A0F" w:rsidP="00394E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58°C</w:t>
            </w:r>
            <w:r w:rsidR="006E69BA" w:rsidRPr="008C2E67">
              <w:rPr>
                <w:rFonts w:ascii="Arial" w:hAnsi="Arial" w:cs="Arial"/>
                <w:sz w:val="20"/>
                <w:szCs w:val="20"/>
              </w:rPr>
              <w:t>, 30 s</w:t>
            </w:r>
            <w:r w:rsidR="00394E18" w:rsidRPr="008C2E67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656" w:type="dxa"/>
            <w:vMerge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vAlign w:val="center"/>
          </w:tcPr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70-84 °C</w:t>
            </w:r>
          </w:p>
          <w:p w:rsidR="000C4A0F" w:rsidRPr="008C2E67" w:rsidRDefault="000C4A0F" w:rsidP="005166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0.05 °C/s</w:t>
            </w:r>
          </w:p>
        </w:tc>
      </w:tr>
    </w:tbl>
    <w:p w:rsidR="000C4A0F" w:rsidRPr="008C2E67" w:rsidRDefault="00E33424" w:rsidP="000C4A0F">
      <w:pPr>
        <w:rPr>
          <w:rFonts w:ascii="Arial" w:hAnsi="Arial" w:cs="Arial"/>
          <w:sz w:val="20"/>
          <w:szCs w:val="20"/>
        </w:rPr>
      </w:pPr>
      <w:r w:rsidRPr="008C2E67">
        <w:rPr>
          <w:rFonts w:ascii="Arial" w:hAnsi="Arial" w:cs="Arial"/>
          <w:sz w:val="20"/>
          <w:szCs w:val="20"/>
          <w:vertAlign w:val="superscript"/>
        </w:rPr>
        <w:t>a</w:t>
      </w:r>
      <w:r w:rsidR="000C4A0F" w:rsidRPr="008C2E67">
        <w:rPr>
          <w:rFonts w:ascii="Arial" w:hAnsi="Arial" w:cs="Arial"/>
          <w:sz w:val="20"/>
          <w:szCs w:val="20"/>
        </w:rPr>
        <w:t>EvaGreen dye detected at 510 nm.</w:t>
      </w:r>
    </w:p>
    <w:p w:rsidR="000946AA" w:rsidRPr="008C2E67" w:rsidRDefault="000946AA">
      <w:pPr>
        <w:rPr>
          <w:rFonts w:ascii="Arial" w:hAnsi="Arial" w:cs="Arial"/>
          <w:sz w:val="20"/>
          <w:szCs w:val="20"/>
        </w:rPr>
      </w:pPr>
      <w:r w:rsidRPr="008C2E67">
        <w:rPr>
          <w:rFonts w:ascii="Arial" w:hAnsi="Arial" w:cs="Arial"/>
          <w:sz w:val="20"/>
          <w:szCs w:val="20"/>
        </w:rPr>
        <w:br w:type="page"/>
      </w:r>
    </w:p>
    <w:p w:rsidR="000946AA" w:rsidRPr="008C2E67" w:rsidRDefault="000946AA" w:rsidP="000946AA">
      <w:pPr>
        <w:rPr>
          <w:rFonts w:ascii="Arial" w:hAnsi="Arial" w:cs="Arial"/>
          <w:b/>
          <w:sz w:val="24"/>
          <w:szCs w:val="24"/>
        </w:rPr>
      </w:pPr>
      <w:r w:rsidRPr="008C2E67">
        <w:rPr>
          <w:rFonts w:ascii="Arial" w:hAnsi="Arial" w:cs="Arial"/>
          <w:b/>
        </w:rPr>
        <w:t xml:space="preserve">Supplemental Table 3. </w:t>
      </w:r>
      <w:r w:rsidR="00844747" w:rsidRPr="008C2E67">
        <w:rPr>
          <w:rFonts w:ascii="Arial" w:hAnsi="Arial" w:cs="Arial"/>
          <w:b/>
        </w:rPr>
        <w:t xml:space="preserve">Estimated </w:t>
      </w:r>
      <w:r w:rsidRPr="008C2E67">
        <w:rPr>
          <w:rFonts w:ascii="Arial" w:hAnsi="Arial" w:cs="Arial"/>
          <w:b/>
        </w:rPr>
        <w:t>allel</w:t>
      </w:r>
      <w:r w:rsidR="00844747" w:rsidRPr="008C2E67">
        <w:rPr>
          <w:rFonts w:ascii="Arial" w:hAnsi="Arial" w:cs="Arial"/>
          <w:b/>
        </w:rPr>
        <w:t>ic</w:t>
      </w:r>
      <w:r w:rsidRPr="008C2E67">
        <w:rPr>
          <w:rFonts w:ascii="Arial" w:hAnsi="Arial" w:cs="Arial"/>
          <w:b/>
        </w:rPr>
        <w:t xml:space="preserve"> frequencies for assessed CYP450 SNPs</w:t>
      </w:r>
      <w:r w:rsidR="008C2E67">
        <w:rPr>
          <w:rFonts w:ascii="Arial" w:hAnsi="Arial" w:cs="Arial"/>
          <w:b/>
        </w:rPr>
        <w:t>.</w:t>
      </w:r>
    </w:p>
    <w:tbl>
      <w:tblPr>
        <w:tblStyle w:val="Tabellengitternetz"/>
        <w:tblW w:w="0" w:type="auto"/>
        <w:tblLook w:val="04A0"/>
      </w:tblPr>
      <w:tblGrid>
        <w:gridCol w:w="2304"/>
        <w:gridCol w:w="2304"/>
        <w:gridCol w:w="2304"/>
        <w:gridCol w:w="2304"/>
      </w:tblGrid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Allele</w:t>
            </w:r>
          </w:p>
        </w:tc>
        <w:tc>
          <w:tcPr>
            <w:tcW w:w="2304" w:type="dxa"/>
          </w:tcPr>
          <w:p w:rsidR="00844747" w:rsidRPr="008C2E67" w:rsidRDefault="000946AA" w:rsidP="0097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Caucasian (%)</w:t>
            </w:r>
          </w:p>
        </w:tc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Asian (%)</w:t>
            </w:r>
          </w:p>
        </w:tc>
        <w:tc>
          <w:tcPr>
            <w:tcW w:w="2304" w:type="dxa"/>
          </w:tcPr>
          <w:p w:rsidR="00844747" w:rsidRPr="008C2E67" w:rsidRDefault="000946AA" w:rsidP="00970D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2E67">
              <w:rPr>
                <w:rFonts w:ascii="Arial" w:hAnsi="Arial" w:cs="Arial"/>
                <w:b/>
                <w:sz w:val="20"/>
                <w:szCs w:val="20"/>
              </w:rPr>
              <w:t>African American (%)</w:t>
            </w:r>
          </w:p>
        </w:tc>
      </w:tr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CYP2C9*2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CYP2C9*3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CYP2C19*2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CYP2C19*3</w:t>
            </w:r>
          </w:p>
        </w:tc>
        <w:tc>
          <w:tcPr>
            <w:tcW w:w="2304" w:type="dxa"/>
          </w:tcPr>
          <w:p w:rsidR="000946AA" w:rsidRPr="008C2E67" w:rsidRDefault="00844747" w:rsidP="008447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</w:tr>
      <w:tr w:rsidR="000946AA" w:rsidRPr="008C2E67" w:rsidTr="00970D03">
        <w:tc>
          <w:tcPr>
            <w:tcW w:w="2304" w:type="dxa"/>
          </w:tcPr>
          <w:p w:rsidR="000946AA" w:rsidRPr="008C2E67" w:rsidRDefault="000946AA" w:rsidP="000946A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CYP2C19*17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04" w:type="dxa"/>
          </w:tcPr>
          <w:p w:rsidR="000946AA" w:rsidRPr="008C2E67" w:rsidRDefault="00844747" w:rsidP="000946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53F31" w:rsidRPr="008C2E67" w:rsidTr="00970D03"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CYP3A5*2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</w:tr>
      <w:tr w:rsidR="00353F31" w:rsidRPr="008C2E67" w:rsidTr="00970D03"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CYP3A5*3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353F31" w:rsidRPr="008C2E67" w:rsidTr="00970D03"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CYP3A5*6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353F31" w:rsidRPr="008C2E67" w:rsidTr="00970D03"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i/>
                <w:sz w:val="20"/>
                <w:szCs w:val="20"/>
              </w:rPr>
              <w:t>CYP3A5*7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  <w:tc>
          <w:tcPr>
            <w:tcW w:w="2304" w:type="dxa"/>
          </w:tcPr>
          <w:p w:rsidR="00353F31" w:rsidRPr="008C2E67" w:rsidRDefault="00353F31" w:rsidP="00353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2E67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07432B" w:rsidRPr="008C2E67" w:rsidRDefault="00844747">
      <w:pPr>
        <w:rPr>
          <w:rFonts w:ascii="Arial" w:hAnsi="Arial" w:cs="Arial"/>
          <w:sz w:val="20"/>
          <w:szCs w:val="20"/>
        </w:rPr>
      </w:pPr>
      <w:r w:rsidRPr="008C2E67">
        <w:rPr>
          <w:rFonts w:ascii="Arial" w:hAnsi="Arial" w:cs="Arial"/>
          <w:sz w:val="20"/>
          <w:szCs w:val="20"/>
        </w:rPr>
        <w:t xml:space="preserve">Source: Clinical Pharmacogenetics Implementation Consortium </w:t>
      </w:r>
      <w:r w:rsidR="00353F31" w:rsidRPr="008C2E67">
        <w:rPr>
          <w:rFonts w:ascii="Arial" w:hAnsi="Arial" w:cs="Arial"/>
          <w:sz w:val="20"/>
          <w:szCs w:val="20"/>
        </w:rPr>
        <w:t>[11]</w:t>
      </w:r>
      <w:r w:rsidR="008C2E67">
        <w:rPr>
          <w:rFonts w:ascii="Arial" w:hAnsi="Arial" w:cs="Arial"/>
          <w:sz w:val="20"/>
          <w:szCs w:val="20"/>
        </w:rPr>
        <w:t>.</w:t>
      </w:r>
      <w:r w:rsidR="0007432B" w:rsidRPr="008C2E67">
        <w:rPr>
          <w:rFonts w:ascii="Arial" w:hAnsi="Arial" w:cs="Arial"/>
          <w:sz w:val="20"/>
          <w:szCs w:val="20"/>
        </w:rPr>
        <w:br w:type="page"/>
      </w:r>
    </w:p>
    <w:p w:rsidR="0007432B" w:rsidRPr="008C2E67" w:rsidRDefault="0007432B" w:rsidP="000C4A0F">
      <w:pPr>
        <w:rPr>
          <w:rFonts w:ascii="Arial" w:hAnsi="Arial" w:cs="Arial"/>
          <w:b/>
        </w:rPr>
      </w:pPr>
      <w:r w:rsidRPr="008C2E67">
        <w:rPr>
          <w:rFonts w:ascii="Arial" w:hAnsi="Arial" w:cs="Arial"/>
          <w:b/>
        </w:rPr>
        <w:t>Supplemental Figure Captions</w:t>
      </w:r>
    </w:p>
    <w:p w:rsidR="0007432B" w:rsidRPr="008C2E67" w:rsidRDefault="0007432B" w:rsidP="000C4A0F">
      <w:pPr>
        <w:rPr>
          <w:rFonts w:ascii="Arial" w:hAnsi="Arial" w:cs="Arial"/>
          <w:b/>
        </w:rPr>
      </w:pPr>
    </w:p>
    <w:p w:rsid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  <w:b/>
        </w:rPr>
        <w:t>Supplemental Figure 1</w:t>
      </w:r>
      <w:r w:rsidRPr="008C2E67">
        <w:rPr>
          <w:rFonts w:ascii="Arial" w:hAnsi="Arial" w:cs="Arial"/>
        </w:rPr>
        <w:t>. D</w:t>
      </w:r>
      <w:r w:rsidR="008C2E67">
        <w:rPr>
          <w:rFonts w:ascii="Arial" w:hAnsi="Arial" w:cs="Arial"/>
        </w:rPr>
        <w:t>efining the genotype threshold.</w:t>
      </w:r>
    </w:p>
    <w:p w:rsidR="0007432B" w:rsidRP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 xml:space="preserve">The run-specific genotype confidence threshold was defined as the overall average of melting curve profile results for the duplicate </w:t>
      </w:r>
      <w:r w:rsidR="000545C2" w:rsidRPr="008C2E67">
        <w:rPr>
          <w:rFonts w:ascii="Arial" w:hAnsi="Arial" w:cs="Arial"/>
        </w:rPr>
        <w:t>reference</w:t>
      </w:r>
      <w:r w:rsidRPr="008C2E67">
        <w:rPr>
          <w:rFonts w:ascii="Arial" w:hAnsi="Arial" w:cs="Arial"/>
        </w:rPr>
        <w:t xml:space="preserve"> and duplicate heterozygous controls included at the beginning and end of the run. Unknown samples over this threshold were auto-called called as </w:t>
      </w:r>
      <w:r w:rsidR="000545C2" w:rsidRPr="008C2E67">
        <w:rPr>
          <w:rFonts w:ascii="Arial" w:hAnsi="Arial" w:cs="Arial"/>
        </w:rPr>
        <w:t>reference</w:t>
      </w:r>
      <w:r w:rsidRPr="008C2E67">
        <w:rPr>
          <w:rFonts w:ascii="Arial" w:hAnsi="Arial" w:cs="Arial"/>
        </w:rPr>
        <w:t xml:space="preserve"> and samples above the threshold were called as variant.</w:t>
      </w:r>
      <w:r w:rsidR="003669C6" w:rsidRPr="008C2E67">
        <w:rPr>
          <w:rFonts w:ascii="Arial" w:hAnsi="Arial" w:cs="Arial"/>
        </w:rPr>
        <w:t xml:space="preserve"> The software’s terminology of ‘wild type’ is equivalent to our use of ‘reference.’</w:t>
      </w:r>
    </w:p>
    <w:p w:rsidR="0007432B" w:rsidRPr="008C2E67" w:rsidRDefault="0007432B" w:rsidP="000C4A0F">
      <w:pPr>
        <w:rPr>
          <w:rFonts w:ascii="Arial" w:hAnsi="Arial" w:cs="Arial"/>
        </w:rPr>
      </w:pPr>
    </w:p>
    <w:p w:rsid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  <w:b/>
        </w:rPr>
        <w:t>Supplemental Figure 2</w:t>
      </w:r>
      <w:r w:rsidRPr="008C2E67">
        <w:rPr>
          <w:rFonts w:ascii="Arial" w:hAnsi="Arial" w:cs="Arial"/>
        </w:rPr>
        <w:t xml:space="preserve">. Primer </w:t>
      </w:r>
      <w:r w:rsidR="008C2E67">
        <w:rPr>
          <w:rFonts w:ascii="Arial" w:hAnsi="Arial" w:cs="Arial"/>
        </w:rPr>
        <w:t>specificity.</w:t>
      </w:r>
    </w:p>
    <w:p w:rsidR="0007432B" w:rsidRP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>Template DNA was amplified with custom-designed primers to target the SNPs of interest. Single, prominent bands at the expected base pair lengths indicated primer specificity. Lack of non-specific bands in the no-template control (NTC) lanes further indicated primer specificity and lack of undesired PCR by-products.</w:t>
      </w:r>
    </w:p>
    <w:p w:rsidR="0007432B" w:rsidRPr="008C2E67" w:rsidRDefault="0007432B" w:rsidP="000C4A0F">
      <w:pPr>
        <w:rPr>
          <w:rFonts w:ascii="Arial" w:hAnsi="Arial" w:cs="Arial"/>
        </w:rPr>
      </w:pPr>
    </w:p>
    <w:p w:rsid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  <w:b/>
        </w:rPr>
        <w:t xml:space="preserve">Supplemental Figure </w:t>
      </w:r>
      <w:r w:rsidR="00850675" w:rsidRPr="008C2E67">
        <w:rPr>
          <w:rFonts w:ascii="Arial" w:hAnsi="Arial" w:cs="Arial"/>
          <w:b/>
        </w:rPr>
        <w:t>3</w:t>
      </w:r>
      <w:r w:rsidRPr="008C2E67">
        <w:rPr>
          <w:rFonts w:ascii="Arial" w:hAnsi="Arial" w:cs="Arial"/>
        </w:rPr>
        <w:t>. Effect of DNA inp</w:t>
      </w:r>
      <w:r w:rsidR="008C2E67">
        <w:rPr>
          <w:rFonts w:ascii="Arial" w:hAnsi="Arial" w:cs="Arial"/>
        </w:rPr>
        <w:t>ut concentration on genotyping.</w:t>
      </w:r>
    </w:p>
    <w:p w:rsidR="0007432B" w:rsidRPr="008C2E67" w:rsidRDefault="0007432B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 xml:space="preserve">For each SNP, </w:t>
      </w:r>
      <w:r w:rsidR="000545C2" w:rsidRPr="008C2E67">
        <w:rPr>
          <w:rFonts w:ascii="Arial" w:hAnsi="Arial" w:cs="Arial"/>
        </w:rPr>
        <w:t>reference</w:t>
      </w:r>
      <w:r w:rsidRPr="008C2E67">
        <w:rPr>
          <w:rFonts w:ascii="Arial" w:hAnsi="Arial" w:cs="Arial"/>
        </w:rPr>
        <w:t>, heterozygous, and homozygous DNA controls were assessed for accuracy of HRM genotyping at a wide range of DNA input concentrations. Representative results are displayed for CYP3A5*3 using 10 (A), 50 (B), and the standard 100 ng/µL DNA (C). For all DNA concentrations tested, the software accurately called sample genotypes (D).</w:t>
      </w:r>
    </w:p>
    <w:p w:rsidR="0019669E" w:rsidRPr="008C2E67" w:rsidRDefault="0019669E" w:rsidP="000C4A0F">
      <w:pPr>
        <w:rPr>
          <w:rFonts w:ascii="Arial" w:hAnsi="Arial" w:cs="Arial"/>
        </w:rPr>
      </w:pPr>
    </w:p>
    <w:p w:rsidR="0019669E" w:rsidRPr="008C2E67" w:rsidRDefault="0019669E">
      <w:pPr>
        <w:rPr>
          <w:rFonts w:ascii="Arial" w:hAnsi="Arial" w:cs="Arial"/>
        </w:rPr>
      </w:pPr>
      <w:r w:rsidRPr="008C2E67">
        <w:rPr>
          <w:rFonts w:ascii="Arial" w:hAnsi="Arial" w:cs="Arial"/>
        </w:rPr>
        <w:br w:type="page"/>
      </w:r>
    </w:p>
    <w:p w:rsidR="0019669E" w:rsidRPr="008C2E67" w:rsidRDefault="0019669E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>Supplemental Figure 1.</w:t>
      </w:r>
    </w:p>
    <w:p w:rsidR="0019669E" w:rsidRPr="008C2E67" w:rsidRDefault="0019669E" w:rsidP="000C4A0F">
      <w:pPr>
        <w:rPr>
          <w:rFonts w:ascii="Arial" w:hAnsi="Arial" w:cs="Arial"/>
        </w:rPr>
      </w:pPr>
    </w:p>
    <w:p w:rsidR="0019669E" w:rsidRPr="008C2E67" w:rsidRDefault="00DD7757" w:rsidP="000C4A0F">
      <w:pPr>
        <w:rPr>
          <w:rFonts w:ascii="Arial" w:hAnsi="Arial" w:cs="Arial"/>
        </w:rPr>
      </w:pPr>
      <w:r w:rsidRPr="008C2E67">
        <w:rPr>
          <w:noProof/>
          <w:lang w:val="de-DE" w:eastAsia="de-DE"/>
        </w:rPr>
        <w:drawing>
          <wp:inline distT="0" distB="0" distL="0" distR="0">
            <wp:extent cx="6400800" cy="638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9E" w:rsidRPr="008C2E67" w:rsidRDefault="0019669E" w:rsidP="000C4A0F">
      <w:pPr>
        <w:rPr>
          <w:rFonts w:ascii="Arial" w:hAnsi="Arial" w:cs="Arial"/>
        </w:rPr>
      </w:pPr>
    </w:p>
    <w:p w:rsidR="0019669E" w:rsidRPr="008C2E67" w:rsidRDefault="0019669E">
      <w:pPr>
        <w:rPr>
          <w:rFonts w:ascii="Arial" w:hAnsi="Arial" w:cs="Arial"/>
        </w:rPr>
      </w:pPr>
      <w:r w:rsidRPr="008C2E67">
        <w:rPr>
          <w:rFonts w:ascii="Arial" w:hAnsi="Arial" w:cs="Arial"/>
        </w:rPr>
        <w:br w:type="page"/>
      </w:r>
    </w:p>
    <w:p w:rsidR="0019669E" w:rsidRPr="008C2E67" w:rsidRDefault="0019669E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>Supplemental Figure 2.</w:t>
      </w:r>
    </w:p>
    <w:p w:rsidR="0019669E" w:rsidRPr="008C2E67" w:rsidRDefault="0019669E" w:rsidP="000C4A0F">
      <w:pPr>
        <w:rPr>
          <w:rFonts w:ascii="Arial" w:hAnsi="Arial" w:cs="Arial"/>
        </w:rPr>
      </w:pPr>
    </w:p>
    <w:p w:rsidR="0019669E" w:rsidRPr="008C2E67" w:rsidRDefault="00DD7757" w:rsidP="000C4A0F">
      <w:pPr>
        <w:rPr>
          <w:rFonts w:ascii="Arial" w:hAnsi="Arial" w:cs="Arial"/>
        </w:rPr>
        <w:sectPr w:rsidR="0019669E" w:rsidRPr="008C2E67" w:rsidSect="003D2CC5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8C2E67">
        <w:rPr>
          <w:noProof/>
          <w:lang w:val="de-DE" w:eastAsia="de-DE"/>
        </w:rPr>
        <w:drawing>
          <wp:inline distT="0" distB="0" distL="0" distR="0">
            <wp:extent cx="6400800" cy="255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9E" w:rsidRPr="008C2E67" w:rsidRDefault="0019669E" w:rsidP="000C4A0F">
      <w:pPr>
        <w:rPr>
          <w:rFonts w:ascii="Arial" w:hAnsi="Arial" w:cs="Arial"/>
        </w:rPr>
      </w:pPr>
      <w:r w:rsidRPr="008C2E67">
        <w:rPr>
          <w:rFonts w:ascii="Arial" w:hAnsi="Arial" w:cs="Arial"/>
        </w:rPr>
        <w:t xml:space="preserve">Supplemental Figure </w:t>
      </w:r>
      <w:r w:rsidR="00177901" w:rsidRPr="008C2E67">
        <w:rPr>
          <w:rFonts w:ascii="Arial" w:hAnsi="Arial" w:cs="Arial"/>
        </w:rPr>
        <w:t>3</w:t>
      </w:r>
      <w:r w:rsidRPr="008C2E67">
        <w:rPr>
          <w:rFonts w:ascii="Arial" w:hAnsi="Arial" w:cs="Arial"/>
        </w:rPr>
        <w:t>.</w:t>
      </w:r>
    </w:p>
    <w:p w:rsidR="0019669E" w:rsidRPr="008C2E67" w:rsidRDefault="0019669E" w:rsidP="000C4A0F">
      <w:pPr>
        <w:rPr>
          <w:rFonts w:ascii="Arial" w:hAnsi="Arial" w:cs="Arial"/>
        </w:rPr>
      </w:pPr>
    </w:p>
    <w:p w:rsidR="0019669E" w:rsidRPr="008C2E67" w:rsidRDefault="00DD7757" w:rsidP="000C4A0F">
      <w:pPr>
        <w:rPr>
          <w:rFonts w:ascii="Arial" w:hAnsi="Arial" w:cs="Arial"/>
        </w:rPr>
      </w:pPr>
      <w:r w:rsidRPr="008C2E67">
        <w:rPr>
          <w:noProof/>
          <w:lang w:val="de-DE" w:eastAsia="de-DE"/>
        </w:rPr>
        <w:drawing>
          <wp:inline distT="0" distB="0" distL="0" distR="0">
            <wp:extent cx="8686800" cy="5165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69E" w:rsidRPr="008C2E67" w:rsidSect="0019669E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67141"/>
    <w:multiLevelType w:val="hybridMultilevel"/>
    <w:tmpl w:val="52B44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E26CB"/>
    <w:rsid w:val="00016D93"/>
    <w:rsid w:val="00023ACE"/>
    <w:rsid w:val="00025A01"/>
    <w:rsid w:val="000545C2"/>
    <w:rsid w:val="000611BD"/>
    <w:rsid w:val="0007432B"/>
    <w:rsid w:val="0009403F"/>
    <w:rsid w:val="000946AA"/>
    <w:rsid w:val="000B1DD7"/>
    <w:rsid w:val="000C4A0F"/>
    <w:rsid w:val="000D7C9A"/>
    <w:rsid w:val="00107E5C"/>
    <w:rsid w:val="00117EF7"/>
    <w:rsid w:val="00177901"/>
    <w:rsid w:val="0019669E"/>
    <w:rsid w:val="001B127B"/>
    <w:rsid w:val="001E1411"/>
    <w:rsid w:val="001E2E44"/>
    <w:rsid w:val="001E76FB"/>
    <w:rsid w:val="00224E58"/>
    <w:rsid w:val="00227A82"/>
    <w:rsid w:val="00251A2C"/>
    <w:rsid w:val="00253BFE"/>
    <w:rsid w:val="002A1AAE"/>
    <w:rsid w:val="002F1A51"/>
    <w:rsid w:val="002F421F"/>
    <w:rsid w:val="00353F31"/>
    <w:rsid w:val="003669C6"/>
    <w:rsid w:val="0038221E"/>
    <w:rsid w:val="00394E18"/>
    <w:rsid w:val="003D2CC5"/>
    <w:rsid w:val="003F7105"/>
    <w:rsid w:val="00405664"/>
    <w:rsid w:val="00422694"/>
    <w:rsid w:val="004443AC"/>
    <w:rsid w:val="004C7D71"/>
    <w:rsid w:val="00516AC3"/>
    <w:rsid w:val="005228A5"/>
    <w:rsid w:val="00561B32"/>
    <w:rsid w:val="00562F60"/>
    <w:rsid w:val="0059386A"/>
    <w:rsid w:val="005A20FE"/>
    <w:rsid w:val="00627EC3"/>
    <w:rsid w:val="0063350A"/>
    <w:rsid w:val="00650CA4"/>
    <w:rsid w:val="00652F08"/>
    <w:rsid w:val="006563BA"/>
    <w:rsid w:val="00667B4C"/>
    <w:rsid w:val="006E69BA"/>
    <w:rsid w:val="00700899"/>
    <w:rsid w:val="00730F2F"/>
    <w:rsid w:val="007F002B"/>
    <w:rsid w:val="007F1FF2"/>
    <w:rsid w:val="00820601"/>
    <w:rsid w:val="00843E79"/>
    <w:rsid w:val="00844747"/>
    <w:rsid w:val="00850675"/>
    <w:rsid w:val="008B63F4"/>
    <w:rsid w:val="008C2E67"/>
    <w:rsid w:val="008F577F"/>
    <w:rsid w:val="00910068"/>
    <w:rsid w:val="00912E7B"/>
    <w:rsid w:val="00935E48"/>
    <w:rsid w:val="00970D03"/>
    <w:rsid w:val="00975D68"/>
    <w:rsid w:val="009A3C59"/>
    <w:rsid w:val="009A6F86"/>
    <w:rsid w:val="00A33493"/>
    <w:rsid w:val="00AB798F"/>
    <w:rsid w:val="00AC0333"/>
    <w:rsid w:val="00AC1527"/>
    <w:rsid w:val="00B216AE"/>
    <w:rsid w:val="00B8201E"/>
    <w:rsid w:val="00BA3565"/>
    <w:rsid w:val="00BC020C"/>
    <w:rsid w:val="00C77422"/>
    <w:rsid w:val="00D20752"/>
    <w:rsid w:val="00D45413"/>
    <w:rsid w:val="00D7306F"/>
    <w:rsid w:val="00DD7757"/>
    <w:rsid w:val="00DF489F"/>
    <w:rsid w:val="00E04D59"/>
    <w:rsid w:val="00E20D00"/>
    <w:rsid w:val="00E26E82"/>
    <w:rsid w:val="00E32525"/>
    <w:rsid w:val="00E33424"/>
    <w:rsid w:val="00E34DD6"/>
    <w:rsid w:val="00EB023A"/>
    <w:rsid w:val="00EC123D"/>
    <w:rsid w:val="00EE26CB"/>
    <w:rsid w:val="00EF43F7"/>
    <w:rsid w:val="00F8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3E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094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line">
    <w:name w:val="ff_line"/>
    <w:basedOn w:val="Absatz-Standardschriftart"/>
    <w:rsid w:val="00227A82"/>
  </w:style>
  <w:style w:type="paragraph" w:styleId="Listenabsatz">
    <w:name w:val="List Paragraph"/>
    <w:basedOn w:val="Standard"/>
    <w:uiPriority w:val="34"/>
    <w:qFormat/>
    <w:rsid w:val="007F1FF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B023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B023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B023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023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023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023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023A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59386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8C2E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x.doi.org/10.1515/labmed-2015-0022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50737-8AE8-46B9-986F-1804A68B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493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Chambliss</dc:creator>
  <cp:lastModifiedBy>heja</cp:lastModifiedBy>
  <cp:revision>2</cp:revision>
  <dcterms:created xsi:type="dcterms:W3CDTF">2017-02-14T10:19:00Z</dcterms:created>
  <dcterms:modified xsi:type="dcterms:W3CDTF">2017-02-14T10:19:00Z</dcterms:modified>
</cp:coreProperties>
</file>