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388" w:rsidRPr="00730388" w:rsidRDefault="00730388" w:rsidP="00730388">
      <w:pPr>
        <w:rPr>
          <w:b/>
          <w:sz w:val="24"/>
          <w:szCs w:val="24"/>
        </w:rPr>
      </w:pPr>
      <w:r w:rsidRPr="00730388">
        <w:rPr>
          <w:b/>
          <w:sz w:val="24"/>
          <w:szCs w:val="24"/>
          <w:lang w:val="en-US"/>
        </w:rPr>
        <w:t xml:space="preserve">Supplementary Data: </w:t>
      </w:r>
      <w:r w:rsidRPr="00730388">
        <w:rPr>
          <w:b/>
          <w:sz w:val="24"/>
          <w:szCs w:val="24"/>
        </w:rPr>
        <w:t>DOI: </w:t>
      </w:r>
      <w:hyperlink r:id="rId5" w:history="1">
        <w:r w:rsidRPr="00730388">
          <w:rPr>
            <w:rStyle w:val="Hyperlink"/>
            <w:b/>
            <w:color w:val="auto"/>
            <w:sz w:val="24"/>
            <w:szCs w:val="24"/>
            <w:u w:val="none"/>
          </w:rPr>
          <w:t>10.1515/cclm-2015-0578</w:t>
        </w:r>
      </w:hyperlink>
    </w:p>
    <w:p w:rsidR="00730388" w:rsidRDefault="00730388" w:rsidP="00C45D6C">
      <w:pPr>
        <w:keepNext/>
        <w:spacing w:line="480" w:lineRule="auto"/>
        <w:rPr>
          <w:b/>
          <w:sz w:val="24"/>
          <w:lang w:val="en-US"/>
        </w:rPr>
      </w:pPr>
    </w:p>
    <w:p w:rsidR="00730388" w:rsidRDefault="00730388" w:rsidP="00C45D6C">
      <w:pPr>
        <w:keepNext/>
        <w:spacing w:line="480" w:lineRule="auto"/>
        <w:rPr>
          <w:b/>
          <w:sz w:val="24"/>
          <w:lang w:val="en-US"/>
        </w:rPr>
      </w:pPr>
    </w:p>
    <w:p w:rsidR="00C45D6C" w:rsidRPr="00BD08A0" w:rsidRDefault="00C45D6C" w:rsidP="00C45D6C">
      <w:pPr>
        <w:keepNext/>
        <w:spacing w:line="480" w:lineRule="auto"/>
        <w:rPr>
          <w:b/>
          <w:bCs/>
          <w:sz w:val="18"/>
          <w:szCs w:val="18"/>
          <w:lang w:val="en-US"/>
        </w:rPr>
      </w:pPr>
      <w:r>
        <w:rPr>
          <w:b/>
          <w:sz w:val="24"/>
          <w:lang w:val="en-US"/>
        </w:rPr>
        <w:t>Supplementa</w:t>
      </w:r>
      <w:bookmarkStart w:id="0" w:name="_GoBack"/>
      <w:bookmarkEnd w:id="0"/>
      <w:r>
        <w:rPr>
          <w:b/>
          <w:sz w:val="24"/>
          <w:lang w:val="en-US"/>
        </w:rPr>
        <w:t>ry Table 1:</w:t>
      </w:r>
      <w:r w:rsidRPr="00BD08A0">
        <w:rPr>
          <w:sz w:val="24"/>
          <w:lang w:val="en-US"/>
        </w:rPr>
        <w:t xml:space="preserve"> </w:t>
      </w:r>
      <w:r w:rsidRPr="00B458B2">
        <w:rPr>
          <w:b/>
          <w:sz w:val="24"/>
          <w:lang w:val="en-US"/>
        </w:rPr>
        <w:t>LC</w:t>
      </w:r>
      <w:r>
        <w:rPr>
          <w:b/>
          <w:sz w:val="24"/>
          <w:lang w:val="en-US"/>
        </w:rPr>
        <w:t>-method</w:t>
      </w:r>
      <w:r w:rsidRPr="00B458B2">
        <w:rPr>
          <w:b/>
          <w:sz w:val="24"/>
          <w:lang w:val="en-US"/>
        </w:rPr>
        <w:t>.</w:t>
      </w:r>
      <w:r w:rsidRPr="00BD08A0">
        <w:rPr>
          <w:sz w:val="24"/>
          <w:lang w:val="en-US"/>
        </w:rPr>
        <w:t xml:space="preserve"> The following eluents were used: 10 mmol/L ammonium acetate in water + 0.1% (v/v) formic acid (eluent A), 10 mmol/L ammonium acetate in methanol/acetonitrile 50/50 v/v + 0.1% (v/v) formic acid (eluent B), acetone/acetonitrile/2-propanol 1/1/1 v/v/v (eluent C). EP, eluting pump (analytical chromatography); LP, loading pump (online extraction).</w:t>
      </w:r>
    </w:p>
    <w:tbl>
      <w:tblPr>
        <w:tblStyle w:val="Tabellen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/>
      </w:tblPr>
      <w:tblGrid>
        <w:gridCol w:w="1010"/>
        <w:gridCol w:w="1151"/>
        <w:gridCol w:w="995"/>
        <w:gridCol w:w="995"/>
        <w:gridCol w:w="997"/>
        <w:gridCol w:w="1150"/>
        <w:gridCol w:w="996"/>
        <w:gridCol w:w="997"/>
        <w:gridCol w:w="997"/>
      </w:tblGrid>
      <w:tr w:rsidR="00C45D6C" w:rsidRPr="00BD08A0" w:rsidTr="00272BCA">
        <w:trPr>
          <w:trHeight w:val="340"/>
        </w:trPr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45D6C" w:rsidRPr="00BD08A0" w:rsidRDefault="00C45D6C" w:rsidP="00272BCA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Time (min)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45D6C" w:rsidRPr="00BD08A0" w:rsidRDefault="00C45D6C" w:rsidP="00272BCA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D08A0">
              <w:rPr>
                <w:b/>
                <w:sz w:val="24"/>
                <w:szCs w:val="24"/>
                <w:lang w:val="en-US"/>
              </w:rPr>
              <w:t>Loading pump flow rate (ml/min)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45D6C" w:rsidRPr="00BD08A0" w:rsidRDefault="00C45D6C" w:rsidP="00272BCA">
            <w:pPr>
              <w:jc w:val="right"/>
              <w:rPr>
                <w:b/>
                <w:sz w:val="24"/>
                <w:szCs w:val="24"/>
              </w:rPr>
            </w:pPr>
            <w:r w:rsidRPr="00BD08A0">
              <w:rPr>
                <w:b/>
                <w:sz w:val="24"/>
                <w:szCs w:val="24"/>
              </w:rPr>
              <w:t>%A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45D6C" w:rsidRPr="00BD08A0" w:rsidRDefault="00C45D6C" w:rsidP="00272BCA">
            <w:pPr>
              <w:jc w:val="right"/>
              <w:rPr>
                <w:b/>
                <w:sz w:val="24"/>
                <w:szCs w:val="24"/>
              </w:rPr>
            </w:pPr>
            <w:r w:rsidRPr="00BD08A0">
              <w:rPr>
                <w:b/>
                <w:sz w:val="24"/>
                <w:szCs w:val="24"/>
              </w:rPr>
              <w:t>%B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45D6C" w:rsidRPr="00BD08A0" w:rsidRDefault="00C45D6C" w:rsidP="00272BCA">
            <w:pPr>
              <w:jc w:val="right"/>
              <w:rPr>
                <w:b/>
                <w:sz w:val="24"/>
                <w:szCs w:val="24"/>
              </w:rPr>
            </w:pPr>
            <w:r w:rsidRPr="00BD08A0">
              <w:rPr>
                <w:b/>
                <w:sz w:val="24"/>
                <w:szCs w:val="24"/>
              </w:rPr>
              <w:t>%C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45D6C" w:rsidRPr="00BD08A0" w:rsidRDefault="00C45D6C" w:rsidP="00272BCA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D08A0">
              <w:rPr>
                <w:b/>
                <w:sz w:val="24"/>
                <w:szCs w:val="24"/>
                <w:lang w:val="en-US"/>
              </w:rPr>
              <w:t>Eluting pump flow rate (ml/min)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45D6C" w:rsidRPr="00BD08A0" w:rsidRDefault="00C45D6C" w:rsidP="00272BCA">
            <w:pPr>
              <w:jc w:val="right"/>
              <w:rPr>
                <w:b/>
                <w:sz w:val="24"/>
                <w:szCs w:val="24"/>
              </w:rPr>
            </w:pPr>
            <w:r w:rsidRPr="00BD08A0">
              <w:rPr>
                <w:b/>
                <w:sz w:val="24"/>
                <w:szCs w:val="24"/>
              </w:rPr>
              <w:t>%A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45D6C" w:rsidRPr="00BD08A0" w:rsidRDefault="00C45D6C" w:rsidP="00272BCA">
            <w:pPr>
              <w:jc w:val="right"/>
              <w:rPr>
                <w:b/>
                <w:sz w:val="24"/>
                <w:szCs w:val="24"/>
              </w:rPr>
            </w:pPr>
            <w:r w:rsidRPr="00BD08A0">
              <w:rPr>
                <w:b/>
                <w:sz w:val="24"/>
                <w:szCs w:val="24"/>
              </w:rPr>
              <w:t>%B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45D6C" w:rsidRPr="00BD08A0" w:rsidRDefault="00C45D6C" w:rsidP="00272BCA">
            <w:pPr>
              <w:jc w:val="right"/>
              <w:rPr>
                <w:b/>
                <w:sz w:val="24"/>
                <w:szCs w:val="24"/>
              </w:rPr>
            </w:pPr>
            <w:r w:rsidRPr="00BD08A0">
              <w:rPr>
                <w:b/>
                <w:sz w:val="24"/>
                <w:szCs w:val="24"/>
              </w:rPr>
              <w:t>%C</w:t>
            </w:r>
          </w:p>
        </w:tc>
      </w:tr>
      <w:tr w:rsidR="00C45D6C" w:rsidRPr="00BD08A0" w:rsidTr="00272BCA">
        <w:trPr>
          <w:trHeight w:val="340"/>
        </w:trPr>
        <w:tc>
          <w:tcPr>
            <w:tcW w:w="1023" w:type="dxa"/>
            <w:tcBorders>
              <w:top w:val="single" w:sz="4" w:space="0" w:color="auto"/>
            </w:tcBorders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0</w:t>
            </w:r>
          </w:p>
        </w:tc>
        <w:tc>
          <w:tcPr>
            <w:tcW w:w="1023" w:type="dxa"/>
            <w:tcBorders>
              <w:top w:val="single" w:sz="4" w:space="0" w:color="auto"/>
            </w:tcBorders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</w:tcBorders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99</w:t>
            </w:r>
          </w:p>
        </w:tc>
        <w:tc>
          <w:tcPr>
            <w:tcW w:w="1023" w:type="dxa"/>
            <w:tcBorders>
              <w:top w:val="single" w:sz="4" w:space="0" w:color="auto"/>
            </w:tcBorders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</w:tcBorders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</w:tcBorders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0.3</w:t>
            </w:r>
          </w:p>
        </w:tc>
        <w:tc>
          <w:tcPr>
            <w:tcW w:w="1024" w:type="dxa"/>
            <w:tcBorders>
              <w:top w:val="single" w:sz="4" w:space="0" w:color="auto"/>
            </w:tcBorders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99</w:t>
            </w:r>
          </w:p>
        </w:tc>
        <w:tc>
          <w:tcPr>
            <w:tcW w:w="1024" w:type="dxa"/>
            <w:tcBorders>
              <w:top w:val="single" w:sz="4" w:space="0" w:color="auto"/>
            </w:tcBorders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</w:tcBorders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-</w:t>
            </w:r>
          </w:p>
        </w:tc>
      </w:tr>
      <w:tr w:rsidR="00C45D6C" w:rsidRPr="00BD08A0" w:rsidTr="00272BCA">
        <w:trPr>
          <w:trHeight w:val="340"/>
        </w:trPr>
        <w:tc>
          <w:tcPr>
            <w:tcW w:w="1023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0.50</w:t>
            </w:r>
          </w:p>
        </w:tc>
        <w:tc>
          <w:tcPr>
            <w:tcW w:w="1023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0.2</w:t>
            </w:r>
          </w:p>
        </w:tc>
        <w:tc>
          <w:tcPr>
            <w:tcW w:w="1023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99</w:t>
            </w:r>
          </w:p>
        </w:tc>
        <w:tc>
          <w:tcPr>
            <w:tcW w:w="1023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1</w:t>
            </w:r>
          </w:p>
        </w:tc>
        <w:tc>
          <w:tcPr>
            <w:tcW w:w="1024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-</w:t>
            </w:r>
          </w:p>
        </w:tc>
        <w:tc>
          <w:tcPr>
            <w:tcW w:w="1024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0.3</w:t>
            </w:r>
          </w:p>
        </w:tc>
        <w:tc>
          <w:tcPr>
            <w:tcW w:w="1024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99</w:t>
            </w:r>
          </w:p>
        </w:tc>
        <w:tc>
          <w:tcPr>
            <w:tcW w:w="1024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1</w:t>
            </w:r>
          </w:p>
        </w:tc>
        <w:tc>
          <w:tcPr>
            <w:tcW w:w="1024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-</w:t>
            </w:r>
          </w:p>
        </w:tc>
      </w:tr>
      <w:tr w:rsidR="00C45D6C" w:rsidRPr="00BD08A0" w:rsidTr="00272BCA">
        <w:trPr>
          <w:trHeight w:val="340"/>
        </w:trPr>
        <w:tc>
          <w:tcPr>
            <w:tcW w:w="1023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1.33</w:t>
            </w:r>
          </w:p>
        </w:tc>
        <w:tc>
          <w:tcPr>
            <w:tcW w:w="1023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2</w:t>
            </w:r>
          </w:p>
        </w:tc>
        <w:tc>
          <w:tcPr>
            <w:tcW w:w="1023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-</w:t>
            </w:r>
          </w:p>
        </w:tc>
        <w:tc>
          <w:tcPr>
            <w:tcW w:w="1023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-</w:t>
            </w:r>
          </w:p>
        </w:tc>
        <w:tc>
          <w:tcPr>
            <w:tcW w:w="1024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100</w:t>
            </w:r>
          </w:p>
        </w:tc>
        <w:tc>
          <w:tcPr>
            <w:tcW w:w="1024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0.3</w:t>
            </w:r>
          </w:p>
        </w:tc>
        <w:tc>
          <w:tcPr>
            <w:tcW w:w="1024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50</w:t>
            </w:r>
          </w:p>
        </w:tc>
        <w:tc>
          <w:tcPr>
            <w:tcW w:w="1024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50</w:t>
            </w:r>
          </w:p>
        </w:tc>
        <w:tc>
          <w:tcPr>
            <w:tcW w:w="1024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-</w:t>
            </w:r>
          </w:p>
        </w:tc>
      </w:tr>
      <w:tr w:rsidR="00C45D6C" w:rsidRPr="00BD08A0" w:rsidTr="00272BCA">
        <w:trPr>
          <w:trHeight w:val="340"/>
        </w:trPr>
        <w:tc>
          <w:tcPr>
            <w:tcW w:w="1023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3.67</w:t>
            </w:r>
          </w:p>
        </w:tc>
        <w:tc>
          <w:tcPr>
            <w:tcW w:w="1023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1</w:t>
            </w:r>
          </w:p>
        </w:tc>
        <w:tc>
          <w:tcPr>
            <w:tcW w:w="1023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60</w:t>
            </w:r>
          </w:p>
        </w:tc>
        <w:tc>
          <w:tcPr>
            <w:tcW w:w="1023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40</w:t>
            </w:r>
          </w:p>
        </w:tc>
        <w:tc>
          <w:tcPr>
            <w:tcW w:w="1024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-</w:t>
            </w:r>
          </w:p>
        </w:tc>
        <w:tc>
          <w:tcPr>
            <w:tcW w:w="1024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0.3</w:t>
            </w:r>
          </w:p>
        </w:tc>
        <w:tc>
          <w:tcPr>
            <w:tcW w:w="1024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50</w:t>
            </w:r>
          </w:p>
        </w:tc>
        <w:tc>
          <w:tcPr>
            <w:tcW w:w="1024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50</w:t>
            </w:r>
          </w:p>
        </w:tc>
        <w:tc>
          <w:tcPr>
            <w:tcW w:w="1024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-</w:t>
            </w:r>
          </w:p>
        </w:tc>
      </w:tr>
      <w:tr w:rsidR="00C45D6C" w:rsidRPr="00BD08A0" w:rsidTr="00272BCA">
        <w:trPr>
          <w:trHeight w:val="340"/>
        </w:trPr>
        <w:tc>
          <w:tcPr>
            <w:tcW w:w="1023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5.33</w:t>
            </w:r>
          </w:p>
        </w:tc>
        <w:tc>
          <w:tcPr>
            <w:tcW w:w="1023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2</w:t>
            </w:r>
          </w:p>
        </w:tc>
        <w:tc>
          <w:tcPr>
            <w:tcW w:w="1023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60</w:t>
            </w:r>
          </w:p>
        </w:tc>
        <w:tc>
          <w:tcPr>
            <w:tcW w:w="1023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40</w:t>
            </w:r>
          </w:p>
        </w:tc>
        <w:tc>
          <w:tcPr>
            <w:tcW w:w="1024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-</w:t>
            </w:r>
          </w:p>
        </w:tc>
        <w:tc>
          <w:tcPr>
            <w:tcW w:w="1024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0.4</w:t>
            </w:r>
          </w:p>
        </w:tc>
        <w:tc>
          <w:tcPr>
            <w:tcW w:w="1024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-</w:t>
            </w:r>
          </w:p>
        </w:tc>
        <w:tc>
          <w:tcPr>
            <w:tcW w:w="1024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-</w:t>
            </w:r>
          </w:p>
        </w:tc>
        <w:tc>
          <w:tcPr>
            <w:tcW w:w="1024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100</w:t>
            </w:r>
          </w:p>
        </w:tc>
      </w:tr>
      <w:tr w:rsidR="00C45D6C" w:rsidRPr="00BD08A0" w:rsidTr="00272BCA">
        <w:trPr>
          <w:trHeight w:val="340"/>
        </w:trPr>
        <w:tc>
          <w:tcPr>
            <w:tcW w:w="1023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6.17</w:t>
            </w:r>
          </w:p>
        </w:tc>
        <w:tc>
          <w:tcPr>
            <w:tcW w:w="1023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2</w:t>
            </w:r>
          </w:p>
        </w:tc>
        <w:tc>
          <w:tcPr>
            <w:tcW w:w="1023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60</w:t>
            </w:r>
          </w:p>
        </w:tc>
        <w:tc>
          <w:tcPr>
            <w:tcW w:w="1023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40</w:t>
            </w:r>
          </w:p>
        </w:tc>
        <w:tc>
          <w:tcPr>
            <w:tcW w:w="1024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-</w:t>
            </w:r>
          </w:p>
        </w:tc>
        <w:tc>
          <w:tcPr>
            <w:tcW w:w="1024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0.3</w:t>
            </w:r>
          </w:p>
        </w:tc>
        <w:tc>
          <w:tcPr>
            <w:tcW w:w="1024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-</w:t>
            </w:r>
          </w:p>
        </w:tc>
        <w:tc>
          <w:tcPr>
            <w:tcW w:w="1024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100</w:t>
            </w:r>
          </w:p>
        </w:tc>
        <w:tc>
          <w:tcPr>
            <w:tcW w:w="1024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-</w:t>
            </w:r>
          </w:p>
        </w:tc>
      </w:tr>
      <w:tr w:rsidR="00C45D6C" w:rsidRPr="00BD08A0" w:rsidTr="00272BCA">
        <w:trPr>
          <w:trHeight w:val="340"/>
        </w:trPr>
        <w:tc>
          <w:tcPr>
            <w:tcW w:w="1023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6.50</w:t>
            </w:r>
          </w:p>
        </w:tc>
        <w:tc>
          <w:tcPr>
            <w:tcW w:w="1023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2</w:t>
            </w:r>
          </w:p>
        </w:tc>
        <w:tc>
          <w:tcPr>
            <w:tcW w:w="1023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99</w:t>
            </w:r>
          </w:p>
        </w:tc>
        <w:tc>
          <w:tcPr>
            <w:tcW w:w="1023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1</w:t>
            </w:r>
          </w:p>
        </w:tc>
        <w:tc>
          <w:tcPr>
            <w:tcW w:w="1024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-</w:t>
            </w:r>
          </w:p>
        </w:tc>
        <w:tc>
          <w:tcPr>
            <w:tcW w:w="1024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0.3</w:t>
            </w:r>
          </w:p>
        </w:tc>
        <w:tc>
          <w:tcPr>
            <w:tcW w:w="1024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99</w:t>
            </w:r>
          </w:p>
        </w:tc>
        <w:tc>
          <w:tcPr>
            <w:tcW w:w="1024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1</w:t>
            </w:r>
          </w:p>
        </w:tc>
        <w:tc>
          <w:tcPr>
            <w:tcW w:w="1024" w:type="dxa"/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-</w:t>
            </w:r>
          </w:p>
        </w:tc>
      </w:tr>
      <w:tr w:rsidR="00C45D6C" w:rsidRPr="00BD08A0" w:rsidTr="00272BCA">
        <w:trPr>
          <w:trHeight w:val="340"/>
        </w:trPr>
        <w:tc>
          <w:tcPr>
            <w:tcW w:w="1023" w:type="dxa"/>
            <w:tcBorders>
              <w:bottom w:val="single" w:sz="4" w:space="0" w:color="auto"/>
            </w:tcBorders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8.50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2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99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1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-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0.3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99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1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:rsidR="00C45D6C" w:rsidRPr="00BD08A0" w:rsidRDefault="00C45D6C" w:rsidP="00272BCA">
            <w:pPr>
              <w:jc w:val="right"/>
              <w:rPr>
                <w:sz w:val="24"/>
                <w:szCs w:val="24"/>
              </w:rPr>
            </w:pPr>
            <w:r w:rsidRPr="00BD08A0">
              <w:rPr>
                <w:sz w:val="24"/>
                <w:szCs w:val="24"/>
              </w:rPr>
              <w:t>-</w:t>
            </w:r>
          </w:p>
        </w:tc>
      </w:tr>
    </w:tbl>
    <w:p w:rsidR="00C45D6C" w:rsidRPr="00BD08A0" w:rsidRDefault="00C45D6C" w:rsidP="00C45D6C">
      <w:pPr>
        <w:spacing w:line="480" w:lineRule="auto"/>
        <w:rPr>
          <w:sz w:val="24"/>
          <w:lang w:val="en-US"/>
        </w:rPr>
      </w:pPr>
    </w:p>
    <w:p w:rsidR="00C45D6C" w:rsidRPr="00BD08A0" w:rsidRDefault="00C45D6C" w:rsidP="00C45D6C">
      <w:pPr>
        <w:spacing w:line="480" w:lineRule="auto"/>
        <w:rPr>
          <w:sz w:val="24"/>
          <w:lang w:val="en-US"/>
        </w:rPr>
      </w:pPr>
    </w:p>
    <w:p w:rsidR="00C45D6C" w:rsidRPr="00BD08A0" w:rsidRDefault="00C45D6C" w:rsidP="00C45D6C">
      <w:pPr>
        <w:spacing w:line="480" w:lineRule="auto"/>
        <w:rPr>
          <w:sz w:val="24"/>
          <w:lang w:val="en-US"/>
        </w:rPr>
      </w:pPr>
    </w:p>
    <w:p w:rsidR="00C45D6C" w:rsidRPr="004B785C" w:rsidRDefault="00C45D6C" w:rsidP="00C45D6C">
      <w:pPr>
        <w:rPr>
          <w:lang w:val="en-US"/>
        </w:rPr>
      </w:pPr>
    </w:p>
    <w:p w:rsidR="00CF089C" w:rsidRPr="00B67794" w:rsidRDefault="00CF089C" w:rsidP="00B67794"/>
    <w:sectPr w:rsidR="00CF089C" w:rsidRPr="00B67794" w:rsidSect="00C335A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20F18"/>
    <w:multiLevelType w:val="hybridMultilevel"/>
    <w:tmpl w:val="97D2D866"/>
    <w:lvl w:ilvl="0" w:tplc="08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5431B11"/>
    <w:multiLevelType w:val="hybridMultilevel"/>
    <w:tmpl w:val="2DC2C984"/>
    <w:lvl w:ilvl="0" w:tplc="79F8C092">
      <w:start w:val="1"/>
      <w:numFmt w:val="bullet"/>
      <w:pStyle w:val="Listenabsatz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/>
  <w:rsids>
    <w:rsidRoot w:val="00C45D6C"/>
    <w:rsid w:val="0001583F"/>
    <w:rsid w:val="0006529D"/>
    <w:rsid w:val="004C0CE7"/>
    <w:rsid w:val="004C6876"/>
    <w:rsid w:val="00612C16"/>
    <w:rsid w:val="00730388"/>
    <w:rsid w:val="00B164D2"/>
    <w:rsid w:val="00B30DA1"/>
    <w:rsid w:val="00B67794"/>
    <w:rsid w:val="00B77D61"/>
    <w:rsid w:val="00C45D6C"/>
    <w:rsid w:val="00CF089C"/>
    <w:rsid w:val="00DF13C5"/>
    <w:rsid w:val="00F55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45D6C"/>
    <w:pPr>
      <w:spacing w:after="0" w:line="240" w:lineRule="auto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30DA1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30DA1"/>
    <w:pPr>
      <w:keepNext/>
      <w:keepLines/>
      <w:spacing w:before="20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30DA1"/>
    <w:pPr>
      <w:keepNext/>
      <w:keepLines/>
      <w:spacing w:before="200"/>
      <w:outlineLvl w:val="2"/>
    </w:pPr>
    <w:rPr>
      <w:rFonts w:eastAsiaTheme="majorEastAsia" w:cstheme="majorBidi"/>
      <w:b/>
      <w:bCs/>
      <w:sz w:val="22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B30DA1"/>
    <w:pPr>
      <w:keepNext/>
      <w:keepLines/>
      <w:spacing w:before="20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B30DA1"/>
    <w:pPr>
      <w:keepNext/>
      <w:keepLines/>
      <w:spacing w:before="20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rsid w:val="00B30DA1"/>
    <w:pPr>
      <w:keepNext/>
      <w:keepLines/>
      <w:spacing w:before="200"/>
      <w:outlineLvl w:val="5"/>
    </w:pPr>
    <w:rPr>
      <w:rFonts w:eastAsiaTheme="majorEastAsia" w:cstheme="majorBidi"/>
      <w:b/>
      <w:iCs/>
      <w:color w:val="1D4D67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30DA1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30DA1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B30DA1"/>
    <w:rPr>
      <w:rFonts w:ascii="Arial" w:eastAsiaTheme="majorEastAsia" w:hAnsi="Arial" w:cstheme="majorBidi"/>
      <w:b/>
      <w:bCs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30DA1"/>
    <w:rPr>
      <w:rFonts w:ascii="Arial" w:eastAsiaTheme="majorEastAsia" w:hAnsi="Arial" w:cstheme="majorBidi"/>
      <w:b/>
      <w:bCs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B30DA1"/>
    <w:rPr>
      <w:rFonts w:ascii="Arial" w:eastAsiaTheme="majorEastAsia" w:hAnsi="Arial" w:cstheme="majorBidi"/>
      <w:b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30DA1"/>
    <w:rPr>
      <w:rFonts w:ascii="Arial" w:eastAsiaTheme="majorEastAsia" w:hAnsi="Arial" w:cstheme="majorBidi"/>
      <w:b/>
      <w:iCs/>
      <w:color w:val="1D4D67" w:themeColor="accent1" w:themeShade="7F"/>
      <w:sz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B30DA1"/>
    <w:pPr>
      <w:spacing w:after="300"/>
      <w:contextualSpacing/>
    </w:pPr>
    <w:rPr>
      <w:rFonts w:eastAsiaTheme="majorEastAsia" w:cstheme="majorBidi"/>
      <w:b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B30DA1"/>
    <w:rPr>
      <w:rFonts w:ascii="Arial" w:eastAsiaTheme="majorEastAsia" w:hAnsi="Arial" w:cstheme="majorBidi"/>
      <w:b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rsid w:val="00B30DA1"/>
    <w:pPr>
      <w:numPr>
        <w:ilvl w:val="1"/>
      </w:numPr>
    </w:pPr>
    <w:rPr>
      <w:rFonts w:eastAsiaTheme="majorEastAsia" w:cstheme="majorBidi"/>
      <w:b/>
      <w:iCs/>
      <w:spacing w:val="15"/>
      <w:sz w:val="40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30DA1"/>
    <w:rPr>
      <w:rFonts w:ascii="Arial" w:eastAsiaTheme="majorEastAsia" w:hAnsi="Arial" w:cstheme="majorBidi"/>
      <w:b/>
      <w:iCs/>
      <w:spacing w:val="15"/>
      <w:sz w:val="40"/>
      <w:szCs w:val="24"/>
    </w:rPr>
  </w:style>
  <w:style w:type="paragraph" w:styleId="Listenabsatz">
    <w:name w:val="List Paragraph"/>
    <w:basedOn w:val="Standard"/>
    <w:uiPriority w:val="34"/>
    <w:qFormat/>
    <w:rsid w:val="00CF089C"/>
    <w:pPr>
      <w:numPr>
        <w:numId w:val="2"/>
      </w:numPr>
      <w:ind w:left="357" w:hanging="357"/>
      <w:contextualSpacing/>
    </w:pPr>
  </w:style>
  <w:style w:type="table" w:customStyle="1" w:styleId="Tabellenraster1">
    <w:name w:val="Tabellenraster1"/>
    <w:basedOn w:val="NormaleTabelle"/>
    <w:next w:val="Tabellengitternetz"/>
    <w:uiPriority w:val="59"/>
    <w:rsid w:val="00C45D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lengitternetz">
    <w:name w:val="Table Grid"/>
    <w:basedOn w:val="NormaleTabelle"/>
    <w:uiPriority w:val="59"/>
    <w:rsid w:val="00C45D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bsatz-Standardschriftart"/>
    <w:uiPriority w:val="99"/>
    <w:unhideWhenUsed/>
    <w:rsid w:val="0073038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45D6C"/>
    <w:pPr>
      <w:spacing w:after="0" w:line="240" w:lineRule="auto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30DA1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30DA1"/>
    <w:pPr>
      <w:keepNext/>
      <w:keepLines/>
      <w:spacing w:before="20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30DA1"/>
    <w:pPr>
      <w:keepNext/>
      <w:keepLines/>
      <w:spacing w:before="200"/>
      <w:outlineLvl w:val="2"/>
    </w:pPr>
    <w:rPr>
      <w:rFonts w:eastAsiaTheme="majorEastAsia" w:cstheme="majorBidi"/>
      <w:b/>
      <w:bCs/>
      <w:sz w:val="22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B30DA1"/>
    <w:pPr>
      <w:keepNext/>
      <w:keepLines/>
      <w:spacing w:before="20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B30DA1"/>
    <w:pPr>
      <w:keepNext/>
      <w:keepLines/>
      <w:spacing w:before="20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rsid w:val="00B30DA1"/>
    <w:pPr>
      <w:keepNext/>
      <w:keepLines/>
      <w:spacing w:before="200"/>
      <w:outlineLvl w:val="5"/>
    </w:pPr>
    <w:rPr>
      <w:rFonts w:eastAsiaTheme="majorEastAsia" w:cstheme="majorBidi"/>
      <w:b/>
      <w:iCs/>
      <w:color w:val="1D4D67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30DA1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30DA1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B30DA1"/>
    <w:rPr>
      <w:rFonts w:ascii="Arial" w:eastAsiaTheme="majorEastAsia" w:hAnsi="Arial" w:cstheme="majorBidi"/>
      <w:b/>
      <w:bCs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30DA1"/>
    <w:rPr>
      <w:rFonts w:ascii="Arial" w:eastAsiaTheme="majorEastAsia" w:hAnsi="Arial" w:cstheme="majorBidi"/>
      <w:b/>
      <w:bCs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B30DA1"/>
    <w:rPr>
      <w:rFonts w:ascii="Arial" w:eastAsiaTheme="majorEastAsia" w:hAnsi="Arial" w:cstheme="majorBidi"/>
      <w:b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30DA1"/>
    <w:rPr>
      <w:rFonts w:ascii="Arial" w:eastAsiaTheme="majorEastAsia" w:hAnsi="Arial" w:cstheme="majorBidi"/>
      <w:b/>
      <w:iCs/>
      <w:color w:val="1D4D67" w:themeColor="accent1" w:themeShade="7F"/>
      <w:sz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B30DA1"/>
    <w:pPr>
      <w:spacing w:after="300"/>
      <w:contextualSpacing/>
    </w:pPr>
    <w:rPr>
      <w:rFonts w:eastAsiaTheme="majorEastAsia" w:cstheme="majorBidi"/>
      <w:b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B30DA1"/>
    <w:rPr>
      <w:rFonts w:ascii="Arial" w:eastAsiaTheme="majorEastAsia" w:hAnsi="Arial" w:cstheme="majorBidi"/>
      <w:b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rsid w:val="00B30DA1"/>
    <w:pPr>
      <w:numPr>
        <w:ilvl w:val="1"/>
      </w:numPr>
    </w:pPr>
    <w:rPr>
      <w:rFonts w:eastAsiaTheme="majorEastAsia" w:cstheme="majorBidi"/>
      <w:b/>
      <w:iCs/>
      <w:spacing w:val="15"/>
      <w:sz w:val="40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30DA1"/>
    <w:rPr>
      <w:rFonts w:ascii="Arial" w:eastAsiaTheme="majorEastAsia" w:hAnsi="Arial" w:cstheme="majorBidi"/>
      <w:b/>
      <w:iCs/>
      <w:spacing w:val="15"/>
      <w:sz w:val="40"/>
      <w:szCs w:val="24"/>
    </w:rPr>
  </w:style>
  <w:style w:type="paragraph" w:styleId="Listenabsatz">
    <w:name w:val="List Paragraph"/>
    <w:basedOn w:val="Standard"/>
    <w:uiPriority w:val="34"/>
    <w:qFormat/>
    <w:rsid w:val="00CF089C"/>
    <w:pPr>
      <w:numPr>
        <w:numId w:val="2"/>
      </w:numPr>
      <w:ind w:left="357" w:hanging="357"/>
      <w:contextualSpacing/>
    </w:pPr>
  </w:style>
  <w:style w:type="table" w:customStyle="1" w:styleId="Tabellenraster1">
    <w:name w:val="Tabellenraster1"/>
    <w:basedOn w:val="NormaleTabelle"/>
    <w:next w:val="Tabellenraster"/>
    <w:uiPriority w:val="59"/>
    <w:rsid w:val="00C45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59"/>
    <w:rsid w:val="00C45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x.doi.org/10.1515/cclm-2014-009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USZ">
  <a:themeElements>
    <a:clrScheme name="USZ">
      <a:dk1>
        <a:sysClr val="windowText" lastClr="000000"/>
      </a:dk1>
      <a:lt1>
        <a:sysClr val="window" lastClr="FFFFFF"/>
      </a:lt1>
      <a:dk2>
        <a:srgbClr val="0057A2"/>
      </a:dk2>
      <a:lt2>
        <a:srgbClr val="E5EAED"/>
      </a:lt2>
      <a:accent1>
        <a:srgbClr val="419BC9"/>
      </a:accent1>
      <a:accent2>
        <a:srgbClr val="86929A"/>
      </a:accent2>
      <a:accent3>
        <a:srgbClr val="FABC34"/>
      </a:accent3>
      <a:accent4>
        <a:srgbClr val="478B7D"/>
      </a:accent4>
      <a:accent5>
        <a:srgbClr val="A64633"/>
      </a:accent5>
      <a:accent6>
        <a:srgbClr val="8F699C"/>
      </a:accent6>
      <a:hlink>
        <a:srgbClr val="0000FF"/>
      </a:hlink>
      <a:folHlink>
        <a:srgbClr val="800080"/>
      </a:folHlink>
    </a:clrScheme>
    <a:fontScheme name="USZ_Powerpoint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UniversitätsSpital Zürich</Company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Günther Viola</dc:creator>
  <cp:lastModifiedBy>heja</cp:lastModifiedBy>
  <cp:revision>2</cp:revision>
  <dcterms:created xsi:type="dcterms:W3CDTF">2015-09-11T09:32:00Z</dcterms:created>
  <dcterms:modified xsi:type="dcterms:W3CDTF">2015-09-11T09:32:00Z</dcterms:modified>
</cp:coreProperties>
</file>