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33" w:rsidRDefault="00331A33" w:rsidP="00331A33">
      <w:pPr>
        <w:tabs>
          <w:tab w:val="left" w:pos="0"/>
        </w:tabs>
        <w:spacing w:line="480" w:lineRule="auto"/>
      </w:pPr>
      <w:r>
        <w:t>DOI: </w:t>
      </w:r>
      <w:hyperlink r:id="rId4" w:history="1">
        <w:r>
          <w:rPr>
            <w:rStyle w:val="Hyperlink"/>
          </w:rPr>
          <w:t>10.1515/cclm-2014-1084</w:t>
        </w:r>
      </w:hyperlink>
    </w:p>
    <w:p w:rsidR="00331A33" w:rsidRDefault="00331A33" w:rsidP="00331A33">
      <w:pPr>
        <w:tabs>
          <w:tab w:val="left" w:pos="0"/>
        </w:tabs>
        <w:spacing w:line="480" w:lineRule="auto"/>
      </w:pPr>
    </w:p>
    <w:p w:rsidR="00331A33" w:rsidRPr="00B84ED4" w:rsidRDefault="00331A33" w:rsidP="00331A33">
      <w:pPr>
        <w:tabs>
          <w:tab w:val="left" w:pos="0"/>
        </w:tabs>
        <w:spacing w:line="480" w:lineRule="auto"/>
      </w:pPr>
      <w:r w:rsidRPr="00B84ED4">
        <w:t>Supplemental Figure: Calibration plot of the model with traditional risk factors and BNP peak.</w:t>
      </w:r>
    </w:p>
    <w:p w:rsidR="00F43A85" w:rsidRDefault="00F43A85"/>
    <w:sectPr w:rsidR="00F43A85" w:rsidSect="00F43A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331A33"/>
    <w:rsid w:val="00331A33"/>
    <w:rsid w:val="00E67522"/>
    <w:rsid w:val="00F4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1A3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en-GB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31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515/cclm-2014-0482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heja</dc:creator>
  <cp:lastModifiedBy>heja</cp:lastModifiedBy>
  <cp:revision>1</cp:revision>
  <dcterms:created xsi:type="dcterms:W3CDTF">2015-03-18T08:24:00Z</dcterms:created>
  <dcterms:modified xsi:type="dcterms:W3CDTF">2015-03-18T09:16:00Z</dcterms:modified>
</cp:coreProperties>
</file>