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8DF" w:rsidRPr="004D48A6" w:rsidRDefault="00C638DF" w:rsidP="00C638DF">
      <w:pPr>
        <w:rPr>
          <w:rFonts w:ascii="Times New Roman" w:hAnsi="Times New Roman" w:cs="Times New Roman"/>
          <w:sz w:val="24"/>
          <w:szCs w:val="24"/>
          <w:lang w:val="en-GB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Supplemental Table 1 </w:t>
      </w:r>
      <w:r w:rsidRPr="004D48A6">
        <w:rPr>
          <w:rFonts w:ascii="Times New Roman" w:hAnsi="Times New Roman" w:cs="Times New Roman"/>
          <w:sz w:val="24"/>
          <w:szCs w:val="24"/>
          <w:lang w:val="en-GB"/>
        </w:rPr>
        <w:t>Inter-instrument comparison of required whole blood volume for analysis of complete blood count</w:t>
      </w:r>
    </w:p>
    <w:tbl>
      <w:tblPr>
        <w:tblStyle w:val="Tabellenraster"/>
        <w:tblW w:w="78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1"/>
        <w:gridCol w:w="1585"/>
        <w:gridCol w:w="1585"/>
        <w:gridCol w:w="1579"/>
        <w:gridCol w:w="1585"/>
      </w:tblGrid>
      <w:tr w:rsidR="00C638DF" w:rsidRPr="00463D25" w:rsidTr="00912AB4">
        <w:tc>
          <w:tcPr>
            <w:tcW w:w="1491" w:type="dxa"/>
          </w:tcPr>
          <w:p w:rsidR="00C638DF" w:rsidRPr="00CC1A40" w:rsidRDefault="00C638DF" w:rsidP="00912AB4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6334" w:type="dxa"/>
            <w:gridSpan w:val="4"/>
            <w:tcBorders>
              <w:bottom w:val="single" w:sz="12" w:space="0" w:color="auto"/>
            </w:tcBorders>
          </w:tcPr>
          <w:p w:rsidR="00C638DF" w:rsidRPr="00CC1A40" w:rsidRDefault="00C638DF" w:rsidP="00912AB4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CC1A40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Minimal volumes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(µL) generating results when using different tubes</w:t>
            </w:r>
          </w:p>
        </w:tc>
      </w:tr>
      <w:tr w:rsidR="00C638DF" w:rsidRPr="00CC1A40" w:rsidTr="00912AB4">
        <w:tc>
          <w:tcPr>
            <w:tcW w:w="1491" w:type="dxa"/>
            <w:tcBorders>
              <w:bottom w:val="single" w:sz="12" w:space="0" w:color="auto"/>
            </w:tcBorders>
            <w:vAlign w:val="bottom"/>
          </w:tcPr>
          <w:p w:rsidR="00C638DF" w:rsidRPr="00CC1A40" w:rsidRDefault="00C638DF" w:rsidP="00912AB4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CC1A40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Instrument</w:t>
            </w:r>
          </w:p>
        </w:tc>
        <w:tc>
          <w:tcPr>
            <w:tcW w:w="1585" w:type="dxa"/>
            <w:tcBorders>
              <w:top w:val="single" w:sz="12" w:space="0" w:color="auto"/>
              <w:bottom w:val="single" w:sz="12" w:space="0" w:color="auto"/>
            </w:tcBorders>
          </w:tcPr>
          <w:p w:rsidR="00C638DF" w:rsidRPr="00CC1A40" w:rsidRDefault="00C638DF" w:rsidP="00912AB4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CC1A40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2.7 mL </w:t>
            </w:r>
            <w:r w:rsidRPr="00CC1A40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br/>
            </w:r>
            <w:proofErr w:type="spellStart"/>
            <w:r w:rsidRPr="00CC1A40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Sarstedt</w:t>
            </w:r>
            <w:proofErr w:type="spellEnd"/>
            <w:r w:rsidRPr="00CC1A40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tube</w:t>
            </w:r>
          </w:p>
        </w:tc>
        <w:tc>
          <w:tcPr>
            <w:tcW w:w="1585" w:type="dxa"/>
            <w:tcBorders>
              <w:top w:val="single" w:sz="12" w:space="0" w:color="auto"/>
              <w:bottom w:val="single" w:sz="12" w:space="0" w:color="auto"/>
            </w:tcBorders>
          </w:tcPr>
          <w:p w:rsidR="00C638DF" w:rsidRPr="00CC1A40" w:rsidRDefault="00C638DF" w:rsidP="00912AB4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CC1A40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1.2 mL </w:t>
            </w:r>
            <w:r w:rsidRPr="00CC1A40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br/>
            </w:r>
            <w:proofErr w:type="spellStart"/>
            <w:r w:rsidRPr="00CC1A40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Sarstedt</w:t>
            </w:r>
            <w:proofErr w:type="spellEnd"/>
            <w:r w:rsidRPr="00CC1A40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tube</w:t>
            </w:r>
          </w:p>
        </w:tc>
        <w:tc>
          <w:tcPr>
            <w:tcW w:w="1579" w:type="dxa"/>
            <w:tcBorders>
              <w:top w:val="single" w:sz="12" w:space="0" w:color="auto"/>
              <w:bottom w:val="single" w:sz="12" w:space="0" w:color="auto"/>
            </w:tcBorders>
          </w:tcPr>
          <w:p w:rsidR="00C638DF" w:rsidRPr="00CC1A40" w:rsidRDefault="00C638DF" w:rsidP="00912AB4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1A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1.0 </w:t>
            </w:r>
            <w:proofErr w:type="spellStart"/>
            <w:r w:rsidRPr="00CC1A40">
              <w:rPr>
                <w:rFonts w:ascii="Times New Roman" w:hAnsi="Times New Roman"/>
                <w:b/>
                <w:bCs/>
                <w:sz w:val="20"/>
                <w:szCs w:val="20"/>
              </w:rPr>
              <w:t>mL</w:t>
            </w:r>
            <w:proofErr w:type="spellEnd"/>
            <w:r w:rsidRPr="00CC1A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Siemens EZEE-nest </w:t>
            </w:r>
            <w:proofErr w:type="spellStart"/>
            <w:r w:rsidRPr="00CC1A40">
              <w:rPr>
                <w:rFonts w:ascii="Times New Roman" w:hAnsi="Times New Roman"/>
                <w:b/>
                <w:bCs/>
                <w:sz w:val="20"/>
                <w:szCs w:val="20"/>
              </w:rPr>
              <w:t>tube</w:t>
            </w:r>
            <w:proofErr w:type="spellEnd"/>
          </w:p>
        </w:tc>
        <w:tc>
          <w:tcPr>
            <w:tcW w:w="1585" w:type="dxa"/>
            <w:tcBorders>
              <w:top w:val="single" w:sz="12" w:space="0" w:color="auto"/>
              <w:bottom w:val="single" w:sz="12" w:space="0" w:color="auto"/>
            </w:tcBorders>
          </w:tcPr>
          <w:p w:rsidR="00C638DF" w:rsidRPr="00CC1A40" w:rsidRDefault="00C638DF" w:rsidP="00912AB4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1A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1.5 </w:t>
            </w:r>
            <w:proofErr w:type="spellStart"/>
            <w:r w:rsidRPr="00CC1A40">
              <w:rPr>
                <w:rFonts w:ascii="Times New Roman" w:hAnsi="Times New Roman"/>
                <w:b/>
                <w:bCs/>
                <w:sz w:val="20"/>
                <w:szCs w:val="20"/>
              </w:rPr>
              <w:t>mL</w:t>
            </w:r>
            <w:proofErr w:type="spellEnd"/>
            <w:r w:rsidRPr="00CC1A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Sarstedt</w:t>
            </w:r>
            <w:r w:rsidRPr="00CC1A40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 xml:space="preserve"> </w:t>
            </w:r>
            <w:proofErr w:type="spellStart"/>
            <w:r w:rsidRPr="00CC1A40">
              <w:rPr>
                <w:rFonts w:ascii="Times New Roman" w:hAnsi="Times New Roman"/>
                <w:b/>
                <w:bCs/>
                <w:sz w:val="20"/>
                <w:szCs w:val="20"/>
              </w:rPr>
              <w:t>micro</w:t>
            </w:r>
            <w:proofErr w:type="spellEnd"/>
            <w:r w:rsidRPr="00CC1A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1A40">
              <w:rPr>
                <w:rFonts w:ascii="Times New Roman" w:hAnsi="Times New Roman"/>
                <w:b/>
                <w:bCs/>
                <w:sz w:val="20"/>
                <w:szCs w:val="20"/>
              </w:rPr>
              <w:t>tube</w:t>
            </w:r>
            <w:proofErr w:type="spellEnd"/>
          </w:p>
        </w:tc>
      </w:tr>
      <w:tr w:rsidR="00C638DF" w:rsidRPr="00CC1A40" w:rsidTr="00912AB4">
        <w:tc>
          <w:tcPr>
            <w:tcW w:w="1491" w:type="dxa"/>
            <w:tcBorders>
              <w:top w:val="single" w:sz="12" w:space="0" w:color="auto"/>
            </w:tcBorders>
          </w:tcPr>
          <w:p w:rsidR="00C638DF" w:rsidRPr="00CC1A40" w:rsidRDefault="00C638DF" w:rsidP="00912AB4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Cell-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GB"/>
              </w:rPr>
              <w:t>Dyn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Pr="00CC1A40">
              <w:rPr>
                <w:rFonts w:ascii="Times New Roman" w:hAnsi="Times New Roman"/>
                <w:sz w:val="20"/>
                <w:szCs w:val="20"/>
                <w:lang w:val="en-GB"/>
              </w:rPr>
              <w:t>Sapphire</w:t>
            </w:r>
          </w:p>
        </w:tc>
        <w:tc>
          <w:tcPr>
            <w:tcW w:w="1585" w:type="dxa"/>
            <w:tcBorders>
              <w:top w:val="single" w:sz="12" w:space="0" w:color="auto"/>
            </w:tcBorders>
            <w:vAlign w:val="center"/>
          </w:tcPr>
          <w:p w:rsidR="00C638DF" w:rsidRPr="00CC1A40" w:rsidRDefault="00C638DF" w:rsidP="00912AB4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1A40">
              <w:rPr>
                <w:rFonts w:ascii="Times New Roman" w:hAnsi="Times New Roman"/>
                <w:sz w:val="20"/>
                <w:szCs w:val="20"/>
              </w:rPr>
              <w:t>≥ 300</w:t>
            </w:r>
          </w:p>
        </w:tc>
        <w:tc>
          <w:tcPr>
            <w:tcW w:w="1585" w:type="dxa"/>
            <w:tcBorders>
              <w:top w:val="single" w:sz="12" w:space="0" w:color="auto"/>
            </w:tcBorders>
            <w:vAlign w:val="center"/>
          </w:tcPr>
          <w:p w:rsidR="00C638DF" w:rsidRPr="00CC1A40" w:rsidRDefault="00C638DF" w:rsidP="00912AB4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1A40">
              <w:rPr>
                <w:rFonts w:ascii="Times New Roman" w:hAnsi="Times New Roman"/>
                <w:sz w:val="20"/>
                <w:szCs w:val="20"/>
              </w:rPr>
              <w:t>≥ 300</w:t>
            </w:r>
          </w:p>
        </w:tc>
        <w:tc>
          <w:tcPr>
            <w:tcW w:w="1579" w:type="dxa"/>
            <w:tcBorders>
              <w:top w:val="single" w:sz="12" w:space="0" w:color="auto"/>
            </w:tcBorders>
            <w:vAlign w:val="center"/>
          </w:tcPr>
          <w:p w:rsidR="00C638DF" w:rsidRPr="00CC1A40" w:rsidRDefault="00C638DF" w:rsidP="00912AB4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1A40">
              <w:rPr>
                <w:rFonts w:ascii="Times New Roman" w:hAnsi="Times New Roman"/>
                <w:sz w:val="20"/>
                <w:szCs w:val="20"/>
              </w:rPr>
              <w:t>≥ 150</w:t>
            </w:r>
          </w:p>
        </w:tc>
        <w:tc>
          <w:tcPr>
            <w:tcW w:w="1585" w:type="dxa"/>
            <w:tcBorders>
              <w:top w:val="single" w:sz="12" w:space="0" w:color="auto"/>
            </w:tcBorders>
            <w:vAlign w:val="center"/>
          </w:tcPr>
          <w:p w:rsidR="00C638DF" w:rsidRPr="00CC1A40" w:rsidRDefault="00C638DF" w:rsidP="00912AB4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1A40">
              <w:rPr>
                <w:rFonts w:ascii="Times New Roman" w:hAnsi="Times New Roman"/>
                <w:sz w:val="20"/>
                <w:szCs w:val="20"/>
              </w:rPr>
              <w:t>≥ 150</w:t>
            </w:r>
          </w:p>
        </w:tc>
      </w:tr>
      <w:tr w:rsidR="00C638DF" w:rsidRPr="00CC1A40" w:rsidTr="00912AB4">
        <w:tc>
          <w:tcPr>
            <w:tcW w:w="1491" w:type="dxa"/>
          </w:tcPr>
          <w:p w:rsidR="00C638DF" w:rsidRPr="00CC1A40" w:rsidRDefault="00C638DF" w:rsidP="00912AB4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1A40">
              <w:rPr>
                <w:rFonts w:ascii="Times New Roman" w:hAnsi="Times New Roman"/>
                <w:sz w:val="20"/>
                <w:szCs w:val="20"/>
              </w:rPr>
              <w:t>DxH</w:t>
            </w:r>
            <w:proofErr w:type="spellEnd"/>
            <w:r w:rsidRPr="00CC1A40">
              <w:rPr>
                <w:rFonts w:ascii="Times New Roman" w:hAnsi="Times New Roman"/>
                <w:sz w:val="20"/>
                <w:szCs w:val="20"/>
              </w:rPr>
              <w:t xml:space="preserve"> 800</w:t>
            </w:r>
          </w:p>
        </w:tc>
        <w:tc>
          <w:tcPr>
            <w:tcW w:w="1585" w:type="dxa"/>
            <w:vAlign w:val="center"/>
          </w:tcPr>
          <w:p w:rsidR="00C638DF" w:rsidRPr="00CC1A40" w:rsidRDefault="00C638DF" w:rsidP="00912AB4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1A40">
              <w:rPr>
                <w:rFonts w:ascii="Times New Roman" w:hAnsi="Times New Roman"/>
                <w:sz w:val="20"/>
                <w:szCs w:val="20"/>
              </w:rPr>
              <w:t>&gt; 500</w:t>
            </w:r>
          </w:p>
        </w:tc>
        <w:tc>
          <w:tcPr>
            <w:tcW w:w="1585" w:type="dxa"/>
            <w:vAlign w:val="center"/>
          </w:tcPr>
          <w:p w:rsidR="00C638DF" w:rsidRPr="00CC1A40" w:rsidRDefault="00C638DF" w:rsidP="00912AB4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1A40">
              <w:rPr>
                <w:rFonts w:ascii="Times New Roman" w:hAnsi="Times New Roman"/>
                <w:sz w:val="20"/>
                <w:szCs w:val="20"/>
              </w:rPr>
              <w:t>≥ 300</w:t>
            </w:r>
          </w:p>
        </w:tc>
        <w:tc>
          <w:tcPr>
            <w:tcW w:w="1579" w:type="dxa"/>
            <w:vAlign w:val="center"/>
          </w:tcPr>
          <w:p w:rsidR="00C638DF" w:rsidRPr="00CC1A40" w:rsidRDefault="00C638DF" w:rsidP="00912AB4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1A40">
              <w:rPr>
                <w:rFonts w:ascii="Times New Roman" w:hAnsi="Times New Roman"/>
                <w:sz w:val="20"/>
                <w:szCs w:val="20"/>
              </w:rPr>
              <w:t>≥ 200</w:t>
            </w:r>
          </w:p>
        </w:tc>
        <w:tc>
          <w:tcPr>
            <w:tcW w:w="1585" w:type="dxa"/>
            <w:vAlign w:val="center"/>
          </w:tcPr>
          <w:p w:rsidR="00C638DF" w:rsidRPr="00CC1A40" w:rsidRDefault="00C638DF" w:rsidP="00912AB4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1A40">
              <w:rPr>
                <w:rFonts w:ascii="Times New Roman" w:hAnsi="Times New Roman"/>
                <w:sz w:val="20"/>
                <w:szCs w:val="20"/>
              </w:rPr>
              <w:t>≥ 200</w:t>
            </w:r>
          </w:p>
        </w:tc>
      </w:tr>
      <w:tr w:rsidR="00C638DF" w:rsidRPr="00BD7B9C" w:rsidTr="00912AB4">
        <w:tc>
          <w:tcPr>
            <w:tcW w:w="1491" w:type="dxa"/>
          </w:tcPr>
          <w:p w:rsidR="00C638DF" w:rsidRPr="00BD7B9C" w:rsidRDefault="00C638DF" w:rsidP="00912AB4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BD7B9C">
              <w:rPr>
                <w:rFonts w:ascii="Times New Roman" w:hAnsi="Times New Roman"/>
                <w:sz w:val="20"/>
                <w:szCs w:val="20"/>
                <w:lang w:val="en-GB"/>
              </w:rPr>
              <w:t>Advia</w:t>
            </w:r>
            <w:proofErr w:type="spellEnd"/>
            <w:r w:rsidRPr="00BD7B9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2120i</w:t>
            </w:r>
          </w:p>
        </w:tc>
        <w:tc>
          <w:tcPr>
            <w:tcW w:w="1585" w:type="dxa"/>
            <w:vAlign w:val="center"/>
          </w:tcPr>
          <w:p w:rsidR="00C638DF" w:rsidRPr="00BD7B9C" w:rsidRDefault="00C638DF" w:rsidP="00912AB4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D7B9C">
              <w:rPr>
                <w:rFonts w:ascii="Times New Roman" w:hAnsi="Times New Roman"/>
                <w:sz w:val="20"/>
                <w:szCs w:val="20"/>
                <w:lang w:val="en-GB"/>
              </w:rPr>
              <w:t>&gt; 500</w:t>
            </w:r>
          </w:p>
        </w:tc>
        <w:tc>
          <w:tcPr>
            <w:tcW w:w="1585" w:type="dxa"/>
            <w:vAlign w:val="center"/>
          </w:tcPr>
          <w:p w:rsidR="00C638DF" w:rsidRPr="00BD7B9C" w:rsidRDefault="00C638DF" w:rsidP="00912AB4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D7B9C">
              <w:rPr>
                <w:rFonts w:ascii="Times New Roman" w:hAnsi="Times New Roman"/>
                <w:sz w:val="20"/>
                <w:szCs w:val="20"/>
                <w:lang w:val="en-GB"/>
              </w:rPr>
              <w:t>&gt; 500</w:t>
            </w:r>
          </w:p>
        </w:tc>
        <w:tc>
          <w:tcPr>
            <w:tcW w:w="1579" w:type="dxa"/>
            <w:vAlign w:val="center"/>
          </w:tcPr>
          <w:p w:rsidR="00C638DF" w:rsidRPr="00BD7B9C" w:rsidRDefault="00C638DF" w:rsidP="00912AB4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D7B9C">
              <w:rPr>
                <w:rFonts w:ascii="Times New Roman" w:hAnsi="Times New Roman"/>
                <w:sz w:val="20"/>
                <w:szCs w:val="20"/>
                <w:lang w:val="en-GB"/>
              </w:rPr>
              <w:t>≥ 150</w:t>
            </w:r>
          </w:p>
        </w:tc>
        <w:tc>
          <w:tcPr>
            <w:tcW w:w="1585" w:type="dxa"/>
            <w:vAlign w:val="center"/>
          </w:tcPr>
          <w:p w:rsidR="00C638DF" w:rsidRPr="00BD7B9C" w:rsidRDefault="00C638DF" w:rsidP="00912AB4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D7B9C">
              <w:rPr>
                <w:rFonts w:ascii="Times New Roman" w:hAnsi="Times New Roman"/>
                <w:sz w:val="20"/>
                <w:szCs w:val="20"/>
                <w:lang w:val="en-GB"/>
              </w:rPr>
              <w:t>≥ 150</w:t>
            </w:r>
          </w:p>
        </w:tc>
      </w:tr>
      <w:tr w:rsidR="00C638DF" w:rsidRPr="00BD7B9C" w:rsidTr="00912AB4">
        <w:tc>
          <w:tcPr>
            <w:tcW w:w="1491" w:type="dxa"/>
          </w:tcPr>
          <w:p w:rsidR="00C638DF" w:rsidRPr="00BD7B9C" w:rsidRDefault="00C638DF" w:rsidP="00912AB4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D7B9C">
              <w:rPr>
                <w:rFonts w:ascii="Times New Roman" w:hAnsi="Times New Roman"/>
                <w:sz w:val="20"/>
                <w:szCs w:val="20"/>
                <w:lang w:val="en-GB"/>
              </w:rPr>
              <w:t>XE-5000</w:t>
            </w:r>
          </w:p>
        </w:tc>
        <w:tc>
          <w:tcPr>
            <w:tcW w:w="1585" w:type="dxa"/>
            <w:vAlign w:val="center"/>
          </w:tcPr>
          <w:p w:rsidR="00C638DF" w:rsidRPr="00BD7B9C" w:rsidRDefault="00C638DF" w:rsidP="00912AB4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D7B9C">
              <w:rPr>
                <w:rFonts w:ascii="Times New Roman" w:hAnsi="Times New Roman"/>
                <w:sz w:val="20"/>
                <w:szCs w:val="20"/>
                <w:lang w:val="en-GB"/>
              </w:rPr>
              <w:t>&gt; 500</w:t>
            </w:r>
          </w:p>
        </w:tc>
        <w:tc>
          <w:tcPr>
            <w:tcW w:w="1585" w:type="dxa"/>
            <w:vAlign w:val="center"/>
          </w:tcPr>
          <w:p w:rsidR="00C638DF" w:rsidRPr="00BD7B9C" w:rsidRDefault="00C638DF" w:rsidP="00912AB4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D7B9C">
              <w:rPr>
                <w:rFonts w:ascii="Times New Roman" w:hAnsi="Times New Roman"/>
                <w:sz w:val="20"/>
                <w:szCs w:val="20"/>
                <w:lang w:val="en-GB"/>
              </w:rPr>
              <w:t>&gt; 500</w:t>
            </w:r>
          </w:p>
        </w:tc>
        <w:tc>
          <w:tcPr>
            <w:tcW w:w="1579" w:type="dxa"/>
            <w:vAlign w:val="center"/>
          </w:tcPr>
          <w:p w:rsidR="00C638DF" w:rsidRPr="00CC1A40" w:rsidRDefault="00C638DF" w:rsidP="00912AB4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D7B9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≥ </w:t>
            </w:r>
            <w:r w:rsidRPr="00CC1A40">
              <w:rPr>
                <w:rFonts w:ascii="Times New Roman" w:hAnsi="Times New Roman"/>
                <w:sz w:val="20"/>
                <w:szCs w:val="20"/>
                <w:lang w:val="en-GB"/>
              </w:rPr>
              <w:t>150</w:t>
            </w:r>
          </w:p>
        </w:tc>
        <w:tc>
          <w:tcPr>
            <w:tcW w:w="1585" w:type="dxa"/>
            <w:vAlign w:val="center"/>
          </w:tcPr>
          <w:p w:rsidR="00C638DF" w:rsidRPr="00CC1A40" w:rsidRDefault="00C638DF" w:rsidP="00912AB4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C1A40">
              <w:rPr>
                <w:rFonts w:ascii="Times New Roman" w:hAnsi="Times New Roman"/>
                <w:sz w:val="20"/>
                <w:szCs w:val="20"/>
                <w:lang w:val="en-GB"/>
              </w:rPr>
              <w:t>≥ 300</w:t>
            </w:r>
          </w:p>
        </w:tc>
      </w:tr>
      <w:tr w:rsidR="00C638DF" w:rsidRPr="00BD7B9C" w:rsidTr="00912AB4">
        <w:tc>
          <w:tcPr>
            <w:tcW w:w="1491" w:type="dxa"/>
            <w:tcBorders>
              <w:bottom w:val="single" w:sz="12" w:space="0" w:color="auto"/>
            </w:tcBorders>
          </w:tcPr>
          <w:p w:rsidR="00C638DF" w:rsidRPr="00CC1A40" w:rsidRDefault="00C638DF" w:rsidP="00912AB4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C1A40">
              <w:rPr>
                <w:rFonts w:ascii="Times New Roman" w:hAnsi="Times New Roman"/>
                <w:sz w:val="20"/>
                <w:szCs w:val="20"/>
                <w:lang w:val="en-GB"/>
              </w:rPr>
              <w:t>XN-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2000</w:t>
            </w:r>
          </w:p>
        </w:tc>
        <w:tc>
          <w:tcPr>
            <w:tcW w:w="1585" w:type="dxa"/>
            <w:tcBorders>
              <w:bottom w:val="single" w:sz="12" w:space="0" w:color="auto"/>
            </w:tcBorders>
            <w:vAlign w:val="center"/>
          </w:tcPr>
          <w:p w:rsidR="00C638DF" w:rsidRPr="00CC1A40" w:rsidRDefault="00C638DF" w:rsidP="00912AB4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C1A40">
              <w:rPr>
                <w:rFonts w:ascii="Times New Roman" w:hAnsi="Times New Roman"/>
                <w:sz w:val="20"/>
                <w:szCs w:val="20"/>
                <w:lang w:val="en-GB"/>
              </w:rPr>
              <w:t>≥ 500</w:t>
            </w:r>
          </w:p>
        </w:tc>
        <w:tc>
          <w:tcPr>
            <w:tcW w:w="1585" w:type="dxa"/>
            <w:tcBorders>
              <w:bottom w:val="single" w:sz="12" w:space="0" w:color="auto"/>
            </w:tcBorders>
            <w:vAlign w:val="center"/>
          </w:tcPr>
          <w:p w:rsidR="00C638DF" w:rsidRPr="00CC1A40" w:rsidRDefault="00C638DF" w:rsidP="00912AB4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C1A40">
              <w:rPr>
                <w:rFonts w:ascii="Times New Roman" w:hAnsi="Times New Roman"/>
                <w:sz w:val="20"/>
                <w:szCs w:val="20"/>
                <w:lang w:val="en-GB"/>
              </w:rPr>
              <w:t>≥ 200</w:t>
            </w:r>
          </w:p>
        </w:tc>
        <w:tc>
          <w:tcPr>
            <w:tcW w:w="1579" w:type="dxa"/>
            <w:tcBorders>
              <w:bottom w:val="single" w:sz="12" w:space="0" w:color="auto"/>
            </w:tcBorders>
            <w:vAlign w:val="center"/>
          </w:tcPr>
          <w:p w:rsidR="00C638DF" w:rsidRPr="00CC1A40" w:rsidRDefault="00C638DF" w:rsidP="00912AB4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C1A40">
              <w:rPr>
                <w:rFonts w:ascii="Times New Roman" w:hAnsi="Times New Roman"/>
                <w:sz w:val="20"/>
                <w:szCs w:val="20"/>
                <w:lang w:val="en-GB"/>
              </w:rPr>
              <w:t>≥ 150</w:t>
            </w:r>
          </w:p>
        </w:tc>
        <w:tc>
          <w:tcPr>
            <w:tcW w:w="1585" w:type="dxa"/>
            <w:tcBorders>
              <w:bottom w:val="single" w:sz="12" w:space="0" w:color="auto"/>
            </w:tcBorders>
            <w:vAlign w:val="center"/>
          </w:tcPr>
          <w:p w:rsidR="00C638DF" w:rsidRPr="00CC1A40" w:rsidRDefault="00C638DF" w:rsidP="00912AB4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C1A40">
              <w:rPr>
                <w:rFonts w:ascii="Times New Roman" w:hAnsi="Times New Roman"/>
                <w:sz w:val="20"/>
                <w:szCs w:val="20"/>
                <w:lang w:val="en-GB"/>
              </w:rPr>
              <w:t>≥ 150</w:t>
            </w:r>
          </w:p>
        </w:tc>
      </w:tr>
    </w:tbl>
    <w:p w:rsidR="00423D3C" w:rsidRPr="00423D3C" w:rsidRDefault="00423D3C">
      <w:pPr>
        <w:rPr>
          <w:lang w:val="en-GB"/>
        </w:rPr>
      </w:pPr>
    </w:p>
    <w:p w:rsidR="00423D3C" w:rsidRPr="00423D3C" w:rsidRDefault="00423D3C">
      <w:pPr>
        <w:rPr>
          <w:noProof/>
          <w:lang w:val="en-GB" w:eastAsia="de-DE"/>
        </w:rPr>
      </w:pPr>
    </w:p>
    <w:p w:rsidR="00423D3C" w:rsidRPr="00423D3C" w:rsidRDefault="00423D3C">
      <w:pPr>
        <w:rPr>
          <w:noProof/>
          <w:lang w:val="en-GB" w:eastAsia="de-DE"/>
        </w:rPr>
      </w:pPr>
    </w:p>
    <w:p w:rsidR="00C638DF" w:rsidRPr="00C638DF" w:rsidRDefault="00C638DF">
      <w:pPr>
        <w:rPr>
          <w:lang w:val="en-GB"/>
        </w:rPr>
      </w:pPr>
    </w:p>
    <w:sectPr w:rsidR="00C638DF" w:rsidRPr="00C638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8DF" w:rsidRDefault="00C638DF" w:rsidP="00C638DF">
      <w:pPr>
        <w:spacing w:after="0" w:line="240" w:lineRule="auto"/>
      </w:pPr>
      <w:r>
        <w:separator/>
      </w:r>
    </w:p>
  </w:endnote>
  <w:endnote w:type="continuationSeparator" w:id="0">
    <w:p w:rsidR="00C638DF" w:rsidRDefault="00C638DF" w:rsidP="00C63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8DF" w:rsidRDefault="00C638DF" w:rsidP="00C638DF">
      <w:pPr>
        <w:spacing w:after="0" w:line="240" w:lineRule="auto"/>
      </w:pPr>
      <w:r>
        <w:separator/>
      </w:r>
    </w:p>
  </w:footnote>
  <w:footnote w:type="continuationSeparator" w:id="0">
    <w:p w:rsidR="00C638DF" w:rsidRDefault="00C638DF" w:rsidP="00C638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8DF"/>
    <w:rsid w:val="003D19A7"/>
    <w:rsid w:val="00423D3C"/>
    <w:rsid w:val="00463D25"/>
    <w:rsid w:val="00734EB9"/>
    <w:rsid w:val="008E3D6E"/>
    <w:rsid w:val="00C638DF"/>
    <w:rsid w:val="00E11BC2"/>
    <w:rsid w:val="00F25541"/>
    <w:rsid w:val="00FB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638D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638DF"/>
    <w:pPr>
      <w:spacing w:after="0" w:line="240" w:lineRule="auto"/>
    </w:pPr>
    <w:rPr>
      <w:rFonts w:eastAsiaTheme="minorEastAsia" w:cs="Times New Roman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C638D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638D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638DF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3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38DF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C638D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63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38DF"/>
  </w:style>
  <w:style w:type="paragraph" w:styleId="Fuzeile">
    <w:name w:val="footer"/>
    <w:basedOn w:val="Standard"/>
    <w:link w:val="FuzeileZchn"/>
    <w:uiPriority w:val="99"/>
    <w:unhideWhenUsed/>
    <w:rsid w:val="00C63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38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638D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638DF"/>
    <w:pPr>
      <w:spacing w:after="0" w:line="240" w:lineRule="auto"/>
    </w:pPr>
    <w:rPr>
      <w:rFonts w:eastAsiaTheme="minorEastAsia" w:cs="Times New Roman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C638D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638D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638DF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3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38DF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C638D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63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38DF"/>
  </w:style>
  <w:style w:type="paragraph" w:styleId="Fuzeile">
    <w:name w:val="footer"/>
    <w:basedOn w:val="Standard"/>
    <w:link w:val="FuzeileZchn"/>
    <w:uiPriority w:val="99"/>
    <w:unhideWhenUsed/>
    <w:rsid w:val="00C63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38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Klinikum der Universitaet Muenchen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mbruegel</dc:creator>
  <cp:lastModifiedBy>mbruegel</cp:lastModifiedBy>
  <cp:revision>2</cp:revision>
  <dcterms:created xsi:type="dcterms:W3CDTF">2014-12-05T15:59:00Z</dcterms:created>
  <dcterms:modified xsi:type="dcterms:W3CDTF">2014-12-05T15:59:00Z</dcterms:modified>
</cp:coreProperties>
</file>