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6F9E" w14:textId="0B01FBBA" w:rsidR="00AE56B8" w:rsidRPr="00AE56B8" w:rsidRDefault="00AE56B8" w:rsidP="000E2C3D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56B8">
        <w:rPr>
          <w:rFonts w:ascii="Times New Roman" w:eastAsia="Times New Roman" w:hAnsi="Times New Roman" w:cs="Times New Roman"/>
          <w:b/>
          <w:bCs/>
          <w:sz w:val="28"/>
          <w:szCs w:val="28"/>
        </w:rPr>
        <w:t>Supplementary Material</w:t>
      </w:r>
    </w:p>
    <w:p w14:paraId="68F3C1E3" w14:textId="533D7A3E" w:rsidR="000E2C3D" w:rsidRPr="000E2C3D" w:rsidRDefault="000E2C3D" w:rsidP="000E2C3D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E2C3D">
        <w:rPr>
          <w:rFonts w:ascii="Times New Roman" w:eastAsia="Times New Roman" w:hAnsi="Times New Roman" w:cs="Times New Roman"/>
          <w:b/>
          <w:bCs/>
          <w:sz w:val="22"/>
          <w:szCs w:val="22"/>
        </w:rPr>
        <w:t>Three-dimensional distribution of nutrients and phytoplankton biomass in a semi-enclosed region of the Gulf of California during different ENSO phases</w:t>
      </w:r>
    </w:p>
    <w:p w14:paraId="3DFDEC01" w14:textId="07027D0E" w:rsidR="007034F4" w:rsidRPr="000E2C3D" w:rsidRDefault="000E2C3D" w:rsidP="000E2C3D">
      <w:pPr>
        <w:spacing w:after="120" w:line="240" w:lineRule="atLeast"/>
        <w:rPr>
          <w:rFonts w:ascii="Times New Roman" w:eastAsia="Times New Roman" w:hAnsi="Times New Roman" w:cs="Times New Roman"/>
          <w:sz w:val="22"/>
          <w:szCs w:val="22"/>
          <w:lang w:val="es-MX"/>
        </w:rPr>
      </w:pPr>
      <w:r w:rsidRPr="000E2C3D">
        <w:rPr>
          <w:rFonts w:ascii="Times New Roman" w:eastAsia="Times New Roman" w:hAnsi="Times New Roman" w:cs="Times New Roman"/>
          <w:sz w:val="22"/>
          <w:szCs w:val="22"/>
          <w:lang w:val="es-MX"/>
        </w:rPr>
        <w:t>Carlos Mauricio Torres-Martínez et al.</w:t>
      </w:r>
    </w:p>
    <w:p w14:paraId="3CD3BDCD" w14:textId="4435AFA2" w:rsidR="000E2C3D" w:rsidRPr="000E2C3D" w:rsidRDefault="000E2C3D" w:rsidP="000E2C3D">
      <w:pPr>
        <w:spacing w:after="120" w:line="240" w:lineRule="atLeast"/>
        <w:rPr>
          <w:rFonts w:ascii="Times" w:eastAsia="Times" w:hAnsi="Times" w:cs="Times"/>
          <w:sz w:val="22"/>
          <w:szCs w:val="22"/>
        </w:rPr>
      </w:pPr>
      <w:r w:rsidRPr="000E2C3D">
        <w:rPr>
          <w:rFonts w:ascii="Times New Roman" w:eastAsia="Times New Roman" w:hAnsi="Times New Roman" w:cs="Times New Roman"/>
          <w:sz w:val="22"/>
          <w:szCs w:val="22"/>
          <w:lang w:val="es-MX"/>
        </w:rPr>
        <w:t>DOI 10.1515/bot-2025-0007</w:t>
      </w:r>
    </w:p>
    <w:p w14:paraId="158A0A6C" w14:textId="77777777" w:rsidR="000E2C3D" w:rsidRDefault="000E2C3D" w:rsidP="000E2C3D">
      <w:pPr>
        <w:spacing w:after="120" w:line="240" w:lineRule="atLeast"/>
        <w:rPr>
          <w:rFonts w:ascii="Times" w:eastAsia="Times" w:hAnsi="Times" w:cs="Times"/>
          <w:b/>
          <w:bCs/>
          <w:sz w:val="22"/>
          <w:szCs w:val="22"/>
        </w:rPr>
      </w:pPr>
    </w:p>
    <w:p w14:paraId="0AD2DF4E" w14:textId="77777777" w:rsidR="000E2C3D" w:rsidRDefault="000E2C3D" w:rsidP="000E2C3D">
      <w:pPr>
        <w:spacing w:after="120" w:line="240" w:lineRule="atLeast"/>
        <w:rPr>
          <w:rFonts w:ascii="Times" w:eastAsia="Times" w:hAnsi="Times" w:cs="Times"/>
          <w:b/>
          <w:bCs/>
          <w:sz w:val="22"/>
          <w:szCs w:val="22"/>
        </w:rPr>
      </w:pPr>
    </w:p>
    <w:p w14:paraId="212788A6" w14:textId="77777777" w:rsidR="000E2C3D" w:rsidRDefault="000E2C3D" w:rsidP="000E2C3D">
      <w:pPr>
        <w:spacing w:after="120" w:line="240" w:lineRule="atLeast"/>
        <w:rPr>
          <w:rFonts w:ascii="Times" w:eastAsia="Times" w:hAnsi="Times" w:cs="Times"/>
          <w:b/>
          <w:bCs/>
          <w:sz w:val="22"/>
          <w:szCs w:val="22"/>
        </w:rPr>
      </w:pPr>
    </w:p>
    <w:p w14:paraId="3FE901B8" w14:textId="77777777" w:rsidR="000E2C3D" w:rsidRDefault="000E2C3D" w:rsidP="000E2C3D">
      <w:pPr>
        <w:spacing w:after="120" w:line="240" w:lineRule="atLeast"/>
        <w:rPr>
          <w:rFonts w:ascii="Times" w:eastAsia="Times" w:hAnsi="Times" w:cs="Times"/>
          <w:b/>
          <w:bCs/>
          <w:sz w:val="22"/>
          <w:szCs w:val="22"/>
        </w:rPr>
      </w:pPr>
    </w:p>
    <w:p w14:paraId="61F6BAC3" w14:textId="04B21C01" w:rsidR="00C41760" w:rsidRDefault="000E2C3D" w:rsidP="000E2C3D">
      <w:pPr>
        <w:spacing w:after="120" w:line="240" w:lineRule="atLeast"/>
        <w:rPr>
          <w:rFonts w:ascii="Times" w:eastAsia="Times" w:hAnsi="Times" w:cs="Times"/>
          <w:sz w:val="22"/>
          <w:szCs w:val="22"/>
        </w:rPr>
      </w:pPr>
      <w:r w:rsidRPr="000E2C3D">
        <w:rPr>
          <w:rFonts w:ascii="Times" w:eastAsia="Times" w:hAnsi="Times" w:cs="Times"/>
          <w:b/>
          <w:bCs/>
          <w:sz w:val="22"/>
          <w:szCs w:val="22"/>
        </w:rPr>
        <w:t xml:space="preserve">Supplementary </w:t>
      </w:r>
      <w:r w:rsidR="00C41760" w:rsidRPr="000E2C3D">
        <w:rPr>
          <w:rFonts w:ascii="Times" w:eastAsia="Times" w:hAnsi="Times" w:cs="Times"/>
          <w:b/>
          <w:bCs/>
          <w:sz w:val="22"/>
          <w:szCs w:val="22"/>
        </w:rPr>
        <w:t xml:space="preserve">Table </w:t>
      </w:r>
      <w:r w:rsidR="00A569AE" w:rsidRPr="000E2C3D">
        <w:rPr>
          <w:rFonts w:ascii="Times" w:eastAsia="Times" w:hAnsi="Times" w:cs="Times"/>
          <w:b/>
          <w:bCs/>
          <w:sz w:val="22"/>
          <w:szCs w:val="22"/>
        </w:rPr>
        <w:t>S</w:t>
      </w:r>
      <w:r w:rsidR="00C41760" w:rsidRPr="000E2C3D">
        <w:rPr>
          <w:rFonts w:ascii="Times" w:eastAsia="Times" w:hAnsi="Times" w:cs="Times"/>
          <w:b/>
          <w:bCs/>
          <w:sz w:val="22"/>
          <w:szCs w:val="22"/>
        </w:rPr>
        <w:t>1</w:t>
      </w:r>
      <w:r w:rsidRPr="000E2C3D">
        <w:rPr>
          <w:rFonts w:ascii="Times" w:eastAsia="Times" w:hAnsi="Times" w:cs="Times"/>
          <w:b/>
          <w:bCs/>
          <w:sz w:val="22"/>
          <w:szCs w:val="22"/>
        </w:rPr>
        <w:t>:</w:t>
      </w:r>
      <w:r w:rsidR="00C41760" w:rsidRPr="007034F4">
        <w:rPr>
          <w:rFonts w:ascii="Times" w:eastAsia="Times" w:hAnsi="Times" w:cs="Times"/>
          <w:sz w:val="22"/>
          <w:szCs w:val="22"/>
        </w:rPr>
        <w:t xml:space="preserve"> </w:t>
      </w:r>
      <w:r w:rsidR="00C41760" w:rsidRPr="007034F4">
        <w:rPr>
          <w:rFonts w:ascii="Times" w:eastAsia="Times" w:hAnsi="Times" w:cs="Times"/>
          <w:i/>
          <w:sz w:val="22"/>
          <w:szCs w:val="22"/>
        </w:rPr>
        <w:t>p</w:t>
      </w:r>
      <w:r w:rsidR="00C41760" w:rsidRPr="007034F4">
        <w:rPr>
          <w:rFonts w:ascii="Times" w:eastAsia="Times" w:hAnsi="Times" w:cs="Times"/>
          <w:sz w:val="22"/>
          <w:szCs w:val="22"/>
        </w:rPr>
        <w:t>-</w:t>
      </w:r>
      <w:r>
        <w:rPr>
          <w:rFonts w:ascii="Times" w:eastAsia="Times" w:hAnsi="Times" w:cs="Times"/>
          <w:sz w:val="22"/>
          <w:szCs w:val="22"/>
        </w:rPr>
        <w:t>V</w:t>
      </w:r>
      <w:r w:rsidR="00C41760" w:rsidRPr="007034F4">
        <w:rPr>
          <w:rFonts w:ascii="Times" w:eastAsia="Times" w:hAnsi="Times" w:cs="Times"/>
          <w:sz w:val="22"/>
          <w:szCs w:val="22"/>
        </w:rPr>
        <w:t>alues calculated for nutrients and Chl-</w:t>
      </w:r>
      <w:r w:rsidR="00C41760" w:rsidRPr="007034F4">
        <w:rPr>
          <w:rFonts w:ascii="Times" w:eastAsia="Times" w:hAnsi="Times" w:cs="Times"/>
          <w:i/>
          <w:sz w:val="22"/>
          <w:szCs w:val="22"/>
        </w:rPr>
        <w:t>a</w:t>
      </w:r>
      <w:r w:rsidR="00C41760" w:rsidRPr="007034F4">
        <w:rPr>
          <w:rFonts w:ascii="Times" w:eastAsia="Times" w:hAnsi="Times" w:cs="Times"/>
          <w:sz w:val="22"/>
          <w:szCs w:val="22"/>
        </w:rPr>
        <w:t xml:space="preserve"> concentrations between both research cruises for each sampling depth.</w:t>
      </w:r>
    </w:p>
    <w:p w14:paraId="1BE53C27" w14:textId="77777777" w:rsidR="000E2C3D" w:rsidRPr="007034F4" w:rsidRDefault="000E2C3D" w:rsidP="000E2C3D">
      <w:pPr>
        <w:spacing w:after="120" w:line="240" w:lineRule="atLeast"/>
        <w:rPr>
          <w:rFonts w:ascii="Times" w:eastAsia="Times" w:hAnsi="Times" w:cs="Times"/>
          <w:sz w:val="22"/>
          <w:szCs w:val="22"/>
        </w:rPr>
      </w:pPr>
    </w:p>
    <w:tbl>
      <w:tblPr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C41760" w:rsidRPr="007034F4" w14:paraId="0C0BC04D" w14:textId="77777777" w:rsidTr="00D429F1">
        <w:tc>
          <w:tcPr>
            <w:tcW w:w="1698" w:type="dxa"/>
          </w:tcPr>
          <w:p w14:paraId="5167B8AF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</w:p>
        </w:tc>
        <w:tc>
          <w:tcPr>
            <w:tcW w:w="6796" w:type="dxa"/>
            <w:gridSpan w:val="4"/>
          </w:tcPr>
          <w:p w14:paraId="1324F65B" w14:textId="4A078072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i/>
                <w:sz w:val="22"/>
                <w:szCs w:val="22"/>
              </w:rPr>
              <w:t>p</w:t>
            </w: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-</w:t>
            </w:r>
            <w:r w:rsid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V</w:t>
            </w: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alue for each sampling depth</w:t>
            </w:r>
          </w:p>
        </w:tc>
      </w:tr>
      <w:tr w:rsidR="00C41760" w:rsidRPr="007034F4" w14:paraId="3CD71BA3" w14:textId="77777777" w:rsidTr="00D429F1">
        <w:tc>
          <w:tcPr>
            <w:tcW w:w="1698" w:type="dxa"/>
          </w:tcPr>
          <w:p w14:paraId="39DD0923" w14:textId="77777777" w:rsidR="00C41760" w:rsidRPr="000E2C3D" w:rsidRDefault="00C41760" w:rsidP="000E2C3D">
            <w:pPr>
              <w:spacing w:after="120" w:line="240" w:lineRule="atLeast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0E2C3D">
              <w:rPr>
                <w:rFonts w:ascii="Times" w:eastAsia="Times" w:hAnsi="Times" w:cs="Times"/>
                <w:b/>
                <w:bCs/>
                <w:sz w:val="22"/>
                <w:szCs w:val="22"/>
              </w:rPr>
              <w:t>Nutrient</w:t>
            </w:r>
          </w:p>
        </w:tc>
        <w:tc>
          <w:tcPr>
            <w:tcW w:w="1699" w:type="dxa"/>
          </w:tcPr>
          <w:p w14:paraId="6FB46246" w14:textId="6162C8C7" w:rsidR="00C41760" w:rsidRPr="007034F4" w:rsidRDefault="000E2C3D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S</w:t>
            </w:r>
            <w:r w:rsidR="00023690"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urface</w:t>
            </w:r>
          </w:p>
        </w:tc>
        <w:tc>
          <w:tcPr>
            <w:tcW w:w="1699" w:type="dxa"/>
          </w:tcPr>
          <w:p w14:paraId="762AFA1B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10 m</w:t>
            </w:r>
          </w:p>
        </w:tc>
        <w:tc>
          <w:tcPr>
            <w:tcW w:w="1699" w:type="dxa"/>
          </w:tcPr>
          <w:p w14:paraId="69C9E68D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30 m</w:t>
            </w:r>
          </w:p>
        </w:tc>
        <w:tc>
          <w:tcPr>
            <w:tcW w:w="1699" w:type="dxa"/>
          </w:tcPr>
          <w:p w14:paraId="019E9C19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50 m</w:t>
            </w:r>
          </w:p>
        </w:tc>
      </w:tr>
      <w:tr w:rsidR="00C41760" w:rsidRPr="007034F4" w14:paraId="6FEE8583" w14:textId="77777777" w:rsidTr="00D429F1">
        <w:tc>
          <w:tcPr>
            <w:tcW w:w="1698" w:type="dxa"/>
          </w:tcPr>
          <w:p w14:paraId="234C0AAB" w14:textId="77777777" w:rsidR="00C41760" w:rsidRPr="007034F4" w:rsidRDefault="00C41760" w:rsidP="000E2C3D">
            <w:pPr>
              <w:spacing w:after="120" w:line="240" w:lineRule="atLeast"/>
              <w:rPr>
                <w:rFonts w:ascii="Times" w:eastAsia="Times" w:hAnsi="Times" w:cs="Times"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sz w:val="22"/>
                <w:szCs w:val="22"/>
              </w:rPr>
              <w:t>NO</w:t>
            </w:r>
            <w:r w:rsidRPr="007034F4">
              <w:rPr>
                <w:rFonts w:ascii="Times" w:eastAsia="Times" w:hAnsi="Times" w:cs="Times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699" w:type="dxa"/>
          </w:tcPr>
          <w:p w14:paraId="374207E1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0.000015</w:t>
            </w:r>
          </w:p>
        </w:tc>
        <w:tc>
          <w:tcPr>
            <w:tcW w:w="1699" w:type="dxa"/>
          </w:tcPr>
          <w:p w14:paraId="7B3520B2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0.000001</w:t>
            </w:r>
          </w:p>
        </w:tc>
        <w:tc>
          <w:tcPr>
            <w:tcW w:w="1699" w:type="dxa"/>
          </w:tcPr>
          <w:p w14:paraId="40344453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0.000917</w:t>
            </w:r>
          </w:p>
        </w:tc>
        <w:tc>
          <w:tcPr>
            <w:tcW w:w="1699" w:type="dxa"/>
          </w:tcPr>
          <w:p w14:paraId="302E0124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sz w:val="22"/>
                <w:szCs w:val="22"/>
              </w:rPr>
              <w:t>0.274868</w:t>
            </w:r>
          </w:p>
        </w:tc>
      </w:tr>
      <w:tr w:rsidR="00C41760" w:rsidRPr="007034F4" w14:paraId="0572828E" w14:textId="77777777" w:rsidTr="00D429F1">
        <w:tc>
          <w:tcPr>
            <w:tcW w:w="1698" w:type="dxa"/>
          </w:tcPr>
          <w:p w14:paraId="2C84DEB6" w14:textId="77777777" w:rsidR="00C41760" w:rsidRPr="007034F4" w:rsidRDefault="00C41760" w:rsidP="000E2C3D">
            <w:pPr>
              <w:spacing w:after="120" w:line="240" w:lineRule="atLeast"/>
              <w:rPr>
                <w:rFonts w:ascii="Times" w:eastAsia="Times" w:hAnsi="Times" w:cs="Times"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sz w:val="22"/>
                <w:szCs w:val="22"/>
              </w:rPr>
              <w:t>NO</w:t>
            </w:r>
            <w:r w:rsidRPr="007034F4">
              <w:rPr>
                <w:rFonts w:ascii="Times" w:eastAsia="Times" w:hAnsi="Times" w:cs="Times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699" w:type="dxa"/>
          </w:tcPr>
          <w:p w14:paraId="0060CA28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0.000322</w:t>
            </w:r>
          </w:p>
        </w:tc>
        <w:tc>
          <w:tcPr>
            <w:tcW w:w="1699" w:type="dxa"/>
          </w:tcPr>
          <w:p w14:paraId="1C381270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0.000789</w:t>
            </w:r>
          </w:p>
        </w:tc>
        <w:tc>
          <w:tcPr>
            <w:tcW w:w="1699" w:type="dxa"/>
          </w:tcPr>
          <w:p w14:paraId="2E28051E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0.000876</w:t>
            </w:r>
          </w:p>
        </w:tc>
        <w:tc>
          <w:tcPr>
            <w:tcW w:w="1699" w:type="dxa"/>
          </w:tcPr>
          <w:p w14:paraId="50591B20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sz w:val="22"/>
                <w:szCs w:val="22"/>
              </w:rPr>
              <w:t>0.338167</w:t>
            </w:r>
          </w:p>
        </w:tc>
      </w:tr>
      <w:tr w:rsidR="00C41760" w:rsidRPr="007034F4" w14:paraId="6BB1350D" w14:textId="77777777" w:rsidTr="00D429F1">
        <w:tc>
          <w:tcPr>
            <w:tcW w:w="1698" w:type="dxa"/>
          </w:tcPr>
          <w:p w14:paraId="15073298" w14:textId="77777777" w:rsidR="00C41760" w:rsidRPr="007034F4" w:rsidRDefault="00C41760" w:rsidP="000E2C3D">
            <w:pPr>
              <w:spacing w:after="120" w:line="240" w:lineRule="atLeast"/>
              <w:rPr>
                <w:rFonts w:ascii="Times" w:eastAsia="Times" w:hAnsi="Times" w:cs="Times"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sz w:val="22"/>
                <w:szCs w:val="22"/>
              </w:rPr>
              <w:t>SRP</w:t>
            </w:r>
          </w:p>
        </w:tc>
        <w:tc>
          <w:tcPr>
            <w:tcW w:w="1699" w:type="dxa"/>
          </w:tcPr>
          <w:p w14:paraId="502C9CC0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0.000504</w:t>
            </w:r>
          </w:p>
        </w:tc>
        <w:tc>
          <w:tcPr>
            <w:tcW w:w="1699" w:type="dxa"/>
          </w:tcPr>
          <w:p w14:paraId="5A86600B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0.002053</w:t>
            </w:r>
          </w:p>
        </w:tc>
        <w:tc>
          <w:tcPr>
            <w:tcW w:w="1699" w:type="dxa"/>
          </w:tcPr>
          <w:p w14:paraId="701F6E38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0.000306</w:t>
            </w:r>
          </w:p>
        </w:tc>
        <w:tc>
          <w:tcPr>
            <w:tcW w:w="1699" w:type="dxa"/>
          </w:tcPr>
          <w:p w14:paraId="00D44D96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sz w:val="22"/>
                <w:szCs w:val="22"/>
              </w:rPr>
              <w:t>0.338167</w:t>
            </w:r>
          </w:p>
        </w:tc>
      </w:tr>
      <w:tr w:rsidR="00C41760" w:rsidRPr="007034F4" w14:paraId="5EA01954" w14:textId="77777777" w:rsidTr="00D429F1">
        <w:tc>
          <w:tcPr>
            <w:tcW w:w="1698" w:type="dxa"/>
          </w:tcPr>
          <w:p w14:paraId="084D3175" w14:textId="77777777" w:rsidR="00C41760" w:rsidRPr="007034F4" w:rsidRDefault="00C41760" w:rsidP="000E2C3D">
            <w:pPr>
              <w:spacing w:after="120" w:line="240" w:lineRule="atLeast"/>
              <w:rPr>
                <w:rFonts w:ascii="Times" w:eastAsia="Times" w:hAnsi="Times" w:cs="Times"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sz w:val="22"/>
                <w:szCs w:val="22"/>
              </w:rPr>
              <w:t>SRSi</w:t>
            </w:r>
          </w:p>
        </w:tc>
        <w:tc>
          <w:tcPr>
            <w:tcW w:w="1699" w:type="dxa"/>
          </w:tcPr>
          <w:p w14:paraId="146F0C94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0.000000</w:t>
            </w:r>
          </w:p>
        </w:tc>
        <w:tc>
          <w:tcPr>
            <w:tcW w:w="1699" w:type="dxa"/>
          </w:tcPr>
          <w:p w14:paraId="034250A7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0.000184</w:t>
            </w:r>
          </w:p>
        </w:tc>
        <w:tc>
          <w:tcPr>
            <w:tcW w:w="1699" w:type="dxa"/>
          </w:tcPr>
          <w:p w14:paraId="221CC3B4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0.000040</w:t>
            </w:r>
          </w:p>
        </w:tc>
        <w:tc>
          <w:tcPr>
            <w:tcW w:w="1699" w:type="dxa"/>
          </w:tcPr>
          <w:p w14:paraId="448C8A3D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0.000000</w:t>
            </w:r>
          </w:p>
        </w:tc>
      </w:tr>
      <w:tr w:rsidR="00C41760" w:rsidRPr="007034F4" w14:paraId="593F717F" w14:textId="77777777" w:rsidTr="00D429F1">
        <w:tc>
          <w:tcPr>
            <w:tcW w:w="1698" w:type="dxa"/>
          </w:tcPr>
          <w:p w14:paraId="3EF89D2F" w14:textId="77777777" w:rsidR="00C41760" w:rsidRPr="007034F4" w:rsidRDefault="00C41760" w:rsidP="000E2C3D">
            <w:pPr>
              <w:spacing w:after="120" w:line="240" w:lineRule="atLeast"/>
              <w:rPr>
                <w:rFonts w:ascii="Times" w:eastAsia="Times" w:hAnsi="Times" w:cs="Times"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sz w:val="22"/>
                <w:szCs w:val="22"/>
              </w:rPr>
              <w:t>Chl-</w:t>
            </w:r>
            <w:r w:rsidRPr="007034F4">
              <w:rPr>
                <w:rFonts w:ascii="Times" w:eastAsia="Times" w:hAnsi="Times" w:cs="Times"/>
                <w:i/>
                <w:sz w:val="22"/>
                <w:szCs w:val="22"/>
              </w:rPr>
              <w:t>a</w:t>
            </w:r>
          </w:p>
        </w:tc>
        <w:tc>
          <w:tcPr>
            <w:tcW w:w="1699" w:type="dxa"/>
          </w:tcPr>
          <w:p w14:paraId="62B2DC9A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sz w:val="22"/>
                <w:szCs w:val="22"/>
              </w:rPr>
              <w:t>0.223774</w:t>
            </w:r>
          </w:p>
        </w:tc>
        <w:tc>
          <w:tcPr>
            <w:tcW w:w="1699" w:type="dxa"/>
          </w:tcPr>
          <w:p w14:paraId="02C5F98F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sz w:val="22"/>
                <w:szCs w:val="22"/>
              </w:rPr>
              <w:t>0.331026</w:t>
            </w:r>
          </w:p>
        </w:tc>
        <w:tc>
          <w:tcPr>
            <w:tcW w:w="1699" w:type="dxa"/>
          </w:tcPr>
          <w:p w14:paraId="00038EDD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sz w:val="22"/>
                <w:szCs w:val="22"/>
              </w:rPr>
              <w:t>0.157517</w:t>
            </w:r>
          </w:p>
        </w:tc>
        <w:tc>
          <w:tcPr>
            <w:tcW w:w="1699" w:type="dxa"/>
          </w:tcPr>
          <w:p w14:paraId="238C5256" w14:textId="77777777" w:rsidR="00C41760" w:rsidRPr="007034F4" w:rsidRDefault="00C41760" w:rsidP="000E2C3D">
            <w:pPr>
              <w:spacing w:after="120" w:line="240" w:lineRule="atLeast"/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 w:rsidRPr="007034F4">
              <w:rPr>
                <w:rFonts w:ascii="Times" w:eastAsia="Times" w:hAnsi="Times" w:cs="Times"/>
                <w:sz w:val="22"/>
                <w:szCs w:val="22"/>
              </w:rPr>
              <w:t>0.200947</w:t>
            </w:r>
          </w:p>
        </w:tc>
      </w:tr>
    </w:tbl>
    <w:p w14:paraId="71F1F066" w14:textId="77777777" w:rsidR="00C41760" w:rsidRDefault="00C41760" w:rsidP="00C41760">
      <w:pPr>
        <w:spacing w:line="480" w:lineRule="auto"/>
        <w:rPr>
          <w:rFonts w:ascii="Times" w:eastAsia="Times" w:hAnsi="Times" w:cs="Times"/>
        </w:rPr>
      </w:pPr>
    </w:p>
    <w:p w14:paraId="053B9F58" w14:textId="77777777" w:rsidR="00C71828" w:rsidRDefault="00C71828"/>
    <w:sectPr w:rsidR="00C718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60"/>
    <w:rsid w:val="00023690"/>
    <w:rsid w:val="00064CE7"/>
    <w:rsid w:val="000E2C3D"/>
    <w:rsid w:val="003328D1"/>
    <w:rsid w:val="007034F4"/>
    <w:rsid w:val="00A569AE"/>
    <w:rsid w:val="00AC4499"/>
    <w:rsid w:val="00AE56B8"/>
    <w:rsid w:val="00C41760"/>
    <w:rsid w:val="00C71828"/>
    <w:rsid w:val="00C7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AA3A"/>
  <w15:chartTrackingRefBased/>
  <w15:docId w15:val="{8F360B39-67C1-5248-8185-D2E0A002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1760"/>
    <w:rPr>
      <w:rFonts w:ascii="Calibri" w:eastAsia="Calibri" w:hAnsi="Calibri" w:cs="Calibri"/>
      <w:lang w:val="en-US" w:eastAsia="es-ES_trad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STÖBER, Gunda</cp:lastModifiedBy>
  <cp:revision>9</cp:revision>
  <dcterms:created xsi:type="dcterms:W3CDTF">2025-01-30T19:46:00Z</dcterms:created>
  <dcterms:modified xsi:type="dcterms:W3CDTF">2025-06-10T07:29:00Z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2025-06-10T07:11:50Z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41d17068-ba90-405d-91b9-0bcd92c9776d</vt:lpwstr>
  </property>
  <property fmtid="{D5CDD505-2E9C-101B-9397-08002B2CF9AE}" pid="7" name="MSIP_Label_defa4170-0d19-0005-0004-bc88714345d2_ActionId">
    <vt:lpwstr>6570adc5-0a92-42af-978e-a9cf5bae61a4</vt:lpwstr>
  </property>
  <property fmtid="{D5CDD505-2E9C-101B-9397-08002B2CF9AE}" pid="8" name="MSIP_Label_defa4170-0d19-0005-0004-bc88714345d2_ContentBits">
    <vt:lpwstr>0</vt:lpwstr>
  </property>
</Properties>
</file>