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32" w:rsidRPr="00175D6B" w:rsidRDefault="00757032" w:rsidP="00175D6B">
      <w:pPr>
        <w:pStyle w:val="StandardWeb"/>
        <w:spacing w:line="276" w:lineRule="auto"/>
        <w:ind w:left="480" w:hanging="480"/>
        <w:rPr>
          <w:rFonts w:ascii="Calibri" w:hAnsi="Calibri" w:cs="Calibri"/>
          <w:b/>
          <w:sz w:val="28"/>
          <w:szCs w:val="28"/>
        </w:rPr>
      </w:pPr>
      <w:r w:rsidRPr="00757032">
        <w:rPr>
          <w:rFonts w:ascii="Calibri" w:hAnsi="Calibri" w:cs="Calibri"/>
          <w:b/>
          <w:sz w:val="28"/>
          <w:szCs w:val="28"/>
        </w:rPr>
        <w:t>Supplementary Material</w:t>
      </w:r>
    </w:p>
    <w:p w:rsidR="00757032" w:rsidRPr="00757032" w:rsidRDefault="00757032" w:rsidP="00757032">
      <w:pPr>
        <w:pStyle w:val="KeinLeerraum"/>
        <w:spacing w:after="120" w:line="240" w:lineRule="atLeast"/>
        <w:rPr>
          <w:rFonts w:cs="Calibri"/>
          <w:b/>
          <w:bCs/>
        </w:rPr>
      </w:pPr>
      <w:r w:rsidRPr="00757032">
        <w:rPr>
          <w:rFonts w:cs="Calibri"/>
          <w:b/>
          <w:bCs/>
        </w:rPr>
        <w:t xml:space="preserve">Phylogeographic patterns in attached and free-living marine macroalga </w:t>
      </w:r>
      <w:r w:rsidRPr="00757032">
        <w:rPr>
          <w:rFonts w:cs="Calibri"/>
          <w:b/>
          <w:bCs/>
          <w:i/>
          <w:iCs/>
        </w:rPr>
        <w:t>Fucus vesiculosus</w:t>
      </w:r>
      <w:r w:rsidRPr="00757032">
        <w:rPr>
          <w:rFonts w:cs="Calibri"/>
          <w:b/>
          <w:bCs/>
        </w:rPr>
        <w:t xml:space="preserve"> (Fucaceae, Phaeophyceae) in the Baltic Sea</w:t>
      </w:r>
    </w:p>
    <w:p w:rsidR="00757032" w:rsidRDefault="00757032" w:rsidP="00757032">
      <w:pPr>
        <w:spacing w:after="120" w:line="240" w:lineRule="atLeast"/>
        <w:rPr>
          <w:rFonts w:cs="Calibri"/>
          <w:lang w:val="sv-SE"/>
        </w:rPr>
      </w:pPr>
      <w:r w:rsidRPr="00757032">
        <w:rPr>
          <w:rFonts w:cs="Calibri"/>
          <w:lang w:val="sv-SE"/>
        </w:rPr>
        <w:t>Roxana Preston</w:t>
      </w:r>
      <w:r>
        <w:rPr>
          <w:rFonts w:cs="Calibri"/>
          <w:lang w:val="sv-SE"/>
        </w:rPr>
        <w:t xml:space="preserve"> et al.</w:t>
      </w:r>
    </w:p>
    <w:p w:rsidR="00757032" w:rsidRDefault="00757032" w:rsidP="00757032">
      <w:pPr>
        <w:spacing w:after="120" w:line="240" w:lineRule="atLeast"/>
        <w:rPr>
          <w:rFonts w:cs="Calibri"/>
          <w:lang w:val="sv-SE"/>
        </w:rPr>
      </w:pPr>
      <w:r>
        <w:rPr>
          <w:rFonts w:cs="Calibri"/>
          <w:lang w:val="sv-SE"/>
        </w:rPr>
        <w:t xml:space="preserve">DOI </w:t>
      </w:r>
      <w:r w:rsidRPr="00757032">
        <w:rPr>
          <w:rFonts w:cs="Calibri"/>
          <w:lang w:val="sv-SE"/>
        </w:rPr>
        <w:t>10.1515/bot-2022-0016</w:t>
      </w:r>
    </w:p>
    <w:p w:rsidR="00757032" w:rsidRDefault="00757032" w:rsidP="00757032">
      <w:pPr>
        <w:spacing w:after="120" w:line="240" w:lineRule="atLeast"/>
        <w:rPr>
          <w:rFonts w:cs="Calibri"/>
          <w:lang w:val="sv-SE"/>
        </w:rPr>
      </w:pPr>
    </w:p>
    <w:p w:rsidR="00175D6B" w:rsidRDefault="00175D6B" w:rsidP="00757032">
      <w:pPr>
        <w:spacing w:line="480" w:lineRule="auto"/>
        <w:rPr>
          <w:rFonts w:cs="Calibri"/>
          <w:sz w:val="24"/>
          <w:szCs w:val="24"/>
        </w:rPr>
      </w:pPr>
    </w:p>
    <w:p w:rsidR="00175D6B" w:rsidRDefault="00175D6B" w:rsidP="00757032">
      <w:pPr>
        <w:spacing w:line="480" w:lineRule="auto"/>
        <w:rPr>
          <w:rFonts w:cs="Calibri"/>
          <w:sz w:val="24"/>
          <w:szCs w:val="24"/>
        </w:rPr>
      </w:pPr>
    </w:p>
    <w:p w:rsidR="00175D6B" w:rsidRDefault="00175D6B" w:rsidP="00757032">
      <w:pPr>
        <w:spacing w:line="48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val="de-DE" w:eastAsia="de-DE"/>
        </w:rPr>
        <w:drawing>
          <wp:inline distT="0" distB="0" distL="0" distR="0">
            <wp:extent cx="2638800" cy="3484800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_S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800" cy="34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032" w:rsidRPr="00175D6B" w:rsidRDefault="00757032" w:rsidP="00175D6B">
      <w:pPr>
        <w:spacing w:after="120" w:line="240" w:lineRule="atLeast"/>
        <w:rPr>
          <w:rFonts w:cs="Calibri"/>
        </w:rPr>
      </w:pPr>
      <w:r w:rsidRPr="00175D6B">
        <w:rPr>
          <w:rFonts w:cs="Calibri"/>
          <w:b/>
        </w:rPr>
        <w:t xml:space="preserve">Supplementary </w:t>
      </w:r>
      <w:r w:rsidRPr="00175D6B">
        <w:rPr>
          <w:rFonts w:cs="Calibri"/>
          <w:b/>
        </w:rPr>
        <w:t>Figure S1:</w:t>
      </w:r>
      <w:r w:rsidRPr="00175D6B">
        <w:rPr>
          <w:rFonts w:cs="Calibri"/>
        </w:rPr>
        <w:t xml:space="preserve"> </w:t>
      </w:r>
      <w:r w:rsidRPr="00175D6B">
        <w:t xml:space="preserve">Rarefaction and extrapolation sampling curves as functions of the number of samples. For the whole Baltic Sea population (A) and per site (B). Shaded area represents 95% confidence intervals obtained using the bootstrap method on the basis of 1000 repetitions. </w:t>
      </w:r>
      <w:r w:rsidRPr="00175D6B">
        <w:rPr>
          <w:rFonts w:cs="Calibri"/>
          <w:iCs/>
        </w:rPr>
        <w:t>Site abbreviations: AS</w:t>
      </w:r>
      <w:r w:rsidRPr="00175D6B">
        <w:rPr>
          <w:rFonts w:cs="Calibri"/>
          <w:iCs/>
          <w:lang w:val="fi-FI"/>
        </w:rPr>
        <w:t>, Askö; HS, Hiddensee; OL, Olkiluoto; SA, Saaremaa; SE, Seili; TZ, Tvärminne.</w:t>
      </w:r>
    </w:p>
    <w:p w:rsidR="00757032" w:rsidRPr="00757032" w:rsidRDefault="00757032" w:rsidP="00757032">
      <w:pPr>
        <w:spacing w:after="120" w:line="240" w:lineRule="atLeast"/>
        <w:rPr>
          <w:rFonts w:cs="Calibri"/>
        </w:rPr>
      </w:pPr>
    </w:p>
    <w:p w:rsidR="00757032" w:rsidRPr="00757032" w:rsidRDefault="00757032">
      <w:pPr>
        <w:rPr>
          <w:rFonts w:eastAsia="Times New Roman" w:cs="Calibri"/>
          <w:b/>
          <w:sz w:val="24"/>
          <w:lang w:eastAsia="en-GB"/>
        </w:rPr>
      </w:pPr>
      <w:r w:rsidRPr="00757032">
        <w:rPr>
          <w:rFonts w:cs="Calibri"/>
          <w:b/>
        </w:rPr>
        <w:br w:type="page"/>
      </w:r>
      <w:bookmarkStart w:id="0" w:name="_GoBack"/>
      <w:bookmarkEnd w:id="0"/>
    </w:p>
    <w:p w:rsidR="00DE056B" w:rsidRPr="00757032" w:rsidRDefault="00DE056B" w:rsidP="00DE056B">
      <w:pPr>
        <w:pStyle w:val="StandardWeb"/>
        <w:spacing w:line="276" w:lineRule="auto"/>
        <w:ind w:left="480" w:hanging="480"/>
        <w:rPr>
          <w:rFonts w:ascii="Calibri" w:hAnsi="Calibri" w:cs="Calibri"/>
          <w:b/>
          <w:szCs w:val="22"/>
        </w:rPr>
      </w:pPr>
    </w:p>
    <w:tbl>
      <w:tblPr>
        <w:tblStyle w:val="EinfacheTabelle5"/>
        <w:tblW w:w="9148" w:type="dxa"/>
        <w:jc w:val="center"/>
        <w:tblLayout w:type="fixed"/>
        <w:tblLook w:val="04A0" w:firstRow="1" w:lastRow="0" w:firstColumn="1" w:lastColumn="0" w:noHBand="0" w:noVBand="1"/>
      </w:tblPr>
      <w:tblGrid>
        <w:gridCol w:w="2492"/>
        <w:gridCol w:w="6656"/>
      </w:tblGrid>
      <w:tr w:rsidR="00DE056B" w:rsidRPr="005C3BBF" w:rsidTr="005C3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48" w:type="dxa"/>
            <w:gridSpan w:val="2"/>
            <w:shd w:val="clear" w:color="auto" w:fill="auto"/>
          </w:tcPr>
          <w:p w:rsidR="00DE056B" w:rsidRPr="005C3BBF" w:rsidRDefault="00757032" w:rsidP="00611C16">
            <w:pPr>
              <w:pStyle w:val="StandardWeb"/>
              <w:spacing w:line="276" w:lineRule="auto"/>
              <w:jc w:val="left"/>
              <w:rPr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757032">
              <w:rPr>
                <w:rFonts w:ascii="Calibri" w:hAnsi="Calibri" w:cs="Calibri"/>
                <w:b/>
                <w:i w:val="0"/>
                <w:sz w:val="22"/>
                <w:szCs w:val="22"/>
              </w:rPr>
              <w:t xml:space="preserve">Supplementary </w:t>
            </w:r>
            <w:r w:rsidR="00DE056B" w:rsidRPr="005C3BBF">
              <w:rPr>
                <w:rFonts w:ascii="Calibri" w:hAnsi="Calibri" w:cs="Calibri"/>
                <w:b/>
                <w:i w:val="0"/>
                <w:sz w:val="22"/>
                <w:szCs w:val="22"/>
              </w:rPr>
              <w:t>T</w:t>
            </w:r>
            <w:r w:rsidR="00410BFA">
              <w:rPr>
                <w:rFonts w:ascii="Calibri" w:hAnsi="Calibri" w:cs="Calibri"/>
                <w:b/>
                <w:i w:val="0"/>
                <w:sz w:val="22"/>
                <w:szCs w:val="22"/>
              </w:rPr>
              <w:t>able S</w:t>
            </w:r>
            <w:r w:rsidR="00DE056B" w:rsidRPr="005C3BBF">
              <w:rPr>
                <w:rFonts w:ascii="Calibri" w:hAnsi="Calibri" w:cs="Calibri"/>
                <w:b/>
                <w:i w:val="0"/>
                <w:sz w:val="22"/>
                <w:szCs w:val="22"/>
              </w:rPr>
              <w:t>1</w:t>
            </w:r>
            <w:r w:rsidR="00DE056B" w:rsidRPr="00757032">
              <w:rPr>
                <w:rFonts w:ascii="Calibri" w:hAnsi="Calibri" w:cs="Calibri"/>
                <w:b/>
                <w:i w:val="0"/>
                <w:sz w:val="22"/>
                <w:szCs w:val="22"/>
              </w:rPr>
              <w:t>:</w:t>
            </w:r>
            <w:r w:rsidR="00DE056B" w:rsidRPr="005C3BBF">
              <w:rPr>
                <w:rFonts w:ascii="Calibri" w:hAnsi="Calibri" w:cs="Calibri"/>
                <w:i w:val="0"/>
                <w:sz w:val="22"/>
                <w:szCs w:val="22"/>
              </w:rPr>
              <w:t xml:space="preserve"> PCR primers tested within the laboratory</w:t>
            </w:r>
            <w:r>
              <w:rPr>
                <w:rFonts w:ascii="Calibri" w:hAnsi="Calibri" w:cs="Calibri"/>
                <w:i w:val="0"/>
                <w:sz w:val="22"/>
                <w:szCs w:val="22"/>
              </w:rPr>
              <w:t>.</w:t>
            </w:r>
            <w:r w:rsidR="00DE056B" w:rsidRPr="005C3BBF">
              <w:rPr>
                <w:rFonts w:ascii="Calibri" w:hAnsi="Calibri" w:cs="Calibri"/>
                <w:i w:val="0"/>
                <w:sz w:val="22"/>
                <w:szCs w:val="22"/>
              </w:rPr>
              <w:t xml:space="preserve"> </w:t>
            </w:r>
            <w:r w:rsidR="00DE056B" w:rsidRPr="005C3BBF">
              <w:rPr>
                <w:rFonts w:ascii="Calibri" w:hAnsi="Calibri" w:cs="Calibri"/>
                <w:i w:val="0"/>
                <w:sz w:val="22"/>
                <w:szCs w:val="22"/>
                <w:vertAlign w:val="superscript"/>
              </w:rPr>
              <w:t>(</w:t>
            </w:r>
            <w:r w:rsidR="00611C16" w:rsidRPr="00611C16">
              <w:rPr>
                <w:rFonts w:ascii="Calibri" w:hAnsi="Calibri" w:cs="Calibri"/>
                <w:i w:val="0"/>
                <w:sz w:val="22"/>
                <w:szCs w:val="22"/>
                <w:vertAlign w:val="superscript"/>
              </w:rPr>
              <w:t>†</w:t>
            </w:r>
            <w:r w:rsidR="00DE056B" w:rsidRPr="005C3BBF">
              <w:rPr>
                <w:rFonts w:ascii="Calibri" w:hAnsi="Calibri" w:cs="Calibri"/>
                <w:i w:val="0"/>
                <w:sz w:val="22"/>
                <w:szCs w:val="22"/>
                <w:vertAlign w:val="superscript"/>
              </w:rPr>
              <w:t>)</w:t>
            </w:r>
          </w:p>
        </w:tc>
      </w:tr>
      <w:tr w:rsidR="00DE056B" w:rsidRPr="005C3BBF" w:rsidTr="005C3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shd w:val="clear" w:color="auto" w:fill="auto"/>
          </w:tcPr>
          <w:p w:rsidR="00DE056B" w:rsidRPr="005C3BBF" w:rsidRDefault="00DE056B" w:rsidP="003462BC">
            <w:pPr>
              <w:pStyle w:val="StandardWeb"/>
              <w:spacing w:line="276" w:lineRule="auto"/>
              <w:rPr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22"/>
                <w:szCs w:val="22"/>
              </w:rPr>
              <w:t>Name</w:t>
            </w:r>
          </w:p>
        </w:tc>
        <w:tc>
          <w:tcPr>
            <w:tcW w:w="6656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:rsidR="00DE056B" w:rsidRPr="005C3BBF" w:rsidRDefault="00DE056B" w:rsidP="003462BC">
            <w:pPr>
              <w:pStyle w:val="StandardWe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RuBisCO</w:t>
            </w:r>
          </w:p>
        </w:tc>
      </w:tr>
      <w:tr w:rsidR="00DE056B" w:rsidRPr="005C3BBF" w:rsidTr="005C3B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shd w:val="clear" w:color="auto" w:fill="auto"/>
          </w:tcPr>
          <w:p w:rsidR="00DE056B" w:rsidRPr="005C3BBF" w:rsidRDefault="00DE056B" w:rsidP="003462BC">
            <w:pPr>
              <w:pStyle w:val="StandardWeb"/>
              <w:spacing w:line="276" w:lineRule="auto"/>
              <w:rPr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22"/>
                <w:szCs w:val="22"/>
              </w:rPr>
              <w:t>Target genome</w:t>
            </w:r>
          </w:p>
        </w:tc>
        <w:tc>
          <w:tcPr>
            <w:tcW w:w="6656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:rsidR="00DE056B" w:rsidRPr="005C3BBF" w:rsidRDefault="00DE056B" w:rsidP="003462BC">
            <w:pPr>
              <w:pStyle w:val="StandardWe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Chloroplast</w:t>
            </w:r>
          </w:p>
        </w:tc>
      </w:tr>
      <w:tr w:rsidR="00DE056B" w:rsidRPr="005C3BBF" w:rsidTr="005C3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shd w:val="clear" w:color="auto" w:fill="auto"/>
          </w:tcPr>
          <w:p w:rsidR="00DE056B" w:rsidRPr="005C3BBF" w:rsidRDefault="00DE056B" w:rsidP="003462BC">
            <w:pPr>
              <w:pStyle w:val="StandardWeb"/>
              <w:spacing w:line="276" w:lineRule="auto"/>
              <w:rPr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22"/>
                <w:szCs w:val="22"/>
              </w:rPr>
              <w:t>Gene region</w:t>
            </w:r>
          </w:p>
        </w:tc>
        <w:tc>
          <w:tcPr>
            <w:tcW w:w="6656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:rsidR="00DE056B" w:rsidRPr="005C3BBF" w:rsidRDefault="00DE056B" w:rsidP="003462BC">
            <w:pPr>
              <w:pStyle w:val="StandardWe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Plastid-encoded RUBISCO region spanning the large subunit gene (RbcL), the small subunit gene (RbcS), and the spacer between the subunits.</w:t>
            </w:r>
          </w:p>
        </w:tc>
      </w:tr>
      <w:tr w:rsidR="00DE056B" w:rsidRPr="005C3BBF" w:rsidTr="005C3B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shd w:val="clear" w:color="auto" w:fill="auto"/>
          </w:tcPr>
          <w:p w:rsidR="00DE056B" w:rsidRPr="005C3BBF" w:rsidRDefault="00DE056B" w:rsidP="003462BC">
            <w:pPr>
              <w:pStyle w:val="StandardWeb"/>
              <w:spacing w:line="276" w:lineRule="auto"/>
              <w:rPr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22"/>
                <w:szCs w:val="22"/>
              </w:rPr>
              <w:t>Forward primer (5’–3’)</w:t>
            </w:r>
          </w:p>
        </w:tc>
        <w:tc>
          <w:tcPr>
            <w:tcW w:w="6656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:rsidR="00DE056B" w:rsidRPr="005C3BBF" w:rsidRDefault="00DE056B" w:rsidP="003462BC">
            <w:pPr>
              <w:pStyle w:val="StandardWe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TTG</w:t>
            </w:r>
            <w:r w:rsidR="000C5293" w:rsidRPr="005C3B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3BBF">
              <w:rPr>
                <w:rFonts w:ascii="Calibri" w:hAnsi="Calibri" w:cs="Calibri"/>
                <w:sz w:val="22"/>
                <w:szCs w:val="22"/>
              </w:rPr>
              <w:t>TGG</w:t>
            </w:r>
            <w:r w:rsidR="000C5293" w:rsidRPr="005C3B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3BBF">
              <w:rPr>
                <w:rFonts w:ascii="Calibri" w:hAnsi="Calibri" w:cs="Calibri"/>
                <w:sz w:val="22"/>
                <w:szCs w:val="22"/>
              </w:rPr>
              <w:t>TCA</w:t>
            </w:r>
            <w:r w:rsidR="000C5293" w:rsidRPr="005C3B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3BBF">
              <w:rPr>
                <w:rFonts w:ascii="Calibri" w:hAnsi="Calibri" w:cs="Calibri"/>
                <w:sz w:val="22"/>
                <w:szCs w:val="22"/>
              </w:rPr>
              <w:t>AAT</w:t>
            </w:r>
            <w:r w:rsidR="000C5293" w:rsidRPr="005C3B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3BBF">
              <w:rPr>
                <w:rFonts w:ascii="Calibri" w:hAnsi="Calibri" w:cs="Calibri"/>
                <w:sz w:val="22"/>
                <w:szCs w:val="22"/>
              </w:rPr>
              <w:t>GCA</w:t>
            </w:r>
            <w:r w:rsidR="000C5293" w:rsidRPr="005C3B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3BBF">
              <w:rPr>
                <w:rFonts w:ascii="Calibri" w:hAnsi="Calibri" w:cs="Calibri"/>
                <w:sz w:val="22"/>
                <w:szCs w:val="22"/>
              </w:rPr>
              <w:t>TCA</w:t>
            </w:r>
            <w:r w:rsidR="000C5293" w:rsidRPr="005C3B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3BBF">
              <w:rPr>
                <w:rFonts w:ascii="Calibri" w:hAnsi="Calibri" w:cs="Calibri"/>
                <w:sz w:val="22"/>
                <w:szCs w:val="22"/>
              </w:rPr>
              <w:t>ACT</w:t>
            </w:r>
          </w:p>
        </w:tc>
      </w:tr>
      <w:tr w:rsidR="00DE056B" w:rsidRPr="005C3BBF" w:rsidTr="005C3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shd w:val="clear" w:color="auto" w:fill="auto"/>
          </w:tcPr>
          <w:p w:rsidR="00DE056B" w:rsidRPr="005C3BBF" w:rsidRDefault="00DE056B" w:rsidP="003462BC">
            <w:pPr>
              <w:pStyle w:val="StandardWeb"/>
              <w:spacing w:line="276" w:lineRule="auto"/>
              <w:rPr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22"/>
                <w:szCs w:val="22"/>
              </w:rPr>
              <w:t>Reverse primer (5’–3’)</w:t>
            </w:r>
          </w:p>
        </w:tc>
        <w:tc>
          <w:tcPr>
            <w:tcW w:w="6656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:rsidR="00DE056B" w:rsidRPr="005C3BBF" w:rsidRDefault="00DE056B" w:rsidP="003462BC">
            <w:pPr>
              <w:pStyle w:val="StandardWe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AGC</w:t>
            </w:r>
            <w:r w:rsidR="000C5293" w:rsidRPr="005C3B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3BBF">
              <w:rPr>
                <w:rFonts w:ascii="Calibri" w:hAnsi="Calibri" w:cs="Calibri"/>
                <w:sz w:val="22"/>
                <w:szCs w:val="22"/>
              </w:rPr>
              <w:t>CCC</w:t>
            </w:r>
            <w:r w:rsidR="000C5293" w:rsidRPr="005C3B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3BBF">
              <w:rPr>
                <w:rFonts w:ascii="Calibri" w:hAnsi="Calibri" w:cs="Calibri"/>
                <w:sz w:val="22"/>
                <w:szCs w:val="22"/>
              </w:rPr>
              <w:t>CAT</w:t>
            </w:r>
            <w:r w:rsidR="000C5293" w:rsidRPr="005C3B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3BBF">
              <w:rPr>
                <w:rFonts w:ascii="Calibri" w:hAnsi="Calibri" w:cs="Calibri"/>
                <w:sz w:val="22"/>
                <w:szCs w:val="22"/>
              </w:rPr>
              <w:t>AAT</w:t>
            </w:r>
            <w:r w:rsidR="000C5293" w:rsidRPr="005C3B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3BBF">
              <w:rPr>
                <w:rFonts w:ascii="Calibri" w:hAnsi="Calibri" w:cs="Calibri"/>
                <w:sz w:val="22"/>
                <w:szCs w:val="22"/>
              </w:rPr>
              <w:t>TCC</w:t>
            </w:r>
            <w:r w:rsidR="000C5293" w:rsidRPr="005C3B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3BBF">
              <w:rPr>
                <w:rFonts w:ascii="Calibri" w:hAnsi="Calibri" w:cs="Calibri"/>
                <w:sz w:val="22"/>
                <w:szCs w:val="22"/>
              </w:rPr>
              <w:t>CAA</w:t>
            </w:r>
            <w:r w:rsidR="000C5293" w:rsidRPr="005C3B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3BBF">
              <w:rPr>
                <w:rFonts w:ascii="Calibri" w:hAnsi="Calibri" w:cs="Calibri"/>
                <w:sz w:val="22"/>
                <w:szCs w:val="22"/>
              </w:rPr>
              <w:t>TA</w:t>
            </w:r>
          </w:p>
        </w:tc>
      </w:tr>
      <w:tr w:rsidR="00DE056B" w:rsidRPr="005C3BBF" w:rsidTr="005C3B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shd w:val="clear" w:color="auto" w:fill="auto"/>
          </w:tcPr>
          <w:p w:rsidR="00DE056B" w:rsidRPr="005C3BBF" w:rsidRDefault="00DE056B" w:rsidP="003462BC">
            <w:pPr>
              <w:pStyle w:val="StandardWeb"/>
              <w:spacing w:line="276" w:lineRule="auto"/>
              <w:rPr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22"/>
                <w:szCs w:val="22"/>
              </w:rPr>
              <w:t>Original author</w:t>
            </w:r>
          </w:p>
        </w:tc>
        <w:tc>
          <w:tcPr>
            <w:tcW w:w="6656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:rsidR="00DE056B" w:rsidRPr="005C3BBF" w:rsidRDefault="00DE056B" w:rsidP="003462BC">
            <w:pPr>
              <w:pStyle w:val="StandardWe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 xml:space="preserve">Bergström et al., 2005 </w:t>
            </w:r>
            <w:r w:rsidRPr="005C3BBF">
              <w:rPr>
                <w:rFonts w:ascii="Calibri" w:hAnsi="Calibri" w:cs="Calibri"/>
                <w:sz w:val="22"/>
                <w:szCs w:val="22"/>
                <w:vertAlign w:val="superscript"/>
              </w:rPr>
              <w:t>(#)</w:t>
            </w:r>
          </w:p>
        </w:tc>
      </w:tr>
      <w:tr w:rsidR="00DE056B" w:rsidRPr="005C3BBF" w:rsidTr="005C3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shd w:val="clear" w:color="auto" w:fill="auto"/>
          </w:tcPr>
          <w:p w:rsidR="00DE056B" w:rsidRPr="005C3BBF" w:rsidRDefault="00DE056B" w:rsidP="003462BC">
            <w:pPr>
              <w:pStyle w:val="StandardWeb"/>
              <w:spacing w:line="276" w:lineRule="auto"/>
              <w:rPr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22"/>
                <w:szCs w:val="22"/>
              </w:rPr>
              <w:t>Problem</w:t>
            </w:r>
          </w:p>
        </w:tc>
        <w:tc>
          <w:tcPr>
            <w:tcW w:w="6656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:rsidR="00DE056B" w:rsidRPr="005C3BBF" w:rsidRDefault="00DE056B" w:rsidP="003462BC">
            <w:pPr>
              <w:pStyle w:val="StandardWe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Consistency unobtainable. Failed first stage amplification. Secondary sequencing PCR or cloning attempted on several first stage PCR products, generally resulting in short, noisy or failed reads.</w:t>
            </w:r>
          </w:p>
        </w:tc>
      </w:tr>
      <w:tr w:rsidR="00DE056B" w:rsidRPr="005C3BBF" w:rsidTr="005C3B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E056B" w:rsidRPr="005C3BBF" w:rsidRDefault="00DE056B" w:rsidP="003462BC">
            <w:pPr>
              <w:pStyle w:val="StandardWeb"/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22"/>
                <w:szCs w:val="22"/>
              </w:rPr>
              <w:t>Tested sample number</w:t>
            </w:r>
          </w:p>
        </w:tc>
        <w:tc>
          <w:tcPr>
            <w:tcW w:w="6656" w:type="dxa"/>
            <w:shd w:val="clear" w:color="auto" w:fill="auto"/>
          </w:tcPr>
          <w:p w:rsidR="00DE056B" w:rsidRPr="005C3BBF" w:rsidRDefault="00DE056B" w:rsidP="003462BC">
            <w:pPr>
              <w:pStyle w:val="StandardWe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="00DE056B" w:rsidRPr="005C3BBF" w:rsidTr="005C3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8" w:type="dxa"/>
            <w:gridSpan w:val="2"/>
            <w:tcBorders>
              <w:top w:val="single" w:sz="4" w:space="0" w:color="7F7F7F" w:themeColor="text1" w:themeTint="80"/>
              <w:right w:val="none" w:sz="0" w:space="0" w:color="auto"/>
            </w:tcBorders>
            <w:shd w:val="clear" w:color="auto" w:fill="auto"/>
          </w:tcPr>
          <w:p w:rsidR="00DE056B" w:rsidRPr="005C3BBF" w:rsidRDefault="00DE056B" w:rsidP="00611C16">
            <w:pPr>
              <w:pStyle w:val="StandardWeb"/>
              <w:spacing w:line="276" w:lineRule="auto"/>
              <w:jc w:val="left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18"/>
                <w:szCs w:val="16"/>
                <w:vertAlign w:val="superscript"/>
              </w:rPr>
              <w:t>(</w:t>
            </w:r>
            <w:r w:rsidR="00611C16" w:rsidRPr="00611C16">
              <w:rPr>
                <w:rFonts w:ascii="Calibri" w:hAnsi="Calibri" w:cs="Calibri"/>
                <w:i w:val="0"/>
                <w:sz w:val="18"/>
                <w:szCs w:val="16"/>
                <w:vertAlign w:val="superscript"/>
              </w:rPr>
              <w:t>†</w:t>
            </w:r>
            <w:r w:rsidRPr="005C3BBF">
              <w:rPr>
                <w:rFonts w:ascii="Calibri" w:hAnsi="Calibri" w:cs="Calibri"/>
                <w:i w:val="0"/>
                <w:sz w:val="18"/>
                <w:szCs w:val="16"/>
                <w:vertAlign w:val="superscript"/>
              </w:rPr>
              <w:t xml:space="preserve">) </w:t>
            </w:r>
            <w:r w:rsidR="00374B6A" w:rsidRPr="005C3BBF">
              <w:rPr>
                <w:rFonts w:ascii="Calibri" w:hAnsi="Calibri" w:cs="Calibri"/>
                <w:i w:val="0"/>
                <w:sz w:val="18"/>
                <w:szCs w:val="16"/>
              </w:rPr>
              <w:t>nrDNA-ITS</w:t>
            </w:r>
            <w:r w:rsidRPr="005C3BBF">
              <w:rPr>
                <w:rFonts w:ascii="Calibri" w:hAnsi="Calibri" w:cs="Calibri"/>
                <w:i w:val="0"/>
                <w:sz w:val="18"/>
                <w:szCs w:val="16"/>
              </w:rPr>
              <w:t xml:space="preserve"> markers where not tested within the laboratory due to the identification of low sequence variance within the reference database (Genbank); </w:t>
            </w:r>
            <w:r w:rsidRPr="005C3BBF">
              <w:rPr>
                <w:rFonts w:ascii="Calibri" w:hAnsi="Calibri" w:cs="Calibri"/>
                <w:i w:val="0"/>
                <w:sz w:val="18"/>
                <w:szCs w:val="16"/>
                <w:vertAlign w:val="superscript"/>
              </w:rPr>
              <w:t xml:space="preserve">(#) </w:t>
            </w:r>
            <w:r w:rsidRPr="005C3BBF">
              <w:rPr>
                <w:rFonts w:ascii="Calibri" w:hAnsi="Calibri" w:cs="Calibri"/>
                <w:i w:val="0"/>
                <w:sz w:val="18"/>
                <w:szCs w:val="16"/>
              </w:rPr>
              <w:t xml:space="preserve">Bergström, L., Tatarenkov, A., Johannesson, K., Jönsson, R.B. and Kautsky, L., 2005. Genetic and morphological identification of </w:t>
            </w:r>
            <w:r w:rsidRPr="00611C16">
              <w:rPr>
                <w:rFonts w:ascii="Calibri" w:hAnsi="Calibri" w:cs="Calibri"/>
                <w:sz w:val="18"/>
                <w:szCs w:val="16"/>
              </w:rPr>
              <w:t>Fucus radicans</w:t>
            </w:r>
            <w:r w:rsidRPr="005C3BBF">
              <w:rPr>
                <w:rFonts w:ascii="Calibri" w:hAnsi="Calibri" w:cs="Calibri"/>
                <w:i w:val="0"/>
                <w:sz w:val="18"/>
                <w:szCs w:val="16"/>
              </w:rPr>
              <w:t xml:space="preserve"> sp. nov. (Fucales, Phaeophyceae) in the brackish Baltic Sea. Journal of Phycology [Online], 41(5), pp.1025–1038. Available from: https://doi.org/10.1111/</w:t>
            </w:r>
            <w:r w:rsidR="00611C16">
              <w:rPr>
                <w:rFonts w:ascii="Calibri" w:hAnsi="Calibri" w:cs="Calibri"/>
                <w:i w:val="0"/>
                <w:sz w:val="18"/>
                <w:szCs w:val="16"/>
              </w:rPr>
              <w:t>J</w:t>
            </w:r>
            <w:r w:rsidRPr="005C3BBF">
              <w:rPr>
                <w:rFonts w:ascii="Calibri" w:hAnsi="Calibri" w:cs="Calibri"/>
                <w:i w:val="0"/>
                <w:sz w:val="18"/>
                <w:szCs w:val="16"/>
              </w:rPr>
              <w:t>.1529-8817.2005.00125.</w:t>
            </w:r>
            <w:r w:rsidR="00611C16">
              <w:rPr>
                <w:rFonts w:ascii="Calibri" w:hAnsi="Calibri" w:cs="Calibri"/>
                <w:i w:val="0"/>
                <w:sz w:val="18"/>
                <w:szCs w:val="16"/>
              </w:rPr>
              <w:t>X</w:t>
            </w:r>
            <w:r w:rsidRPr="005C3BBF">
              <w:rPr>
                <w:rFonts w:ascii="Calibri" w:hAnsi="Calibri" w:cs="Calibri"/>
                <w:i w:val="0"/>
                <w:sz w:val="18"/>
                <w:szCs w:val="16"/>
              </w:rPr>
              <w:t>.</w:t>
            </w:r>
          </w:p>
        </w:tc>
      </w:tr>
    </w:tbl>
    <w:p w:rsidR="00757032" w:rsidRDefault="00757032" w:rsidP="00DE056B">
      <w:pPr>
        <w:pStyle w:val="StandardWeb"/>
        <w:spacing w:line="276" w:lineRule="auto"/>
        <w:ind w:left="480" w:hanging="480"/>
        <w:rPr>
          <w:rFonts w:ascii="Calibri" w:hAnsi="Calibri" w:cs="Calibri"/>
          <w:b/>
          <w:sz w:val="22"/>
          <w:szCs w:val="22"/>
        </w:rPr>
      </w:pPr>
    </w:p>
    <w:p w:rsidR="00757032" w:rsidRDefault="00757032">
      <w:pPr>
        <w:rPr>
          <w:rFonts w:eastAsia="Times New Roman" w:cs="Calibri"/>
          <w:b/>
          <w:lang w:eastAsia="en-GB"/>
        </w:rPr>
      </w:pPr>
      <w:r>
        <w:rPr>
          <w:rFonts w:cs="Calibri"/>
          <w:b/>
        </w:rPr>
        <w:br w:type="page"/>
      </w:r>
    </w:p>
    <w:p w:rsidR="00DE056B" w:rsidRDefault="00DE056B" w:rsidP="00DE056B">
      <w:pPr>
        <w:pStyle w:val="StandardWeb"/>
        <w:spacing w:line="276" w:lineRule="auto"/>
        <w:ind w:left="480" w:hanging="480"/>
        <w:rPr>
          <w:rFonts w:ascii="Calibri" w:hAnsi="Calibri" w:cs="Calibri"/>
          <w:b/>
          <w:sz w:val="22"/>
          <w:szCs w:val="22"/>
        </w:rPr>
      </w:pPr>
    </w:p>
    <w:tbl>
      <w:tblPr>
        <w:tblStyle w:val="EinfacheTabelle5"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1560"/>
        <w:gridCol w:w="1559"/>
      </w:tblGrid>
      <w:tr w:rsidR="00DE056B" w:rsidRPr="005C3BBF" w:rsidTr="00757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35" w:type="dxa"/>
            <w:gridSpan w:val="3"/>
            <w:tcBorders>
              <w:bottom w:val="single" w:sz="4" w:space="0" w:color="A6A6A6"/>
            </w:tcBorders>
            <w:shd w:val="clear" w:color="auto" w:fill="auto"/>
          </w:tcPr>
          <w:p w:rsidR="00DE056B" w:rsidRPr="005C3BBF" w:rsidRDefault="00757032" w:rsidP="00410BFA">
            <w:pPr>
              <w:pStyle w:val="StandardWeb"/>
              <w:spacing w:line="276" w:lineRule="auto"/>
              <w:jc w:val="left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757032">
              <w:rPr>
                <w:rFonts w:ascii="Calibri" w:hAnsi="Calibri" w:cs="Calibri"/>
                <w:b/>
                <w:i w:val="0"/>
                <w:sz w:val="22"/>
                <w:szCs w:val="22"/>
              </w:rPr>
              <w:t xml:space="preserve">Supplementary </w:t>
            </w:r>
            <w:r w:rsidR="00410BFA">
              <w:rPr>
                <w:rFonts w:ascii="Calibri" w:hAnsi="Calibri" w:cs="Calibri"/>
                <w:b/>
                <w:i w:val="0"/>
                <w:sz w:val="22"/>
                <w:szCs w:val="22"/>
              </w:rPr>
              <w:t>Table S</w:t>
            </w:r>
            <w:r w:rsidR="00DE056B" w:rsidRPr="005C3BBF">
              <w:rPr>
                <w:rFonts w:ascii="Calibri" w:hAnsi="Calibri" w:cs="Calibri"/>
                <w:b/>
                <w:i w:val="0"/>
                <w:sz w:val="22"/>
                <w:szCs w:val="22"/>
              </w:rPr>
              <w:t>2</w:t>
            </w:r>
            <w:r w:rsidR="00DE056B" w:rsidRPr="00757032">
              <w:rPr>
                <w:rFonts w:ascii="Calibri" w:hAnsi="Calibri" w:cs="Calibri"/>
                <w:b/>
                <w:i w:val="0"/>
                <w:sz w:val="22"/>
                <w:szCs w:val="22"/>
              </w:rPr>
              <w:t>:</w:t>
            </w:r>
            <w:r w:rsidR="00DE056B" w:rsidRPr="005C3BBF">
              <w:rPr>
                <w:rFonts w:ascii="Calibri" w:hAnsi="Calibri" w:cs="Calibri"/>
                <w:i w:val="0"/>
                <w:sz w:val="22"/>
                <w:szCs w:val="22"/>
              </w:rPr>
              <w:t xml:space="preserve"> Number of samples from each population </w:t>
            </w:r>
            <w:r w:rsidR="00C53EB9" w:rsidRPr="005C3BBF">
              <w:rPr>
                <w:rFonts w:ascii="Calibri" w:hAnsi="Calibri" w:cs="Calibri"/>
                <w:i w:val="0"/>
                <w:sz w:val="22"/>
                <w:szCs w:val="22"/>
              </w:rPr>
              <w:t>trialed</w:t>
            </w:r>
            <w:r w:rsidR="00DE056B" w:rsidRPr="005C3BBF">
              <w:rPr>
                <w:rFonts w:ascii="Calibri" w:hAnsi="Calibri" w:cs="Calibri"/>
                <w:i w:val="0"/>
                <w:sz w:val="22"/>
                <w:szCs w:val="22"/>
              </w:rPr>
              <w:t xml:space="preserve"> for mtDNA intergenic spacer and 23S sequencing. </w:t>
            </w:r>
          </w:p>
        </w:tc>
      </w:tr>
      <w:tr w:rsidR="00DE056B" w:rsidRPr="005C3BBF" w:rsidTr="0075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top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DE056B" w:rsidRPr="00757032" w:rsidRDefault="00DE056B" w:rsidP="003462BC">
            <w:pPr>
              <w:pStyle w:val="StandardWeb"/>
              <w:spacing w:line="276" w:lineRule="auto"/>
              <w:rPr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757032">
              <w:rPr>
                <w:rFonts w:ascii="Calibri" w:hAnsi="Calibri" w:cs="Calibri"/>
                <w:b/>
                <w:i w:val="0"/>
                <w:sz w:val="22"/>
                <w:szCs w:val="22"/>
              </w:rPr>
              <w:t>Population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</w:tcBorders>
            <w:shd w:val="clear" w:color="auto" w:fill="auto"/>
          </w:tcPr>
          <w:p w:rsidR="00DE056B" w:rsidRPr="00757032" w:rsidRDefault="00DE056B" w:rsidP="003462BC">
            <w:pPr>
              <w:pStyle w:val="StandardWe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  <w:r w:rsidRPr="00757032">
              <w:rPr>
                <w:rFonts w:ascii="Calibri" w:hAnsi="Calibri" w:cs="Calibri"/>
                <w:b/>
                <w:sz w:val="22"/>
                <w:szCs w:val="22"/>
              </w:rPr>
              <w:t>Total number of thalli</w:t>
            </w:r>
          </w:p>
        </w:tc>
        <w:tc>
          <w:tcPr>
            <w:tcW w:w="1559" w:type="dxa"/>
            <w:tcBorders>
              <w:top w:val="single" w:sz="4" w:space="0" w:color="A6A6A6"/>
              <w:bottom w:val="single" w:sz="4" w:space="0" w:color="auto"/>
            </w:tcBorders>
            <w:shd w:val="clear" w:color="auto" w:fill="auto"/>
          </w:tcPr>
          <w:p w:rsidR="00DE056B" w:rsidRPr="00757032" w:rsidRDefault="00DE056B" w:rsidP="003462BC">
            <w:pPr>
              <w:pStyle w:val="StandardWe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  <w:r w:rsidRPr="00757032">
              <w:rPr>
                <w:rFonts w:ascii="Calibri" w:hAnsi="Calibri" w:cs="Calibri"/>
                <w:b/>
                <w:sz w:val="22"/>
                <w:szCs w:val="22"/>
              </w:rPr>
              <w:t>Total number of successfully amplified sequences</w:t>
            </w:r>
          </w:p>
        </w:tc>
      </w:tr>
      <w:tr w:rsidR="000C5293" w:rsidRPr="005C3BBF" w:rsidTr="007570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top w:val="single" w:sz="4" w:space="0" w:color="auto"/>
              <w:righ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22"/>
                <w:szCs w:val="22"/>
              </w:rPr>
              <w:t>AS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</w:tr>
      <w:tr w:rsidR="000C5293" w:rsidRPr="005C3BBF" w:rsidTr="005C3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righ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22"/>
                <w:szCs w:val="22"/>
              </w:rPr>
              <w:t>AS F</w:t>
            </w:r>
          </w:p>
        </w:tc>
        <w:tc>
          <w:tcPr>
            <w:tcW w:w="1560" w:type="dxa"/>
            <w:tcBorders>
              <w:lef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</w:tr>
      <w:tr w:rsidR="000C5293" w:rsidRPr="005C3BBF" w:rsidTr="005C3B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righ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22"/>
                <w:szCs w:val="22"/>
              </w:rPr>
              <w:t>HS A</w:t>
            </w:r>
          </w:p>
        </w:tc>
        <w:tc>
          <w:tcPr>
            <w:tcW w:w="1560" w:type="dxa"/>
            <w:tcBorders>
              <w:lef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0C5293" w:rsidRPr="005C3BBF" w:rsidTr="005C3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righ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22"/>
                <w:szCs w:val="22"/>
              </w:rPr>
              <w:t>HS F</w:t>
            </w:r>
          </w:p>
        </w:tc>
        <w:tc>
          <w:tcPr>
            <w:tcW w:w="1560" w:type="dxa"/>
            <w:tcBorders>
              <w:lef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0C5293" w:rsidRPr="005C3BBF" w:rsidTr="005C3B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righ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22"/>
                <w:szCs w:val="22"/>
              </w:rPr>
              <w:t>OL F</w:t>
            </w:r>
          </w:p>
        </w:tc>
        <w:tc>
          <w:tcPr>
            <w:tcW w:w="1560" w:type="dxa"/>
            <w:tcBorders>
              <w:lef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0C5293" w:rsidRPr="005C3BBF" w:rsidTr="005C3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righ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22"/>
                <w:szCs w:val="22"/>
              </w:rPr>
              <w:t>SA F</w:t>
            </w:r>
          </w:p>
        </w:tc>
        <w:tc>
          <w:tcPr>
            <w:tcW w:w="1560" w:type="dxa"/>
            <w:tcBorders>
              <w:lef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0C5293" w:rsidRPr="005C3BBF" w:rsidTr="005C3B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righ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22"/>
                <w:szCs w:val="22"/>
              </w:rPr>
              <w:t>SE A</w:t>
            </w:r>
          </w:p>
        </w:tc>
        <w:tc>
          <w:tcPr>
            <w:tcW w:w="1560" w:type="dxa"/>
            <w:tcBorders>
              <w:lef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0C5293" w:rsidRPr="005C3BBF" w:rsidTr="005C3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righ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22"/>
                <w:szCs w:val="22"/>
              </w:rPr>
              <w:t>SE F</w:t>
            </w:r>
          </w:p>
        </w:tc>
        <w:tc>
          <w:tcPr>
            <w:tcW w:w="1560" w:type="dxa"/>
            <w:tcBorders>
              <w:lef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0C5293" w:rsidRPr="005C3BBF" w:rsidTr="005C3B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righ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22"/>
                <w:szCs w:val="22"/>
              </w:rPr>
              <w:t>TZ A</w:t>
            </w:r>
          </w:p>
        </w:tc>
        <w:tc>
          <w:tcPr>
            <w:tcW w:w="1560" w:type="dxa"/>
            <w:tcBorders>
              <w:lef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0C5293" w:rsidRPr="005C3BBF" w:rsidTr="005C3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5C3BBF">
              <w:rPr>
                <w:rFonts w:ascii="Calibri" w:hAnsi="Calibri" w:cs="Calibri"/>
                <w:i w:val="0"/>
                <w:sz w:val="22"/>
                <w:szCs w:val="22"/>
              </w:rPr>
              <w:t>TZ F</w:t>
            </w:r>
          </w:p>
        </w:tc>
        <w:tc>
          <w:tcPr>
            <w:tcW w:w="1560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6A6A6"/>
            </w:tcBorders>
            <w:shd w:val="clear" w:color="auto" w:fill="auto"/>
          </w:tcPr>
          <w:p w:rsidR="000C5293" w:rsidRPr="005C3BBF" w:rsidRDefault="000C5293" w:rsidP="000C5293">
            <w:pPr>
              <w:pStyle w:val="StandardWeb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C3BBF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0C5293" w:rsidRPr="005C3BBF" w:rsidTr="005C3B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5" w:type="dxa"/>
            <w:gridSpan w:val="3"/>
            <w:tcBorders>
              <w:top w:val="single" w:sz="4" w:space="0" w:color="A6A6A6"/>
              <w:right w:val="none" w:sz="0" w:space="0" w:color="auto"/>
            </w:tcBorders>
            <w:shd w:val="clear" w:color="auto" w:fill="auto"/>
          </w:tcPr>
          <w:p w:rsidR="000C5293" w:rsidRPr="005C3BBF" w:rsidRDefault="000C5293" w:rsidP="005C3BBF">
            <w:pPr>
              <w:pStyle w:val="StandardWeb"/>
              <w:spacing w:line="276" w:lineRule="auto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C3BBF">
              <w:rPr>
                <w:rFonts w:asciiTheme="minorHAnsi" w:hAnsiTheme="minorHAnsi" w:cstheme="minorHAnsi"/>
                <w:i w:val="0"/>
                <w:sz w:val="22"/>
                <w:szCs w:val="22"/>
              </w:rPr>
              <w:t>Site abbreviations: AS, Askö; HS, Hiddensee; OL, Olkiluoto; SA, Saaremaa; SE, Seili; TZ, Tvärminne. Form abbreviations A, attached; F, free-living.</w:t>
            </w:r>
          </w:p>
        </w:tc>
      </w:tr>
    </w:tbl>
    <w:p w:rsidR="00DE056B" w:rsidRDefault="00DE056B" w:rsidP="00DE056B">
      <w:pPr>
        <w:spacing w:after="0" w:line="240" w:lineRule="auto"/>
        <w:rPr>
          <w:rFonts w:eastAsia="Times New Roman" w:cs="Calibri"/>
          <w:b/>
          <w:lang w:eastAsia="en-GB"/>
        </w:rPr>
      </w:pPr>
      <w:r>
        <w:rPr>
          <w:rFonts w:cs="Calibri"/>
          <w:b/>
        </w:rPr>
        <w:br w:type="page"/>
      </w: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302"/>
        <w:gridCol w:w="9046"/>
      </w:tblGrid>
      <w:tr w:rsidR="00410BFA" w:rsidTr="00410BFA">
        <w:trPr>
          <w:jc w:val="center"/>
        </w:trPr>
        <w:tc>
          <w:tcPr>
            <w:tcW w:w="10348" w:type="dxa"/>
            <w:gridSpan w:val="2"/>
            <w:tcBorders>
              <w:bottom w:val="single" w:sz="4" w:space="0" w:color="A6A6A6"/>
              <w:right w:val="nil"/>
            </w:tcBorders>
            <w:shd w:val="clear" w:color="auto" w:fill="auto"/>
          </w:tcPr>
          <w:p w:rsidR="00410BFA" w:rsidRPr="005C3BBF" w:rsidRDefault="00757032" w:rsidP="00410BFA">
            <w:pPr>
              <w:pStyle w:val="StandardWeb"/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75703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Supplementary </w:t>
            </w:r>
            <w:r w:rsidR="00410BFA" w:rsidRPr="00410BFA">
              <w:rPr>
                <w:rFonts w:ascii="Calibri" w:hAnsi="Calibri" w:cs="Calibri"/>
                <w:b/>
                <w:sz w:val="22"/>
                <w:szCs w:val="22"/>
              </w:rPr>
              <w:t>Table S3</w:t>
            </w:r>
            <w:r w:rsidR="00410BFA" w:rsidRPr="00757032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410BFA" w:rsidRPr="00410BFA">
              <w:rPr>
                <w:rFonts w:ascii="Calibri" w:hAnsi="Calibri" w:cs="Calibri"/>
                <w:sz w:val="22"/>
                <w:szCs w:val="22"/>
              </w:rPr>
              <w:t xml:space="preserve"> Accession numbers of all sequences obtained from Genbank (NCBI).</w:t>
            </w:r>
          </w:p>
        </w:tc>
      </w:tr>
      <w:tr w:rsidR="00DE056B" w:rsidTr="00410BFA">
        <w:trPr>
          <w:jc w:val="center"/>
        </w:trPr>
        <w:tc>
          <w:tcPr>
            <w:tcW w:w="1302" w:type="dxa"/>
            <w:tcBorders>
              <w:top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</w:tcPr>
          <w:p w:rsidR="00DE056B" w:rsidRPr="00757032" w:rsidRDefault="00DE056B" w:rsidP="003462BC">
            <w:pPr>
              <w:pStyle w:val="KeinLeerraum"/>
              <w:rPr>
                <w:b/>
              </w:rPr>
            </w:pPr>
            <w:r w:rsidRPr="00757032">
              <w:rPr>
                <w:b/>
              </w:rPr>
              <w:t>Marker</w:t>
            </w:r>
          </w:p>
        </w:tc>
        <w:tc>
          <w:tcPr>
            <w:tcW w:w="904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E056B" w:rsidRPr="00757032" w:rsidRDefault="00DE056B" w:rsidP="003462BC">
            <w:pPr>
              <w:pStyle w:val="KeinLeerraum"/>
              <w:rPr>
                <w:b/>
              </w:rPr>
            </w:pPr>
            <w:r w:rsidRPr="00757032">
              <w:rPr>
                <w:b/>
              </w:rPr>
              <w:t>Accession number</w:t>
            </w:r>
          </w:p>
        </w:tc>
      </w:tr>
      <w:tr w:rsidR="00DE056B" w:rsidTr="00410BFA">
        <w:trPr>
          <w:jc w:val="center"/>
        </w:trPr>
        <w:tc>
          <w:tcPr>
            <w:tcW w:w="1302" w:type="dxa"/>
            <w:tcBorders>
              <w:right w:val="single" w:sz="4" w:space="0" w:color="7F7F7F"/>
            </w:tcBorders>
            <w:shd w:val="clear" w:color="auto" w:fill="auto"/>
          </w:tcPr>
          <w:p w:rsidR="00DE056B" w:rsidRPr="004A68A3" w:rsidRDefault="00DE056B" w:rsidP="005C3BBF">
            <w:pPr>
              <w:pStyle w:val="KeinLeerraum"/>
              <w:jc w:val="right"/>
            </w:pPr>
            <w:r>
              <w:t>IGS</w:t>
            </w:r>
          </w:p>
        </w:tc>
        <w:tc>
          <w:tcPr>
            <w:tcW w:w="9046" w:type="dxa"/>
          </w:tcPr>
          <w:p w:rsidR="00DE056B" w:rsidRDefault="00DE056B" w:rsidP="003462BC">
            <w:pPr>
              <w:spacing w:after="0" w:line="240" w:lineRule="auto"/>
            </w:pPr>
            <w:r w:rsidRPr="00E41A44">
              <w:t>AY494079, AY659884</w:t>
            </w:r>
            <w:r w:rsidRPr="00ED3AFF">
              <w:rPr>
                <w:rFonts w:cs="Calibri"/>
              </w:rPr>
              <w:t>–</w:t>
            </w:r>
            <w:r w:rsidRPr="00E41A44">
              <w:t>AY659913, AY941092</w:t>
            </w:r>
            <w:r w:rsidRPr="00ED3AFF">
              <w:rPr>
                <w:rFonts w:cs="Calibri"/>
              </w:rPr>
              <w:t>–</w:t>
            </w:r>
            <w:r w:rsidRPr="00E41A44">
              <w:t>AY941094</w:t>
            </w:r>
          </w:p>
        </w:tc>
      </w:tr>
      <w:tr w:rsidR="00DE056B" w:rsidTr="00410BFA">
        <w:trPr>
          <w:jc w:val="center"/>
        </w:trPr>
        <w:tc>
          <w:tcPr>
            <w:tcW w:w="1302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:rsidR="00DE056B" w:rsidRPr="003E1DBB" w:rsidRDefault="00DE056B" w:rsidP="005C3BBF">
            <w:pPr>
              <w:pStyle w:val="KeinLeerraum"/>
              <w:jc w:val="right"/>
              <w:rPr>
                <w:sz w:val="16"/>
              </w:rPr>
            </w:pPr>
            <w:r w:rsidRPr="003E1DBB">
              <w:rPr>
                <w:sz w:val="16"/>
              </w:rPr>
              <w:t>(FACTORIAL ANALYSIS)</w:t>
            </w:r>
          </w:p>
        </w:tc>
        <w:tc>
          <w:tcPr>
            <w:tcW w:w="9046" w:type="dxa"/>
            <w:shd w:val="clear" w:color="auto" w:fill="auto"/>
          </w:tcPr>
          <w:p w:rsidR="00DE056B" w:rsidRPr="00417AE1" w:rsidRDefault="00DE056B" w:rsidP="003462BC">
            <w:pPr>
              <w:pStyle w:val="KeinLeerraum"/>
            </w:pPr>
            <w:r w:rsidRPr="00E41A44">
              <w:t>EU309506</w:t>
            </w:r>
            <w:r w:rsidRPr="00ED3AFF">
              <w:rPr>
                <w:rFonts w:cs="Calibri"/>
              </w:rPr>
              <w:t>–</w:t>
            </w:r>
            <w:r w:rsidRPr="00E41A44">
              <w:t>EU309510</w:t>
            </w:r>
          </w:p>
        </w:tc>
      </w:tr>
      <w:tr w:rsidR="00DE056B" w:rsidTr="00410BFA">
        <w:trPr>
          <w:jc w:val="center"/>
        </w:trPr>
        <w:tc>
          <w:tcPr>
            <w:tcW w:w="1302" w:type="dxa"/>
            <w:vMerge/>
            <w:tcBorders>
              <w:right w:val="single" w:sz="4" w:space="0" w:color="7F7F7F"/>
            </w:tcBorders>
            <w:shd w:val="clear" w:color="auto" w:fill="auto"/>
          </w:tcPr>
          <w:p w:rsidR="00DE056B" w:rsidRDefault="00DE056B" w:rsidP="005C3BBF">
            <w:pPr>
              <w:pStyle w:val="KeinLeerraum"/>
              <w:jc w:val="right"/>
            </w:pPr>
          </w:p>
        </w:tc>
        <w:tc>
          <w:tcPr>
            <w:tcW w:w="9046" w:type="dxa"/>
            <w:shd w:val="clear" w:color="auto" w:fill="auto"/>
          </w:tcPr>
          <w:p w:rsidR="00DE056B" w:rsidRPr="00E41A44" w:rsidRDefault="00DE056B" w:rsidP="003462BC">
            <w:pPr>
              <w:pStyle w:val="KeinLeerraum"/>
            </w:pPr>
            <w:r w:rsidRPr="00E41A44">
              <w:t>GQ385113-GQ385125, GQ385158-GQ385190</w:t>
            </w:r>
          </w:p>
        </w:tc>
      </w:tr>
      <w:tr w:rsidR="00DE056B" w:rsidTr="00410BFA">
        <w:trPr>
          <w:jc w:val="center"/>
        </w:trPr>
        <w:tc>
          <w:tcPr>
            <w:tcW w:w="1302" w:type="dxa"/>
            <w:vMerge/>
            <w:tcBorders>
              <w:right w:val="single" w:sz="4" w:space="0" w:color="7F7F7F"/>
            </w:tcBorders>
            <w:shd w:val="clear" w:color="auto" w:fill="auto"/>
          </w:tcPr>
          <w:p w:rsidR="00DE056B" w:rsidRDefault="00DE056B" w:rsidP="005C3BBF">
            <w:pPr>
              <w:pStyle w:val="KeinLeerraum"/>
              <w:jc w:val="right"/>
            </w:pPr>
          </w:p>
        </w:tc>
        <w:tc>
          <w:tcPr>
            <w:tcW w:w="9046" w:type="dxa"/>
            <w:shd w:val="clear" w:color="auto" w:fill="auto"/>
          </w:tcPr>
          <w:p w:rsidR="00DE056B" w:rsidRPr="00E41A44" w:rsidRDefault="00DE056B" w:rsidP="003462BC">
            <w:pPr>
              <w:pStyle w:val="KeinLeerraum"/>
            </w:pPr>
            <w:r w:rsidRPr="00E41A44">
              <w:t>HQ316130, HQ316132, HQ316135</w:t>
            </w:r>
            <w:r w:rsidRPr="00ED3AFF">
              <w:rPr>
                <w:rFonts w:cs="Calibri"/>
              </w:rPr>
              <w:t>–</w:t>
            </w:r>
            <w:r w:rsidRPr="00E41A44">
              <w:t>HQ316139, HQ316141-HQ316142</w:t>
            </w:r>
          </w:p>
        </w:tc>
      </w:tr>
      <w:tr w:rsidR="00DE056B" w:rsidTr="00410BFA">
        <w:trPr>
          <w:jc w:val="center"/>
        </w:trPr>
        <w:tc>
          <w:tcPr>
            <w:tcW w:w="1302" w:type="dxa"/>
            <w:vMerge/>
            <w:tcBorders>
              <w:right w:val="single" w:sz="4" w:space="0" w:color="7F7F7F"/>
            </w:tcBorders>
            <w:shd w:val="clear" w:color="auto" w:fill="auto"/>
          </w:tcPr>
          <w:p w:rsidR="00DE056B" w:rsidRDefault="00DE056B" w:rsidP="005C3BBF">
            <w:pPr>
              <w:pStyle w:val="KeinLeerraum"/>
              <w:jc w:val="right"/>
            </w:pPr>
          </w:p>
        </w:tc>
        <w:tc>
          <w:tcPr>
            <w:tcW w:w="9046" w:type="dxa"/>
            <w:shd w:val="clear" w:color="auto" w:fill="auto"/>
          </w:tcPr>
          <w:p w:rsidR="00DE056B" w:rsidRPr="00E41A44" w:rsidRDefault="00DE056B" w:rsidP="003462BC">
            <w:pPr>
              <w:pStyle w:val="KeinLeerraum"/>
            </w:pPr>
            <w:r w:rsidRPr="00E41A44">
              <w:t>JN084347</w:t>
            </w:r>
            <w:r w:rsidRPr="00ED3AFF">
              <w:rPr>
                <w:rFonts w:cs="Calibri"/>
              </w:rPr>
              <w:t>–</w:t>
            </w:r>
            <w:r w:rsidRPr="00E41A44">
              <w:t>JN084364, JN084366</w:t>
            </w:r>
            <w:r w:rsidRPr="00ED3AFF">
              <w:rPr>
                <w:rFonts w:cs="Calibri"/>
              </w:rPr>
              <w:t>–</w:t>
            </w:r>
            <w:r w:rsidRPr="00E41A44">
              <w:t>JN084379, JN084384</w:t>
            </w:r>
            <w:r w:rsidRPr="00ED3AFF">
              <w:rPr>
                <w:rFonts w:cs="Calibri"/>
              </w:rPr>
              <w:t>–</w:t>
            </w:r>
            <w:r w:rsidRPr="00E41A44">
              <w:t>JN084388, JN084390</w:t>
            </w:r>
            <w:r w:rsidRPr="00ED3AFF">
              <w:rPr>
                <w:rFonts w:cs="Calibri"/>
              </w:rPr>
              <w:t>–</w:t>
            </w:r>
            <w:r w:rsidRPr="00E41A44">
              <w:t>JN084394, JN084396</w:t>
            </w:r>
          </w:p>
        </w:tc>
      </w:tr>
      <w:tr w:rsidR="00DE056B" w:rsidTr="00410BFA">
        <w:trPr>
          <w:jc w:val="center"/>
        </w:trPr>
        <w:tc>
          <w:tcPr>
            <w:tcW w:w="1302" w:type="dxa"/>
            <w:vMerge/>
            <w:tcBorders>
              <w:right w:val="single" w:sz="4" w:space="0" w:color="7F7F7F"/>
            </w:tcBorders>
            <w:shd w:val="clear" w:color="auto" w:fill="auto"/>
          </w:tcPr>
          <w:p w:rsidR="00DE056B" w:rsidRDefault="00DE056B" w:rsidP="005C3BBF">
            <w:pPr>
              <w:pStyle w:val="KeinLeerraum"/>
              <w:jc w:val="right"/>
            </w:pPr>
          </w:p>
        </w:tc>
        <w:tc>
          <w:tcPr>
            <w:tcW w:w="9046" w:type="dxa"/>
            <w:shd w:val="clear" w:color="auto" w:fill="auto"/>
          </w:tcPr>
          <w:p w:rsidR="00DE056B" w:rsidRPr="00E41A44" w:rsidRDefault="00DE056B" w:rsidP="003462BC">
            <w:pPr>
              <w:pStyle w:val="KeinLeerraum"/>
            </w:pPr>
            <w:r w:rsidRPr="00E41A44">
              <w:t>KP828759</w:t>
            </w:r>
            <w:r w:rsidRPr="00ED3AFF">
              <w:rPr>
                <w:rFonts w:cs="Calibri"/>
              </w:rPr>
              <w:t>–</w:t>
            </w:r>
            <w:r w:rsidRPr="00E41A44">
              <w:t>KP828761</w:t>
            </w:r>
          </w:p>
        </w:tc>
      </w:tr>
      <w:tr w:rsidR="00DE056B" w:rsidTr="00410BFA">
        <w:trPr>
          <w:jc w:val="center"/>
        </w:trPr>
        <w:tc>
          <w:tcPr>
            <w:tcW w:w="1302" w:type="dxa"/>
            <w:vMerge/>
            <w:tcBorders>
              <w:right w:val="single" w:sz="4" w:space="0" w:color="7F7F7F"/>
            </w:tcBorders>
            <w:shd w:val="clear" w:color="auto" w:fill="auto"/>
          </w:tcPr>
          <w:p w:rsidR="00DE056B" w:rsidRDefault="00DE056B" w:rsidP="005C3BBF">
            <w:pPr>
              <w:pStyle w:val="KeinLeerraum"/>
              <w:jc w:val="right"/>
            </w:pPr>
          </w:p>
        </w:tc>
        <w:tc>
          <w:tcPr>
            <w:tcW w:w="9046" w:type="dxa"/>
            <w:shd w:val="clear" w:color="auto" w:fill="auto"/>
          </w:tcPr>
          <w:p w:rsidR="00DE056B" w:rsidRPr="00E41A44" w:rsidRDefault="00DE056B" w:rsidP="003462BC">
            <w:pPr>
              <w:pStyle w:val="KeinLeerraum"/>
            </w:pPr>
            <w:r w:rsidRPr="00E41A44">
              <w:t>KT306685</w:t>
            </w:r>
            <w:r w:rsidRPr="00ED3AFF">
              <w:rPr>
                <w:rFonts w:cs="Calibri"/>
              </w:rPr>
              <w:t>–</w:t>
            </w:r>
            <w:r w:rsidRPr="00E41A44">
              <w:t>KT306724, KT306726</w:t>
            </w:r>
          </w:p>
        </w:tc>
      </w:tr>
      <w:tr w:rsidR="00DE056B" w:rsidTr="00410BFA">
        <w:trPr>
          <w:jc w:val="center"/>
        </w:trPr>
        <w:tc>
          <w:tcPr>
            <w:tcW w:w="1302" w:type="dxa"/>
            <w:vMerge/>
            <w:tcBorders>
              <w:right w:val="single" w:sz="4" w:space="0" w:color="7F7F7F"/>
            </w:tcBorders>
            <w:shd w:val="clear" w:color="auto" w:fill="auto"/>
          </w:tcPr>
          <w:p w:rsidR="00DE056B" w:rsidRDefault="00DE056B" w:rsidP="005C3BBF">
            <w:pPr>
              <w:pStyle w:val="KeinLeerraum"/>
              <w:jc w:val="right"/>
            </w:pPr>
          </w:p>
        </w:tc>
        <w:tc>
          <w:tcPr>
            <w:tcW w:w="9046" w:type="dxa"/>
            <w:shd w:val="clear" w:color="auto" w:fill="auto"/>
          </w:tcPr>
          <w:p w:rsidR="00DE056B" w:rsidRPr="00E41A44" w:rsidRDefault="00DE056B" w:rsidP="003462BC">
            <w:pPr>
              <w:pStyle w:val="KeinLeerraum"/>
            </w:pPr>
            <w:r w:rsidRPr="00E41A44">
              <w:t>KU872204</w:t>
            </w:r>
            <w:r w:rsidRPr="00ED3AFF">
              <w:rPr>
                <w:rFonts w:cs="Calibri"/>
              </w:rPr>
              <w:t>–</w:t>
            </w:r>
            <w:r w:rsidRPr="00E41A44">
              <w:t>KU872207, KU872209</w:t>
            </w:r>
            <w:r w:rsidRPr="00ED3AFF">
              <w:rPr>
                <w:rFonts w:cs="Calibri"/>
              </w:rPr>
              <w:t>–</w:t>
            </w:r>
            <w:r w:rsidRPr="00E41A44">
              <w:t>KU872215</w:t>
            </w:r>
          </w:p>
        </w:tc>
      </w:tr>
      <w:tr w:rsidR="00DE056B" w:rsidTr="00410BFA">
        <w:trPr>
          <w:jc w:val="center"/>
        </w:trPr>
        <w:tc>
          <w:tcPr>
            <w:tcW w:w="1302" w:type="dxa"/>
            <w:vMerge/>
            <w:tcBorders>
              <w:right w:val="single" w:sz="4" w:space="0" w:color="7F7F7F"/>
            </w:tcBorders>
            <w:shd w:val="clear" w:color="auto" w:fill="auto"/>
          </w:tcPr>
          <w:p w:rsidR="00DE056B" w:rsidRDefault="00DE056B" w:rsidP="005C3BBF">
            <w:pPr>
              <w:pStyle w:val="KeinLeerraum"/>
              <w:jc w:val="right"/>
            </w:pPr>
          </w:p>
        </w:tc>
        <w:tc>
          <w:tcPr>
            <w:tcW w:w="9046" w:type="dxa"/>
            <w:shd w:val="clear" w:color="auto" w:fill="auto"/>
          </w:tcPr>
          <w:p w:rsidR="00DE056B" w:rsidRPr="00E41A44" w:rsidRDefault="00DE056B" w:rsidP="003462BC">
            <w:pPr>
              <w:pStyle w:val="KeinLeerraum"/>
            </w:pPr>
            <w:r w:rsidRPr="00E41A44">
              <w:t>KY678904</w:t>
            </w:r>
          </w:p>
        </w:tc>
      </w:tr>
      <w:tr w:rsidR="00DE056B" w:rsidTr="00410BFA">
        <w:trPr>
          <w:jc w:val="center"/>
        </w:trPr>
        <w:tc>
          <w:tcPr>
            <w:tcW w:w="1302" w:type="dxa"/>
            <w:vMerge/>
            <w:tcBorders>
              <w:right w:val="single" w:sz="4" w:space="0" w:color="7F7F7F"/>
            </w:tcBorders>
            <w:shd w:val="clear" w:color="auto" w:fill="auto"/>
          </w:tcPr>
          <w:p w:rsidR="00DE056B" w:rsidRDefault="00DE056B" w:rsidP="005C3BBF">
            <w:pPr>
              <w:pStyle w:val="KeinLeerraum"/>
              <w:jc w:val="right"/>
            </w:pPr>
          </w:p>
        </w:tc>
        <w:tc>
          <w:tcPr>
            <w:tcW w:w="9046" w:type="dxa"/>
            <w:shd w:val="clear" w:color="auto" w:fill="auto"/>
          </w:tcPr>
          <w:p w:rsidR="00DE056B" w:rsidRPr="00E41A44" w:rsidRDefault="00DE056B" w:rsidP="003462BC">
            <w:pPr>
              <w:pStyle w:val="KeinLeerraum"/>
            </w:pPr>
            <w:r w:rsidRPr="00E41A44">
              <w:t>MG922856</w:t>
            </w:r>
          </w:p>
        </w:tc>
      </w:tr>
      <w:tr w:rsidR="00DE056B" w:rsidTr="00410BFA">
        <w:trPr>
          <w:trHeight w:val="269"/>
          <w:jc w:val="center"/>
        </w:trPr>
        <w:tc>
          <w:tcPr>
            <w:tcW w:w="1302" w:type="dxa"/>
            <w:vMerge/>
            <w:tcBorders>
              <w:right w:val="single" w:sz="4" w:space="0" w:color="7F7F7F"/>
            </w:tcBorders>
            <w:shd w:val="clear" w:color="auto" w:fill="auto"/>
          </w:tcPr>
          <w:p w:rsidR="00DE056B" w:rsidRDefault="00DE056B" w:rsidP="005C3BBF">
            <w:pPr>
              <w:pStyle w:val="KeinLeerraum"/>
              <w:jc w:val="right"/>
            </w:pPr>
          </w:p>
        </w:tc>
        <w:tc>
          <w:tcPr>
            <w:tcW w:w="9046" w:type="dxa"/>
            <w:vMerge w:val="restart"/>
            <w:shd w:val="clear" w:color="auto" w:fill="auto"/>
          </w:tcPr>
          <w:p w:rsidR="00DE056B" w:rsidRPr="00E41A44" w:rsidRDefault="00DE056B" w:rsidP="003462BC">
            <w:pPr>
              <w:pStyle w:val="KeinLeerraum"/>
            </w:pPr>
          </w:p>
        </w:tc>
      </w:tr>
      <w:tr w:rsidR="00DE056B" w:rsidTr="00410BFA">
        <w:trPr>
          <w:trHeight w:val="60"/>
          <w:jc w:val="center"/>
        </w:trPr>
        <w:tc>
          <w:tcPr>
            <w:tcW w:w="1302" w:type="dxa"/>
            <w:tcBorders>
              <w:right w:val="single" w:sz="4" w:space="0" w:color="7F7F7F"/>
            </w:tcBorders>
            <w:shd w:val="clear" w:color="auto" w:fill="auto"/>
          </w:tcPr>
          <w:p w:rsidR="00DE056B" w:rsidRDefault="00DE056B" w:rsidP="005C3BBF">
            <w:pPr>
              <w:pStyle w:val="KeinLeerraum"/>
              <w:jc w:val="right"/>
            </w:pPr>
          </w:p>
        </w:tc>
        <w:tc>
          <w:tcPr>
            <w:tcW w:w="9046" w:type="dxa"/>
            <w:vMerge/>
            <w:shd w:val="clear" w:color="auto" w:fill="auto"/>
          </w:tcPr>
          <w:p w:rsidR="00DE056B" w:rsidRPr="00E41A44" w:rsidRDefault="00DE056B" w:rsidP="003462BC">
            <w:pPr>
              <w:pStyle w:val="KeinLeerraum"/>
            </w:pPr>
          </w:p>
        </w:tc>
      </w:tr>
      <w:tr w:rsidR="00DE056B" w:rsidTr="00410BFA">
        <w:trPr>
          <w:jc w:val="center"/>
        </w:trPr>
        <w:tc>
          <w:tcPr>
            <w:tcW w:w="1302" w:type="dxa"/>
            <w:tcBorders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auto"/>
          </w:tcPr>
          <w:p w:rsidR="00DE056B" w:rsidRDefault="00DE056B" w:rsidP="005C3BBF">
            <w:pPr>
              <w:pStyle w:val="KeinLeerraum"/>
              <w:jc w:val="right"/>
              <w:rPr>
                <w:rFonts w:cs="Calibri"/>
              </w:rPr>
            </w:pPr>
            <w:r w:rsidRPr="00AB5805">
              <w:rPr>
                <w:rFonts w:cs="Calibri"/>
              </w:rPr>
              <w:t>pr-IGS</w:t>
            </w:r>
          </w:p>
          <w:p w:rsidR="00DE056B" w:rsidRPr="00975A73" w:rsidRDefault="00DE056B" w:rsidP="005C3BBF">
            <w:pPr>
              <w:pStyle w:val="KeinLeerraum"/>
              <w:jc w:val="right"/>
            </w:pPr>
            <w:r w:rsidRPr="00AB5805">
              <w:rPr>
                <w:rFonts w:cs="Calibri"/>
                <w:sz w:val="16"/>
              </w:rPr>
              <w:t>(NETWORK ANALYSIS)</w:t>
            </w:r>
          </w:p>
        </w:tc>
        <w:tc>
          <w:tcPr>
            <w:tcW w:w="9046" w:type="dxa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E056B" w:rsidRPr="00C84BD0" w:rsidRDefault="00DE056B" w:rsidP="003462BC">
            <w:pPr>
              <w:pStyle w:val="KeinLeerraum"/>
            </w:pPr>
            <w:r w:rsidRPr="00C84BD0">
              <w:t>AY494079,AY659898-AY659899,</w:t>
            </w:r>
            <w:r>
              <w:t xml:space="preserve"> </w:t>
            </w:r>
            <w:r w:rsidRPr="00C84BD0">
              <w:t>AY659901</w:t>
            </w:r>
            <w:r w:rsidRPr="00ED3AFF">
              <w:rPr>
                <w:rFonts w:cs="Calibri"/>
              </w:rPr>
              <w:t>–</w:t>
            </w:r>
            <w:r w:rsidRPr="00C84BD0">
              <w:t>AY659903,</w:t>
            </w:r>
            <w:r>
              <w:t xml:space="preserve"> </w:t>
            </w:r>
            <w:r w:rsidRPr="00C84BD0">
              <w:t>AY659905</w:t>
            </w:r>
          </w:p>
          <w:p w:rsidR="00DE056B" w:rsidRPr="00944918" w:rsidRDefault="00DE056B" w:rsidP="003462BC">
            <w:pPr>
              <w:pStyle w:val="KeinLeerraum"/>
              <w:rPr>
                <w:lang w:val="sv-SE"/>
              </w:rPr>
            </w:pPr>
            <w:r w:rsidRPr="00944918">
              <w:rPr>
                <w:lang w:val="sv-SE"/>
              </w:rPr>
              <w:t>EU309506</w:t>
            </w:r>
            <w:r w:rsidRPr="00FA1B8F">
              <w:rPr>
                <w:rFonts w:cs="Calibri"/>
                <w:lang w:val="sv-SE"/>
              </w:rPr>
              <w:t>–</w:t>
            </w:r>
            <w:r w:rsidRPr="00944918">
              <w:rPr>
                <w:lang w:val="sv-SE"/>
              </w:rPr>
              <w:t>EU309508</w:t>
            </w:r>
          </w:p>
          <w:p w:rsidR="00DE056B" w:rsidRPr="00944918" w:rsidRDefault="00DE056B" w:rsidP="003462BC">
            <w:pPr>
              <w:pStyle w:val="KeinLeerraum"/>
              <w:rPr>
                <w:lang w:val="sv-SE"/>
              </w:rPr>
            </w:pPr>
            <w:r w:rsidRPr="00944918">
              <w:rPr>
                <w:lang w:val="sv-SE"/>
              </w:rPr>
              <w:t>GQ385120</w:t>
            </w:r>
            <w:r w:rsidRPr="00FA1B8F">
              <w:rPr>
                <w:rFonts w:cs="Calibri"/>
                <w:lang w:val="sv-SE"/>
              </w:rPr>
              <w:t>–</w:t>
            </w:r>
            <w:r w:rsidRPr="00944918">
              <w:rPr>
                <w:lang w:val="sv-SE"/>
              </w:rPr>
              <w:t>GQ385121,</w:t>
            </w:r>
            <w:r>
              <w:rPr>
                <w:lang w:val="sv-SE"/>
              </w:rPr>
              <w:t xml:space="preserve"> </w:t>
            </w:r>
            <w:r w:rsidRPr="00944918">
              <w:rPr>
                <w:lang w:val="sv-SE"/>
              </w:rPr>
              <w:t>GQ385123-GQ385125</w:t>
            </w:r>
          </w:p>
          <w:p w:rsidR="00DE056B" w:rsidRPr="00C84BD0" w:rsidRDefault="00DE056B" w:rsidP="003462BC">
            <w:pPr>
              <w:pStyle w:val="KeinLeerraum"/>
            </w:pPr>
            <w:r w:rsidRPr="00C84BD0">
              <w:t>HM583778</w:t>
            </w:r>
            <w:r w:rsidRPr="00ED3AFF">
              <w:rPr>
                <w:rFonts w:cs="Calibri"/>
              </w:rPr>
              <w:t>–</w:t>
            </w:r>
            <w:r w:rsidRPr="00C84BD0">
              <w:t>HM583794</w:t>
            </w:r>
          </w:p>
          <w:p w:rsidR="00DE056B" w:rsidRPr="00AB5805" w:rsidRDefault="00DE056B" w:rsidP="003462BC">
            <w:pPr>
              <w:pStyle w:val="KeinLeerraum"/>
              <w:rPr>
                <w:color w:val="FF0000"/>
              </w:rPr>
            </w:pPr>
            <w:r w:rsidRPr="00C84BD0">
              <w:t>KP828759</w:t>
            </w:r>
          </w:p>
        </w:tc>
      </w:tr>
      <w:tr w:rsidR="000C5293" w:rsidTr="00410BFA">
        <w:trPr>
          <w:jc w:val="center"/>
        </w:trPr>
        <w:tc>
          <w:tcPr>
            <w:tcW w:w="10348" w:type="dxa"/>
            <w:gridSpan w:val="2"/>
            <w:shd w:val="clear" w:color="auto" w:fill="auto"/>
          </w:tcPr>
          <w:p w:rsidR="000C5293" w:rsidRPr="00C84BD0" w:rsidRDefault="000C5293" w:rsidP="003462BC">
            <w:pPr>
              <w:pStyle w:val="KeinLeerraum"/>
            </w:pPr>
            <w:r>
              <w:rPr>
                <w:bCs/>
              </w:rPr>
              <w:t>IGS, mtDNA intergenic spacer; pr-IGS, highly polymorphic region of the mtDNA intergenic spacer.</w:t>
            </w:r>
          </w:p>
        </w:tc>
      </w:tr>
    </w:tbl>
    <w:p w:rsidR="005C3BBF" w:rsidRDefault="005C3BBF">
      <w:pPr>
        <w:rPr>
          <w:rFonts w:eastAsia="Times New Roman" w:cs="Calibri"/>
          <w:b/>
          <w:lang w:eastAsia="en-GB"/>
        </w:rPr>
      </w:pPr>
      <w:r>
        <w:rPr>
          <w:rFonts w:cs="Calibri"/>
          <w:b/>
        </w:rPr>
        <w:br w:type="page"/>
      </w:r>
    </w:p>
    <w:tbl>
      <w:tblPr>
        <w:tblW w:w="11199" w:type="dxa"/>
        <w:tblInd w:w="-851" w:type="dxa"/>
        <w:tblLook w:val="04A0" w:firstRow="1" w:lastRow="0" w:firstColumn="1" w:lastColumn="0" w:noHBand="0" w:noVBand="1"/>
      </w:tblPr>
      <w:tblGrid>
        <w:gridCol w:w="692"/>
        <w:gridCol w:w="1180"/>
        <w:gridCol w:w="1184"/>
        <w:gridCol w:w="1184"/>
        <w:gridCol w:w="1168"/>
        <w:gridCol w:w="1176"/>
        <w:gridCol w:w="1161"/>
        <w:gridCol w:w="1168"/>
        <w:gridCol w:w="1161"/>
        <w:gridCol w:w="1125"/>
      </w:tblGrid>
      <w:tr w:rsidR="00DE056B" w:rsidRPr="00AB707D" w:rsidTr="003462BC">
        <w:tc>
          <w:tcPr>
            <w:tcW w:w="11199" w:type="dxa"/>
            <w:gridSpan w:val="10"/>
            <w:tcBorders>
              <w:bottom w:val="single" w:sz="4" w:space="0" w:color="7F7F7F"/>
              <w:right w:val="nil"/>
            </w:tcBorders>
            <w:shd w:val="clear" w:color="auto" w:fill="FFFFFF"/>
          </w:tcPr>
          <w:p w:rsidR="00DE056B" w:rsidRPr="00AB707D" w:rsidRDefault="00757032" w:rsidP="00175D6B">
            <w:pPr>
              <w:pStyle w:val="KeinLeerraum"/>
              <w:rPr>
                <w:rFonts w:eastAsia="Times New Roman" w:cs="Calibri"/>
                <w:iCs/>
              </w:rPr>
            </w:pPr>
            <w:r w:rsidRPr="00757032">
              <w:rPr>
                <w:rFonts w:eastAsia="Times New Roman" w:cs="Calibri"/>
                <w:b/>
                <w:iCs/>
              </w:rPr>
              <w:lastRenderedPageBreak/>
              <w:t xml:space="preserve">Supplementary </w:t>
            </w:r>
            <w:r w:rsidR="00DE056B" w:rsidRPr="00B850AE">
              <w:rPr>
                <w:rFonts w:eastAsia="Times New Roman" w:cs="Calibri"/>
                <w:b/>
                <w:iCs/>
              </w:rPr>
              <w:t>T</w:t>
            </w:r>
            <w:r w:rsidR="00410BFA">
              <w:rPr>
                <w:rFonts w:eastAsia="Times New Roman" w:cs="Calibri"/>
                <w:b/>
                <w:iCs/>
              </w:rPr>
              <w:t>able S</w:t>
            </w:r>
            <w:r w:rsidR="00B850AE">
              <w:rPr>
                <w:rFonts w:eastAsia="Times New Roman" w:cs="Calibri"/>
                <w:b/>
                <w:iCs/>
              </w:rPr>
              <w:t>4</w:t>
            </w:r>
            <w:r w:rsidR="00B850AE" w:rsidRPr="00175D6B">
              <w:rPr>
                <w:rFonts w:eastAsia="Times New Roman" w:cs="Calibri"/>
                <w:b/>
                <w:iCs/>
              </w:rPr>
              <w:t>:</w:t>
            </w:r>
            <w:r w:rsidR="00B850AE">
              <w:rPr>
                <w:rFonts w:eastAsia="Times New Roman" w:cs="Calibri"/>
                <w:iCs/>
              </w:rPr>
              <w:t xml:space="preserve"> </w:t>
            </w:r>
            <w:r w:rsidR="00DE056B" w:rsidRPr="00AB707D">
              <w:rPr>
                <w:rFonts w:eastAsia="Times New Roman" w:cs="Calibri"/>
                <w:iCs/>
              </w:rPr>
              <w:t xml:space="preserve">Genetic differentiation among populations defined by </w:t>
            </w:r>
            <w:r w:rsidR="00DE056B">
              <w:rPr>
                <w:rFonts w:eastAsia="Times New Roman" w:cs="Calibri"/>
                <w:iCs/>
              </w:rPr>
              <w:t>form</w:t>
            </w:r>
            <w:r w:rsidR="00DE056B" w:rsidRPr="00AB707D">
              <w:rPr>
                <w:rFonts w:eastAsia="Times New Roman" w:cs="Calibri"/>
                <w:iCs/>
              </w:rPr>
              <w:t xml:space="preserve"> and </w:t>
            </w:r>
            <w:r w:rsidR="00DE056B">
              <w:rPr>
                <w:rFonts w:eastAsia="Times New Roman" w:cs="Calibri"/>
                <w:iCs/>
              </w:rPr>
              <w:t>subbasin</w:t>
            </w:r>
            <w:r w:rsidR="00DE056B" w:rsidRPr="00AB707D">
              <w:rPr>
                <w:rFonts w:eastAsia="Times New Roman" w:cs="Calibri"/>
                <w:iCs/>
              </w:rPr>
              <w:t xml:space="preserve">. </w:t>
            </w:r>
          </w:p>
        </w:tc>
      </w:tr>
      <w:tr w:rsidR="00DE056B" w:rsidRPr="00AB707D" w:rsidTr="005C3BBF">
        <w:tblPrEx>
          <w:shd w:val="clear" w:color="auto" w:fill="FFFFFF"/>
        </w:tblPrEx>
        <w:tc>
          <w:tcPr>
            <w:tcW w:w="692" w:type="dxa"/>
            <w:tcBorders>
              <w:right w:val="single" w:sz="4" w:space="0" w:color="7F7F7F"/>
            </w:tcBorders>
            <w:shd w:val="clear" w:color="auto" w:fill="FFFFFF"/>
          </w:tcPr>
          <w:p w:rsidR="00DE056B" w:rsidRPr="00AB707D" w:rsidRDefault="00DE056B" w:rsidP="003462BC">
            <w:pPr>
              <w:pStyle w:val="KeinLeerraum"/>
              <w:jc w:val="right"/>
              <w:rPr>
                <w:rFonts w:eastAsia="Times New Roman" w:cs="Calibri"/>
                <w:iCs/>
              </w:rPr>
            </w:pPr>
          </w:p>
        </w:tc>
        <w:tc>
          <w:tcPr>
            <w:tcW w:w="1180" w:type="dxa"/>
            <w:tcBorders>
              <w:bottom w:val="single" w:sz="4" w:space="0" w:color="7F7F7F"/>
            </w:tcBorders>
            <w:shd w:val="clear" w:color="auto" w:fill="auto"/>
          </w:tcPr>
          <w:p w:rsidR="00DE056B" w:rsidRPr="00175D6B" w:rsidRDefault="00DE056B" w:rsidP="003462BC">
            <w:pPr>
              <w:pStyle w:val="KeinLeerraum"/>
              <w:rPr>
                <w:rFonts w:cs="Calibri"/>
                <w:b/>
              </w:rPr>
            </w:pPr>
            <w:r w:rsidRPr="00175D6B">
              <w:rPr>
                <w:rFonts w:cs="Calibri"/>
                <w:b/>
              </w:rPr>
              <w:t>TZ A</w:t>
            </w:r>
          </w:p>
        </w:tc>
        <w:tc>
          <w:tcPr>
            <w:tcW w:w="1184" w:type="dxa"/>
            <w:tcBorders>
              <w:bottom w:val="single" w:sz="4" w:space="0" w:color="7F7F7F"/>
            </w:tcBorders>
            <w:shd w:val="clear" w:color="auto" w:fill="auto"/>
          </w:tcPr>
          <w:p w:rsidR="00DE056B" w:rsidRPr="00175D6B" w:rsidRDefault="00DE056B" w:rsidP="003462BC">
            <w:pPr>
              <w:pStyle w:val="KeinLeerraum"/>
              <w:rPr>
                <w:rFonts w:cs="Calibri"/>
                <w:b/>
              </w:rPr>
            </w:pPr>
            <w:r w:rsidRPr="00175D6B">
              <w:rPr>
                <w:rFonts w:cs="Calibri"/>
                <w:b/>
              </w:rPr>
              <w:t>TZ F</w:t>
            </w:r>
          </w:p>
        </w:tc>
        <w:tc>
          <w:tcPr>
            <w:tcW w:w="1184" w:type="dxa"/>
            <w:tcBorders>
              <w:bottom w:val="single" w:sz="4" w:space="0" w:color="7F7F7F"/>
            </w:tcBorders>
            <w:shd w:val="clear" w:color="auto" w:fill="auto"/>
          </w:tcPr>
          <w:p w:rsidR="00DE056B" w:rsidRPr="00175D6B" w:rsidRDefault="00DE056B" w:rsidP="003462BC">
            <w:pPr>
              <w:pStyle w:val="KeinLeerraum"/>
              <w:rPr>
                <w:rFonts w:cs="Calibri"/>
                <w:b/>
              </w:rPr>
            </w:pPr>
            <w:r w:rsidRPr="00175D6B">
              <w:rPr>
                <w:rFonts w:cs="Calibri"/>
                <w:b/>
              </w:rPr>
              <w:t>AS A</w:t>
            </w:r>
          </w:p>
        </w:tc>
        <w:tc>
          <w:tcPr>
            <w:tcW w:w="1168" w:type="dxa"/>
            <w:tcBorders>
              <w:bottom w:val="single" w:sz="4" w:space="0" w:color="7F7F7F"/>
            </w:tcBorders>
            <w:shd w:val="clear" w:color="auto" w:fill="auto"/>
          </w:tcPr>
          <w:p w:rsidR="00DE056B" w:rsidRPr="00175D6B" w:rsidRDefault="00DE056B" w:rsidP="003462BC">
            <w:pPr>
              <w:pStyle w:val="KeinLeerraum"/>
              <w:rPr>
                <w:rFonts w:cs="Calibri"/>
                <w:b/>
              </w:rPr>
            </w:pPr>
            <w:r w:rsidRPr="00175D6B">
              <w:rPr>
                <w:rFonts w:cs="Calibri"/>
                <w:b/>
              </w:rPr>
              <w:t>AS F</w:t>
            </w:r>
          </w:p>
        </w:tc>
        <w:tc>
          <w:tcPr>
            <w:tcW w:w="1176" w:type="dxa"/>
            <w:tcBorders>
              <w:bottom w:val="single" w:sz="4" w:space="0" w:color="7F7F7F"/>
            </w:tcBorders>
            <w:shd w:val="clear" w:color="auto" w:fill="auto"/>
          </w:tcPr>
          <w:p w:rsidR="00DE056B" w:rsidRPr="00175D6B" w:rsidRDefault="00DE056B" w:rsidP="003462BC">
            <w:pPr>
              <w:pStyle w:val="KeinLeerraum"/>
              <w:rPr>
                <w:rFonts w:cs="Calibri"/>
                <w:b/>
              </w:rPr>
            </w:pPr>
            <w:r w:rsidRPr="00175D6B">
              <w:rPr>
                <w:rFonts w:cs="Calibri"/>
                <w:b/>
              </w:rPr>
              <w:t>HS A</w:t>
            </w:r>
          </w:p>
        </w:tc>
        <w:tc>
          <w:tcPr>
            <w:tcW w:w="1161" w:type="dxa"/>
            <w:tcBorders>
              <w:bottom w:val="single" w:sz="4" w:space="0" w:color="7F7F7F"/>
            </w:tcBorders>
            <w:shd w:val="clear" w:color="auto" w:fill="auto"/>
          </w:tcPr>
          <w:p w:rsidR="00DE056B" w:rsidRPr="00175D6B" w:rsidRDefault="00DE056B" w:rsidP="003462BC">
            <w:pPr>
              <w:pStyle w:val="KeinLeerraum"/>
              <w:rPr>
                <w:rFonts w:cs="Calibri"/>
                <w:b/>
              </w:rPr>
            </w:pPr>
            <w:r w:rsidRPr="00175D6B">
              <w:rPr>
                <w:rFonts w:cs="Calibri"/>
                <w:b/>
              </w:rPr>
              <w:t>HS F</w:t>
            </w:r>
          </w:p>
        </w:tc>
        <w:tc>
          <w:tcPr>
            <w:tcW w:w="1168" w:type="dxa"/>
            <w:tcBorders>
              <w:bottom w:val="single" w:sz="4" w:space="0" w:color="7F7F7F"/>
            </w:tcBorders>
            <w:shd w:val="clear" w:color="auto" w:fill="auto"/>
          </w:tcPr>
          <w:p w:rsidR="00DE056B" w:rsidRPr="00175D6B" w:rsidRDefault="00DE056B" w:rsidP="003462BC">
            <w:pPr>
              <w:pStyle w:val="KeinLeerraum"/>
              <w:rPr>
                <w:rFonts w:cs="Calibri"/>
                <w:b/>
              </w:rPr>
            </w:pPr>
            <w:r w:rsidRPr="00175D6B">
              <w:rPr>
                <w:rFonts w:cs="Calibri"/>
                <w:b/>
              </w:rPr>
              <w:t>SE A</w:t>
            </w:r>
          </w:p>
        </w:tc>
        <w:tc>
          <w:tcPr>
            <w:tcW w:w="1161" w:type="dxa"/>
            <w:tcBorders>
              <w:bottom w:val="single" w:sz="4" w:space="0" w:color="7F7F7F"/>
            </w:tcBorders>
            <w:shd w:val="clear" w:color="auto" w:fill="auto"/>
          </w:tcPr>
          <w:p w:rsidR="00DE056B" w:rsidRPr="00175D6B" w:rsidRDefault="00DE056B" w:rsidP="003462BC">
            <w:pPr>
              <w:pStyle w:val="KeinLeerraum"/>
              <w:rPr>
                <w:rFonts w:cs="Calibri"/>
                <w:b/>
              </w:rPr>
            </w:pPr>
            <w:r w:rsidRPr="00175D6B">
              <w:rPr>
                <w:rFonts w:cs="Calibri"/>
                <w:b/>
              </w:rPr>
              <w:t>SE F</w:t>
            </w:r>
          </w:p>
        </w:tc>
        <w:tc>
          <w:tcPr>
            <w:tcW w:w="1125" w:type="dxa"/>
            <w:tcBorders>
              <w:bottom w:val="single" w:sz="4" w:space="0" w:color="7F7F7F"/>
            </w:tcBorders>
            <w:shd w:val="clear" w:color="auto" w:fill="auto"/>
          </w:tcPr>
          <w:p w:rsidR="00DE056B" w:rsidRPr="00175D6B" w:rsidRDefault="00DE056B" w:rsidP="003462BC">
            <w:pPr>
              <w:pStyle w:val="KeinLeerraum"/>
              <w:rPr>
                <w:rFonts w:cs="Calibri"/>
                <w:b/>
              </w:rPr>
            </w:pPr>
            <w:r w:rsidRPr="00175D6B">
              <w:rPr>
                <w:rFonts w:cs="Calibri"/>
                <w:b/>
              </w:rPr>
              <w:t>SA F</w:t>
            </w:r>
          </w:p>
        </w:tc>
      </w:tr>
      <w:tr w:rsidR="00DE056B" w:rsidRPr="00AB707D" w:rsidTr="005C3BBF">
        <w:tblPrEx>
          <w:shd w:val="clear" w:color="auto" w:fill="FFFFFF"/>
        </w:tblPrEx>
        <w:tc>
          <w:tcPr>
            <w:tcW w:w="692" w:type="dxa"/>
            <w:tcBorders>
              <w:right w:val="single" w:sz="4" w:space="0" w:color="7F7F7F"/>
            </w:tcBorders>
            <w:shd w:val="clear" w:color="auto" w:fill="FFFFFF"/>
          </w:tcPr>
          <w:p w:rsidR="00DE056B" w:rsidRPr="00AB707D" w:rsidRDefault="00DE056B" w:rsidP="003462BC">
            <w:pPr>
              <w:pStyle w:val="KeinLeerraum"/>
              <w:jc w:val="right"/>
              <w:rPr>
                <w:rFonts w:eastAsia="Times New Roman" w:cs="Calibri"/>
                <w:iCs/>
              </w:rPr>
            </w:pPr>
            <w:r w:rsidRPr="00AB707D">
              <w:rPr>
                <w:rFonts w:eastAsia="Times New Roman" w:cs="Calibri"/>
                <w:iCs/>
              </w:rPr>
              <w:t>TZ F</w:t>
            </w:r>
          </w:p>
        </w:tc>
        <w:tc>
          <w:tcPr>
            <w:tcW w:w="1180" w:type="dxa"/>
            <w:tcBorders>
              <w:top w:val="single" w:sz="4" w:space="0" w:color="7F7F7F"/>
            </w:tcBorders>
            <w:shd w:val="clear" w:color="auto" w:fill="D9D9D9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-0.003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(0.538)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84" w:type="dxa"/>
            <w:tcBorders>
              <w:top w:val="single" w:sz="4" w:space="0" w:color="7F7F7F"/>
            </w:tcBorders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84" w:type="dxa"/>
            <w:tcBorders>
              <w:top w:val="single" w:sz="4" w:space="0" w:color="7F7F7F"/>
            </w:tcBorders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68" w:type="dxa"/>
            <w:tcBorders>
              <w:top w:val="single" w:sz="4" w:space="0" w:color="7F7F7F"/>
            </w:tcBorders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76" w:type="dxa"/>
            <w:tcBorders>
              <w:top w:val="single" w:sz="4" w:space="0" w:color="7F7F7F"/>
            </w:tcBorders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4" w:space="0" w:color="7F7F7F"/>
            </w:tcBorders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68" w:type="dxa"/>
            <w:tcBorders>
              <w:top w:val="single" w:sz="4" w:space="0" w:color="7F7F7F"/>
            </w:tcBorders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4" w:space="0" w:color="7F7F7F"/>
            </w:tcBorders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25" w:type="dxa"/>
            <w:tcBorders>
              <w:top w:val="single" w:sz="4" w:space="0" w:color="7F7F7F"/>
            </w:tcBorders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</w:tr>
      <w:tr w:rsidR="00DE056B" w:rsidRPr="00AB707D" w:rsidTr="005C3BBF">
        <w:tblPrEx>
          <w:shd w:val="clear" w:color="auto" w:fill="FFFFFF"/>
        </w:tblPrEx>
        <w:tc>
          <w:tcPr>
            <w:tcW w:w="692" w:type="dxa"/>
            <w:tcBorders>
              <w:right w:val="single" w:sz="4" w:space="0" w:color="7F7F7F"/>
            </w:tcBorders>
            <w:shd w:val="clear" w:color="auto" w:fill="FFFFFF"/>
          </w:tcPr>
          <w:p w:rsidR="00DE056B" w:rsidRPr="00AB707D" w:rsidRDefault="00DE056B" w:rsidP="003462BC">
            <w:pPr>
              <w:pStyle w:val="KeinLeerraum"/>
              <w:jc w:val="right"/>
              <w:rPr>
                <w:rFonts w:eastAsia="Times New Roman" w:cs="Calibri"/>
                <w:iCs/>
              </w:rPr>
            </w:pPr>
            <w:r w:rsidRPr="00AB707D">
              <w:rPr>
                <w:rFonts w:eastAsia="Times New Roman" w:cs="Calibri"/>
                <w:iCs/>
              </w:rPr>
              <w:t>AS A</w:t>
            </w:r>
          </w:p>
        </w:tc>
        <w:tc>
          <w:tcPr>
            <w:tcW w:w="1180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0.009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(0.373)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84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0.063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(0.25)</w:t>
            </w:r>
          </w:p>
        </w:tc>
        <w:tc>
          <w:tcPr>
            <w:tcW w:w="1184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68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76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61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68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61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25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</w:tr>
      <w:tr w:rsidR="00DE056B" w:rsidRPr="00AB707D" w:rsidTr="005C3BBF">
        <w:tblPrEx>
          <w:shd w:val="clear" w:color="auto" w:fill="FFFFFF"/>
        </w:tblPrEx>
        <w:tc>
          <w:tcPr>
            <w:tcW w:w="692" w:type="dxa"/>
            <w:tcBorders>
              <w:right w:val="single" w:sz="4" w:space="0" w:color="7F7F7F"/>
            </w:tcBorders>
            <w:shd w:val="clear" w:color="auto" w:fill="FFFFFF"/>
          </w:tcPr>
          <w:p w:rsidR="00DE056B" w:rsidRPr="00AB707D" w:rsidRDefault="00DE056B" w:rsidP="003462BC">
            <w:pPr>
              <w:pStyle w:val="KeinLeerraum"/>
              <w:jc w:val="right"/>
              <w:rPr>
                <w:rFonts w:eastAsia="Times New Roman" w:cs="Calibri"/>
                <w:iCs/>
              </w:rPr>
            </w:pPr>
            <w:r w:rsidRPr="00AB707D">
              <w:rPr>
                <w:rFonts w:eastAsia="Times New Roman" w:cs="Calibri"/>
                <w:iCs/>
              </w:rPr>
              <w:t>AS F</w:t>
            </w:r>
          </w:p>
        </w:tc>
        <w:tc>
          <w:tcPr>
            <w:tcW w:w="1180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0.076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(0.057)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84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0.161 (0.042*)</w:t>
            </w:r>
          </w:p>
        </w:tc>
        <w:tc>
          <w:tcPr>
            <w:tcW w:w="1184" w:type="dxa"/>
            <w:shd w:val="clear" w:color="auto" w:fill="D9D9D9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0.039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(0.19</w:t>
            </w:r>
            <w:r w:rsidR="00A13CA3">
              <w:rPr>
                <w:rFonts w:cs="Calibri"/>
              </w:rPr>
              <w:t>0</w:t>
            </w:r>
            <w:r w:rsidRPr="00AB707D">
              <w:rPr>
                <w:rFonts w:cs="Calibri"/>
              </w:rPr>
              <w:t>)</w:t>
            </w:r>
          </w:p>
        </w:tc>
        <w:tc>
          <w:tcPr>
            <w:tcW w:w="1168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76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61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68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61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25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</w:tr>
      <w:tr w:rsidR="00DE056B" w:rsidRPr="00AB707D" w:rsidTr="005C3BBF">
        <w:tblPrEx>
          <w:shd w:val="clear" w:color="auto" w:fill="FFFFFF"/>
        </w:tblPrEx>
        <w:tc>
          <w:tcPr>
            <w:tcW w:w="692" w:type="dxa"/>
            <w:tcBorders>
              <w:right w:val="single" w:sz="4" w:space="0" w:color="7F7F7F"/>
            </w:tcBorders>
            <w:shd w:val="clear" w:color="auto" w:fill="FFFFFF"/>
          </w:tcPr>
          <w:p w:rsidR="00DE056B" w:rsidRPr="00AB707D" w:rsidRDefault="00DE056B" w:rsidP="003462BC">
            <w:pPr>
              <w:pStyle w:val="KeinLeerraum"/>
              <w:jc w:val="right"/>
              <w:rPr>
                <w:rFonts w:eastAsia="Times New Roman" w:cs="Calibri"/>
                <w:iCs/>
              </w:rPr>
            </w:pPr>
            <w:r w:rsidRPr="00AB707D">
              <w:rPr>
                <w:rFonts w:eastAsia="Times New Roman" w:cs="Calibri"/>
                <w:iCs/>
              </w:rPr>
              <w:t>HS</w:t>
            </w:r>
            <w:r>
              <w:rPr>
                <w:rFonts w:eastAsia="Times New Roman" w:cs="Calibri"/>
                <w:iCs/>
              </w:rPr>
              <w:t xml:space="preserve"> </w:t>
            </w:r>
            <w:r w:rsidRPr="00AB707D">
              <w:rPr>
                <w:rFonts w:eastAsia="Times New Roman" w:cs="Calibri"/>
                <w:iCs/>
              </w:rPr>
              <w:t>A</w:t>
            </w:r>
          </w:p>
        </w:tc>
        <w:tc>
          <w:tcPr>
            <w:tcW w:w="1180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-0.07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(0.999)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84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0.000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(0.999)</w:t>
            </w:r>
          </w:p>
        </w:tc>
        <w:tc>
          <w:tcPr>
            <w:tcW w:w="1184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-0.021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(0.696)</w:t>
            </w:r>
          </w:p>
        </w:tc>
        <w:tc>
          <w:tcPr>
            <w:tcW w:w="1168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0.061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(0.318)</w:t>
            </w:r>
          </w:p>
        </w:tc>
        <w:tc>
          <w:tcPr>
            <w:tcW w:w="1176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61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68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61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25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</w:tr>
      <w:tr w:rsidR="00DE056B" w:rsidRPr="00AB707D" w:rsidTr="005C3BBF">
        <w:tblPrEx>
          <w:shd w:val="clear" w:color="auto" w:fill="FFFFFF"/>
        </w:tblPrEx>
        <w:tc>
          <w:tcPr>
            <w:tcW w:w="692" w:type="dxa"/>
            <w:tcBorders>
              <w:right w:val="single" w:sz="4" w:space="0" w:color="7F7F7F"/>
            </w:tcBorders>
            <w:shd w:val="clear" w:color="auto" w:fill="FFFFFF"/>
          </w:tcPr>
          <w:p w:rsidR="00DE056B" w:rsidRPr="00AB707D" w:rsidRDefault="00DE056B" w:rsidP="003462BC">
            <w:pPr>
              <w:pStyle w:val="KeinLeerraum"/>
              <w:jc w:val="right"/>
              <w:rPr>
                <w:rFonts w:eastAsia="Times New Roman" w:cs="Calibri"/>
                <w:iCs/>
              </w:rPr>
            </w:pPr>
            <w:r w:rsidRPr="00AB707D">
              <w:rPr>
                <w:rFonts w:eastAsia="Times New Roman" w:cs="Calibri"/>
                <w:iCs/>
              </w:rPr>
              <w:t>HS</w:t>
            </w:r>
            <w:r>
              <w:rPr>
                <w:rFonts w:eastAsia="Times New Roman" w:cs="Calibri"/>
                <w:iCs/>
              </w:rPr>
              <w:t xml:space="preserve"> </w:t>
            </w:r>
            <w:r w:rsidRPr="00AB707D">
              <w:rPr>
                <w:rFonts w:eastAsia="Times New Roman" w:cs="Calibri"/>
                <w:iCs/>
              </w:rPr>
              <w:t>F</w:t>
            </w:r>
          </w:p>
        </w:tc>
        <w:tc>
          <w:tcPr>
            <w:tcW w:w="1180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-0.180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(0.999)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84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0.000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(0.999)</w:t>
            </w:r>
          </w:p>
        </w:tc>
        <w:tc>
          <w:tcPr>
            <w:tcW w:w="1184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-0.131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(0.999)</w:t>
            </w:r>
          </w:p>
        </w:tc>
        <w:tc>
          <w:tcPr>
            <w:tcW w:w="1168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-0.046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(0.497)</w:t>
            </w:r>
          </w:p>
        </w:tc>
        <w:tc>
          <w:tcPr>
            <w:tcW w:w="1176" w:type="dxa"/>
            <w:shd w:val="clear" w:color="auto" w:fill="D9D9D9"/>
          </w:tcPr>
          <w:p w:rsidR="00DE056B" w:rsidRPr="00AB707D" w:rsidRDefault="00DE056B" w:rsidP="003462BC">
            <w:pPr>
              <w:pStyle w:val="KeinLeerraum"/>
              <w:shd w:val="clear" w:color="auto" w:fill="D9D9D9"/>
              <w:rPr>
                <w:rFonts w:cs="Calibri"/>
              </w:rPr>
            </w:pPr>
            <w:r w:rsidRPr="00AB707D">
              <w:rPr>
                <w:rFonts w:cs="Calibri"/>
              </w:rPr>
              <w:t>0.000</w:t>
            </w:r>
          </w:p>
          <w:p w:rsidR="00DE056B" w:rsidRPr="00AB707D" w:rsidRDefault="00DE056B" w:rsidP="003462BC">
            <w:pPr>
              <w:pStyle w:val="KeinLeerraum"/>
              <w:shd w:val="clear" w:color="auto" w:fill="D9D9D9"/>
              <w:rPr>
                <w:rFonts w:cs="Calibri"/>
              </w:rPr>
            </w:pPr>
            <w:r w:rsidRPr="00AB707D">
              <w:rPr>
                <w:rFonts w:cs="Calibri"/>
              </w:rPr>
              <w:t>(0.999)</w:t>
            </w:r>
          </w:p>
        </w:tc>
        <w:tc>
          <w:tcPr>
            <w:tcW w:w="1161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68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61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25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</w:tr>
      <w:tr w:rsidR="00DE056B" w:rsidRPr="00AB707D" w:rsidTr="005C3BBF">
        <w:tblPrEx>
          <w:shd w:val="clear" w:color="auto" w:fill="FFFFFF"/>
        </w:tblPrEx>
        <w:tc>
          <w:tcPr>
            <w:tcW w:w="692" w:type="dxa"/>
            <w:tcBorders>
              <w:right w:val="single" w:sz="4" w:space="0" w:color="7F7F7F"/>
            </w:tcBorders>
            <w:shd w:val="clear" w:color="auto" w:fill="FFFFFF"/>
          </w:tcPr>
          <w:p w:rsidR="00DE056B" w:rsidRPr="00AB707D" w:rsidRDefault="00DE056B" w:rsidP="003462BC">
            <w:pPr>
              <w:pStyle w:val="KeinLeerraum"/>
              <w:jc w:val="right"/>
              <w:rPr>
                <w:rFonts w:eastAsia="Times New Roman" w:cs="Calibri"/>
                <w:iCs/>
              </w:rPr>
            </w:pPr>
            <w:r w:rsidRPr="00AB707D">
              <w:rPr>
                <w:rFonts w:eastAsia="Times New Roman" w:cs="Calibri"/>
                <w:iCs/>
              </w:rPr>
              <w:t>SE A</w:t>
            </w:r>
          </w:p>
        </w:tc>
        <w:tc>
          <w:tcPr>
            <w:tcW w:w="1180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0.725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(0.000***)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84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0.876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(0.001***)</w:t>
            </w:r>
          </w:p>
        </w:tc>
        <w:tc>
          <w:tcPr>
            <w:tcW w:w="1184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0.6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(0.001***)</w:t>
            </w:r>
          </w:p>
        </w:tc>
        <w:tc>
          <w:tcPr>
            <w:tcW w:w="1168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0.365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(0.021*)</w:t>
            </w:r>
          </w:p>
        </w:tc>
        <w:tc>
          <w:tcPr>
            <w:tcW w:w="1176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0.774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(0.010**)</w:t>
            </w:r>
          </w:p>
        </w:tc>
        <w:tc>
          <w:tcPr>
            <w:tcW w:w="1161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0.681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(0.157)</w:t>
            </w:r>
          </w:p>
        </w:tc>
        <w:tc>
          <w:tcPr>
            <w:tcW w:w="1168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61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25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</w:tr>
      <w:tr w:rsidR="00DE056B" w:rsidRPr="00AB707D" w:rsidTr="005C3BBF">
        <w:tblPrEx>
          <w:shd w:val="clear" w:color="auto" w:fill="FFFFFF"/>
        </w:tblPrEx>
        <w:tc>
          <w:tcPr>
            <w:tcW w:w="692" w:type="dxa"/>
            <w:tcBorders>
              <w:right w:val="single" w:sz="4" w:space="0" w:color="7F7F7F"/>
            </w:tcBorders>
            <w:shd w:val="clear" w:color="auto" w:fill="FFFFFF"/>
          </w:tcPr>
          <w:p w:rsidR="00DE056B" w:rsidRPr="00AB707D" w:rsidRDefault="00DE056B" w:rsidP="003462BC">
            <w:pPr>
              <w:pStyle w:val="KeinLeerraum"/>
              <w:jc w:val="right"/>
              <w:rPr>
                <w:rFonts w:eastAsia="Times New Roman" w:cs="Calibri"/>
                <w:iCs/>
              </w:rPr>
            </w:pPr>
            <w:r w:rsidRPr="00AB707D">
              <w:rPr>
                <w:rFonts w:eastAsia="Times New Roman" w:cs="Calibri"/>
                <w:iCs/>
              </w:rPr>
              <w:t>SE F</w:t>
            </w:r>
          </w:p>
        </w:tc>
        <w:tc>
          <w:tcPr>
            <w:tcW w:w="1180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-0.123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(0.999)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84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0.000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(0.999)</w:t>
            </w:r>
          </w:p>
        </w:tc>
        <w:tc>
          <w:tcPr>
            <w:tcW w:w="1184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-0.075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(0.999)</w:t>
            </w:r>
          </w:p>
        </w:tc>
        <w:tc>
          <w:tcPr>
            <w:tcW w:w="1168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0.006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(0.533)</w:t>
            </w:r>
          </w:p>
        </w:tc>
        <w:tc>
          <w:tcPr>
            <w:tcW w:w="1176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0.000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(0.999)</w:t>
            </w:r>
          </w:p>
        </w:tc>
        <w:tc>
          <w:tcPr>
            <w:tcW w:w="1161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0.000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(0.999)</w:t>
            </w:r>
          </w:p>
        </w:tc>
        <w:tc>
          <w:tcPr>
            <w:tcW w:w="1168" w:type="dxa"/>
            <w:shd w:val="clear" w:color="auto" w:fill="D9D9D9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0.720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(0.045*)</w:t>
            </w:r>
          </w:p>
        </w:tc>
        <w:tc>
          <w:tcPr>
            <w:tcW w:w="1161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25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</w:tr>
      <w:tr w:rsidR="00DE056B" w:rsidRPr="00AB707D" w:rsidTr="005C3BBF">
        <w:tblPrEx>
          <w:shd w:val="clear" w:color="auto" w:fill="FFFFFF"/>
        </w:tblPrEx>
        <w:tc>
          <w:tcPr>
            <w:tcW w:w="692" w:type="dxa"/>
            <w:tcBorders>
              <w:right w:val="single" w:sz="4" w:space="0" w:color="7F7F7F"/>
            </w:tcBorders>
            <w:shd w:val="clear" w:color="auto" w:fill="FFFFFF"/>
          </w:tcPr>
          <w:p w:rsidR="00DE056B" w:rsidRPr="00AB707D" w:rsidRDefault="00DE056B" w:rsidP="003462BC">
            <w:pPr>
              <w:pStyle w:val="KeinLeerraum"/>
              <w:jc w:val="right"/>
              <w:rPr>
                <w:rFonts w:eastAsia="Times New Roman" w:cs="Calibri"/>
                <w:iCs/>
              </w:rPr>
            </w:pPr>
            <w:r>
              <w:rPr>
                <w:rFonts w:eastAsia="Times New Roman" w:cs="Calibri"/>
                <w:iCs/>
              </w:rPr>
              <w:t>SA</w:t>
            </w:r>
            <w:r w:rsidRPr="00AB707D">
              <w:rPr>
                <w:rFonts w:eastAsia="Times New Roman" w:cs="Calibri"/>
                <w:iCs/>
              </w:rPr>
              <w:t xml:space="preserve"> F</w:t>
            </w:r>
          </w:p>
        </w:tc>
        <w:tc>
          <w:tcPr>
            <w:tcW w:w="1180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0.181 (0.093)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  <w:tc>
          <w:tcPr>
            <w:tcW w:w="1184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0.403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(0.065)</w:t>
            </w:r>
          </w:p>
        </w:tc>
        <w:tc>
          <w:tcPr>
            <w:tcW w:w="1184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0.094 (0.134)</w:t>
            </w:r>
          </w:p>
        </w:tc>
        <w:tc>
          <w:tcPr>
            <w:tcW w:w="1168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-0.078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(0.808)</w:t>
            </w:r>
          </w:p>
        </w:tc>
        <w:tc>
          <w:tcPr>
            <w:tcW w:w="1176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0.200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(0.442)</w:t>
            </w:r>
          </w:p>
        </w:tc>
        <w:tc>
          <w:tcPr>
            <w:tcW w:w="1161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0.040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(0.508)</w:t>
            </w:r>
          </w:p>
        </w:tc>
        <w:tc>
          <w:tcPr>
            <w:tcW w:w="1168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0.216 (0.264)</w:t>
            </w:r>
          </w:p>
        </w:tc>
        <w:tc>
          <w:tcPr>
            <w:tcW w:w="1161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0.111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(0.440)</w:t>
            </w:r>
          </w:p>
        </w:tc>
        <w:tc>
          <w:tcPr>
            <w:tcW w:w="1125" w:type="dxa"/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</w:p>
        </w:tc>
      </w:tr>
      <w:tr w:rsidR="00DE056B" w:rsidRPr="00AB707D" w:rsidTr="005C3BBF">
        <w:tblPrEx>
          <w:shd w:val="clear" w:color="auto" w:fill="FFFFFF"/>
        </w:tblPrEx>
        <w:tc>
          <w:tcPr>
            <w:tcW w:w="692" w:type="dxa"/>
            <w:tcBorders>
              <w:bottom w:val="single" w:sz="4" w:space="0" w:color="808080"/>
              <w:right w:val="single" w:sz="4" w:space="0" w:color="7F7F7F"/>
            </w:tcBorders>
            <w:shd w:val="clear" w:color="auto" w:fill="FFFFFF"/>
          </w:tcPr>
          <w:p w:rsidR="00DE056B" w:rsidRPr="00AB707D" w:rsidRDefault="00DE056B" w:rsidP="003462BC">
            <w:pPr>
              <w:pStyle w:val="KeinLeerraum"/>
              <w:jc w:val="right"/>
              <w:rPr>
                <w:rFonts w:eastAsia="Times New Roman" w:cs="Calibri"/>
                <w:iCs/>
              </w:rPr>
            </w:pPr>
            <w:r w:rsidRPr="00AB707D">
              <w:rPr>
                <w:rFonts w:eastAsia="Times New Roman" w:cs="Calibri"/>
                <w:iCs/>
              </w:rPr>
              <w:t>OL F</w:t>
            </w:r>
          </w:p>
        </w:tc>
        <w:tc>
          <w:tcPr>
            <w:tcW w:w="1180" w:type="dxa"/>
            <w:tcBorders>
              <w:bottom w:val="single" w:sz="4" w:space="0" w:color="808080"/>
            </w:tcBorders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-0.311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(0.999)</w:t>
            </w:r>
          </w:p>
        </w:tc>
        <w:tc>
          <w:tcPr>
            <w:tcW w:w="1184" w:type="dxa"/>
            <w:tcBorders>
              <w:bottom w:val="single" w:sz="4" w:space="0" w:color="808080"/>
            </w:tcBorders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0.000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(0.999)</w:t>
            </w:r>
          </w:p>
        </w:tc>
        <w:tc>
          <w:tcPr>
            <w:tcW w:w="1184" w:type="dxa"/>
            <w:tcBorders>
              <w:bottom w:val="single" w:sz="4" w:space="0" w:color="808080"/>
            </w:tcBorders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-0.255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(0.999)</w:t>
            </w:r>
          </w:p>
        </w:tc>
        <w:tc>
          <w:tcPr>
            <w:tcW w:w="1168" w:type="dxa"/>
            <w:tcBorders>
              <w:bottom w:val="single" w:sz="4" w:space="0" w:color="808080"/>
            </w:tcBorders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-0.157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(0.999)</w:t>
            </w:r>
          </w:p>
        </w:tc>
        <w:tc>
          <w:tcPr>
            <w:tcW w:w="1176" w:type="dxa"/>
            <w:tcBorders>
              <w:bottom w:val="single" w:sz="4" w:space="0" w:color="808080"/>
            </w:tcBorders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0.000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(0.999)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0.000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(0.999)</w:t>
            </w:r>
          </w:p>
        </w:tc>
        <w:tc>
          <w:tcPr>
            <w:tcW w:w="1168" w:type="dxa"/>
            <w:tcBorders>
              <w:bottom w:val="single" w:sz="4" w:space="0" w:color="808080"/>
            </w:tcBorders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0.623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(0.140)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0.000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(0.999)</w:t>
            </w:r>
          </w:p>
        </w:tc>
        <w:tc>
          <w:tcPr>
            <w:tcW w:w="1125" w:type="dxa"/>
            <w:tcBorders>
              <w:bottom w:val="single" w:sz="4" w:space="0" w:color="808080"/>
            </w:tcBorders>
            <w:shd w:val="clear" w:color="auto" w:fill="auto"/>
          </w:tcPr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cs="Calibri"/>
              </w:rPr>
              <w:t>-0.091</w:t>
            </w:r>
          </w:p>
          <w:p w:rsidR="00DE056B" w:rsidRPr="00AB707D" w:rsidRDefault="00DE056B" w:rsidP="003462BC">
            <w:pPr>
              <w:pStyle w:val="KeinLeerraum"/>
              <w:rPr>
                <w:rFonts w:cs="Calibri"/>
              </w:rPr>
            </w:pPr>
            <w:r w:rsidRPr="00AB707D">
              <w:rPr>
                <w:rFonts w:eastAsia="Times New Roman" w:cs="Calibri"/>
                <w:lang w:eastAsia="en-GB"/>
              </w:rPr>
              <w:t>(0.999)</w:t>
            </w:r>
          </w:p>
        </w:tc>
      </w:tr>
      <w:tr w:rsidR="00DE056B" w:rsidRPr="00AB707D" w:rsidTr="003462BC">
        <w:tc>
          <w:tcPr>
            <w:tcW w:w="11199" w:type="dxa"/>
            <w:gridSpan w:val="10"/>
            <w:tcBorders>
              <w:top w:val="single" w:sz="4" w:space="0" w:color="808080"/>
            </w:tcBorders>
            <w:shd w:val="clear" w:color="auto" w:fill="FFFFFF"/>
          </w:tcPr>
          <w:p w:rsidR="00DE056B" w:rsidRPr="00AB707D" w:rsidRDefault="00175D6B" w:rsidP="003462BC">
            <w:pPr>
              <w:pStyle w:val="KeinLeerraum"/>
              <w:rPr>
                <w:rFonts w:ascii="Calibri Light" w:eastAsia="Times New Roman" w:hAnsi="Calibri Light" w:cs="Calibri"/>
                <w:i/>
                <w:iCs/>
                <w:sz w:val="26"/>
              </w:rPr>
            </w:pPr>
            <w:r w:rsidRPr="00AB707D">
              <w:rPr>
                <w:rFonts w:eastAsia="Times New Roman" w:cs="Calibri"/>
                <w:iCs/>
              </w:rPr>
              <w:t xml:space="preserve">Population pairwise </w:t>
            </w:r>
            <w:r w:rsidRPr="00A13CA3">
              <w:rPr>
                <w:rFonts w:eastAsia="Times New Roman" w:cs="Calibri"/>
                <w:i/>
                <w:iCs/>
              </w:rPr>
              <w:t>F</w:t>
            </w:r>
            <w:r w:rsidRPr="00A13CA3">
              <w:rPr>
                <w:rFonts w:eastAsia="Times New Roman" w:cs="Calibri"/>
                <w:i/>
                <w:iCs/>
                <w:vertAlign w:val="subscript"/>
              </w:rPr>
              <w:t>ST</w:t>
            </w:r>
            <w:r w:rsidRPr="00AB707D">
              <w:rPr>
                <w:rFonts w:eastAsia="Times New Roman" w:cs="Calibri"/>
                <w:iCs/>
              </w:rPr>
              <w:t xml:space="preserve"> computing conventional </w:t>
            </w:r>
            <w:r w:rsidRPr="00410BFA">
              <w:rPr>
                <w:rFonts w:eastAsia="Times New Roman" w:cs="Calibri"/>
                <w:i/>
                <w:iCs/>
              </w:rPr>
              <w:t>F</w:t>
            </w:r>
            <w:r w:rsidRPr="00AB707D">
              <w:rPr>
                <w:rFonts w:eastAsia="Times New Roman" w:cs="Calibri"/>
                <w:iCs/>
              </w:rPr>
              <w:t xml:space="preserve">-Statistics from haplotype frequencies. Values display population pairwise </w:t>
            </w:r>
            <w:r w:rsidRPr="00A13CA3">
              <w:rPr>
                <w:rFonts w:eastAsia="Times New Roman" w:cs="Calibri"/>
                <w:i/>
                <w:iCs/>
              </w:rPr>
              <w:t>F</w:t>
            </w:r>
            <w:r w:rsidRPr="00A13CA3">
              <w:rPr>
                <w:rFonts w:eastAsia="Times New Roman" w:cs="Calibri"/>
                <w:i/>
                <w:iCs/>
                <w:vertAlign w:val="subscript"/>
              </w:rPr>
              <w:t>ST</w:t>
            </w:r>
            <w:r w:rsidRPr="00AB707D">
              <w:rPr>
                <w:rFonts w:eastAsia="Times New Roman" w:cs="Calibri"/>
                <w:iCs/>
              </w:rPr>
              <w:t xml:space="preserve"> including bracketed p-values generated by 1000 permutations (p-value significance level: *≤0.05, **≤0.01, *** ≤0.001). Sympatric populations are shaded grey. </w:t>
            </w:r>
            <w:r w:rsidR="00DE056B" w:rsidRPr="00FA1B8F">
              <w:rPr>
                <w:rFonts w:eastAsia="Times New Roman" w:cs="Calibri"/>
                <w:iCs/>
              </w:rPr>
              <w:t xml:space="preserve">Site abbreviations: AS, Askö; HS, Hiddensee; OL, Olkiluoto; SA, Saaremaa; SE, Seili; TZ, Tvärminne. </w:t>
            </w:r>
            <w:r w:rsidR="00DE056B">
              <w:rPr>
                <w:rFonts w:eastAsia="Times New Roman" w:cs="Calibri"/>
                <w:iCs/>
              </w:rPr>
              <w:t>Form</w:t>
            </w:r>
            <w:r w:rsidR="00DE056B" w:rsidRPr="00AB707D">
              <w:rPr>
                <w:rFonts w:eastAsia="Times New Roman" w:cs="Calibri"/>
                <w:iCs/>
              </w:rPr>
              <w:t xml:space="preserve"> abbreviations A, </w:t>
            </w:r>
            <w:r w:rsidR="00DE056B">
              <w:rPr>
                <w:rFonts w:eastAsia="Times New Roman" w:cs="Calibri"/>
                <w:iCs/>
              </w:rPr>
              <w:t>attached</w:t>
            </w:r>
            <w:r w:rsidR="00DE056B" w:rsidRPr="00AB707D">
              <w:rPr>
                <w:rFonts w:eastAsia="Times New Roman" w:cs="Calibri"/>
                <w:iCs/>
              </w:rPr>
              <w:t>; F, free-living.</w:t>
            </w:r>
          </w:p>
        </w:tc>
      </w:tr>
    </w:tbl>
    <w:p w:rsidR="00175D6B" w:rsidRDefault="00175D6B"/>
    <w:sectPr w:rsidR="00175D6B" w:rsidSect="00DE056B">
      <w:footerReference w:type="default" r:id="rId7"/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7B" w:rsidRDefault="0012157B">
      <w:pPr>
        <w:spacing w:after="0" w:line="240" w:lineRule="auto"/>
      </w:pPr>
      <w:r>
        <w:separator/>
      </w:r>
    </w:p>
  </w:endnote>
  <w:endnote w:type="continuationSeparator" w:id="0">
    <w:p w:rsidR="0012157B" w:rsidRDefault="0012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ED" w:rsidRDefault="00DE056B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5D6B">
      <w:rPr>
        <w:noProof/>
      </w:rPr>
      <w:t>1</w:t>
    </w:r>
    <w:r>
      <w:rPr>
        <w:noProof/>
      </w:rPr>
      <w:fldChar w:fldCharType="end"/>
    </w:r>
  </w:p>
  <w:p w:rsidR="006C7EED" w:rsidRDefault="001215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7B" w:rsidRDefault="0012157B">
      <w:pPr>
        <w:spacing w:after="0" w:line="240" w:lineRule="auto"/>
      </w:pPr>
      <w:r>
        <w:separator/>
      </w:r>
    </w:p>
  </w:footnote>
  <w:footnote w:type="continuationSeparator" w:id="0">
    <w:p w:rsidR="0012157B" w:rsidRDefault="00121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6B"/>
    <w:rsid w:val="00001A3C"/>
    <w:rsid w:val="00023F7A"/>
    <w:rsid w:val="000278DF"/>
    <w:rsid w:val="00054263"/>
    <w:rsid w:val="00057D5B"/>
    <w:rsid w:val="000925B7"/>
    <w:rsid w:val="00096DFE"/>
    <w:rsid w:val="000B1C65"/>
    <w:rsid w:val="000C5293"/>
    <w:rsid w:val="000F17B9"/>
    <w:rsid w:val="0012157B"/>
    <w:rsid w:val="001417B5"/>
    <w:rsid w:val="00175D6B"/>
    <w:rsid w:val="00183770"/>
    <w:rsid w:val="001B4540"/>
    <w:rsid w:val="001B4A09"/>
    <w:rsid w:val="001C7E21"/>
    <w:rsid w:val="001D3C49"/>
    <w:rsid w:val="002314CF"/>
    <w:rsid w:val="002424FB"/>
    <w:rsid w:val="00266A95"/>
    <w:rsid w:val="00277CC0"/>
    <w:rsid w:val="0029059E"/>
    <w:rsid w:val="002A25A1"/>
    <w:rsid w:val="00305B9F"/>
    <w:rsid w:val="0031134F"/>
    <w:rsid w:val="00326A01"/>
    <w:rsid w:val="00374B6A"/>
    <w:rsid w:val="00395C26"/>
    <w:rsid w:val="003A7FE6"/>
    <w:rsid w:val="003B5639"/>
    <w:rsid w:val="003D33DB"/>
    <w:rsid w:val="003F4CC7"/>
    <w:rsid w:val="00410BFA"/>
    <w:rsid w:val="00412B87"/>
    <w:rsid w:val="0041449E"/>
    <w:rsid w:val="00431A42"/>
    <w:rsid w:val="004337C7"/>
    <w:rsid w:val="0043735F"/>
    <w:rsid w:val="00460E66"/>
    <w:rsid w:val="00475A35"/>
    <w:rsid w:val="00493C07"/>
    <w:rsid w:val="004C3E04"/>
    <w:rsid w:val="004D4338"/>
    <w:rsid w:val="005117DC"/>
    <w:rsid w:val="0053131E"/>
    <w:rsid w:val="005362FA"/>
    <w:rsid w:val="00546A59"/>
    <w:rsid w:val="00571105"/>
    <w:rsid w:val="00571470"/>
    <w:rsid w:val="00585047"/>
    <w:rsid w:val="005C3BBF"/>
    <w:rsid w:val="00607823"/>
    <w:rsid w:val="00611C16"/>
    <w:rsid w:val="00613126"/>
    <w:rsid w:val="0061607F"/>
    <w:rsid w:val="006340FC"/>
    <w:rsid w:val="00634694"/>
    <w:rsid w:val="006D3127"/>
    <w:rsid w:val="006D4226"/>
    <w:rsid w:val="006D5121"/>
    <w:rsid w:val="00701C22"/>
    <w:rsid w:val="00710B98"/>
    <w:rsid w:val="00717C34"/>
    <w:rsid w:val="00724FA7"/>
    <w:rsid w:val="00730493"/>
    <w:rsid w:val="007369DB"/>
    <w:rsid w:val="0074317A"/>
    <w:rsid w:val="0075456F"/>
    <w:rsid w:val="007556AB"/>
    <w:rsid w:val="00757032"/>
    <w:rsid w:val="0076405A"/>
    <w:rsid w:val="0079208C"/>
    <w:rsid w:val="00796F13"/>
    <w:rsid w:val="007C289E"/>
    <w:rsid w:val="007D5CCE"/>
    <w:rsid w:val="007E583B"/>
    <w:rsid w:val="00840A97"/>
    <w:rsid w:val="00841D34"/>
    <w:rsid w:val="0084514F"/>
    <w:rsid w:val="00871D05"/>
    <w:rsid w:val="008751BA"/>
    <w:rsid w:val="0088255D"/>
    <w:rsid w:val="00892883"/>
    <w:rsid w:val="008B21A3"/>
    <w:rsid w:val="008D2F55"/>
    <w:rsid w:val="008F6750"/>
    <w:rsid w:val="009236C0"/>
    <w:rsid w:val="00937EB0"/>
    <w:rsid w:val="0095255F"/>
    <w:rsid w:val="00966470"/>
    <w:rsid w:val="00974FB6"/>
    <w:rsid w:val="00986690"/>
    <w:rsid w:val="0099059A"/>
    <w:rsid w:val="009A4939"/>
    <w:rsid w:val="009D24C5"/>
    <w:rsid w:val="009E1D4B"/>
    <w:rsid w:val="009F2102"/>
    <w:rsid w:val="009F5B67"/>
    <w:rsid w:val="009F72B9"/>
    <w:rsid w:val="00A01CE3"/>
    <w:rsid w:val="00A10224"/>
    <w:rsid w:val="00A13CA3"/>
    <w:rsid w:val="00A4303D"/>
    <w:rsid w:val="00AA05C2"/>
    <w:rsid w:val="00AB05CC"/>
    <w:rsid w:val="00AE01F3"/>
    <w:rsid w:val="00B20834"/>
    <w:rsid w:val="00B32850"/>
    <w:rsid w:val="00B404E3"/>
    <w:rsid w:val="00B40B0A"/>
    <w:rsid w:val="00B41F09"/>
    <w:rsid w:val="00B55620"/>
    <w:rsid w:val="00B67F0C"/>
    <w:rsid w:val="00B7483F"/>
    <w:rsid w:val="00B850AE"/>
    <w:rsid w:val="00B86597"/>
    <w:rsid w:val="00BB23E2"/>
    <w:rsid w:val="00BC4886"/>
    <w:rsid w:val="00BC5D5C"/>
    <w:rsid w:val="00BD3755"/>
    <w:rsid w:val="00BE4338"/>
    <w:rsid w:val="00BF3D00"/>
    <w:rsid w:val="00C00A98"/>
    <w:rsid w:val="00C16E3B"/>
    <w:rsid w:val="00C201E3"/>
    <w:rsid w:val="00C33D6E"/>
    <w:rsid w:val="00C509BA"/>
    <w:rsid w:val="00C53EB9"/>
    <w:rsid w:val="00C7324A"/>
    <w:rsid w:val="00C744ED"/>
    <w:rsid w:val="00C80029"/>
    <w:rsid w:val="00CA22C9"/>
    <w:rsid w:val="00CA76D1"/>
    <w:rsid w:val="00CB1692"/>
    <w:rsid w:val="00CD59D5"/>
    <w:rsid w:val="00CF3731"/>
    <w:rsid w:val="00CF437B"/>
    <w:rsid w:val="00CF7C6B"/>
    <w:rsid w:val="00D407C9"/>
    <w:rsid w:val="00D42E22"/>
    <w:rsid w:val="00D6623F"/>
    <w:rsid w:val="00D662F1"/>
    <w:rsid w:val="00DA33E1"/>
    <w:rsid w:val="00DE056B"/>
    <w:rsid w:val="00DE7E1F"/>
    <w:rsid w:val="00DF3C64"/>
    <w:rsid w:val="00DF45AF"/>
    <w:rsid w:val="00E21DBA"/>
    <w:rsid w:val="00E25175"/>
    <w:rsid w:val="00E33E82"/>
    <w:rsid w:val="00E348D9"/>
    <w:rsid w:val="00E632F7"/>
    <w:rsid w:val="00E7387D"/>
    <w:rsid w:val="00E75FE7"/>
    <w:rsid w:val="00E76CC6"/>
    <w:rsid w:val="00E94FCE"/>
    <w:rsid w:val="00EB4698"/>
    <w:rsid w:val="00EF49C0"/>
    <w:rsid w:val="00F207F4"/>
    <w:rsid w:val="00F86D03"/>
    <w:rsid w:val="00F913CF"/>
    <w:rsid w:val="00FC5779"/>
    <w:rsid w:val="00FD1CCE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A3DD"/>
  <w15:chartTrackingRefBased/>
  <w15:docId w15:val="{6CB174B6-C57D-459B-8867-F00BEEFF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056B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aliases w:val="standard"/>
    <w:basedOn w:val="KeinLeerraum"/>
    <w:next w:val="KeinLeerraum"/>
    <w:link w:val="TitelZchn"/>
    <w:uiPriority w:val="10"/>
    <w:qFormat/>
    <w:rsid w:val="00B55620"/>
    <w:pPr>
      <w:spacing w:line="360" w:lineRule="auto"/>
      <w:contextualSpacing/>
    </w:pPr>
    <w:rPr>
      <w:rFonts w:ascii="Calibri" w:eastAsiaTheme="majorEastAsia" w:hAnsi="Calibri" w:cstheme="majorBidi"/>
      <w:spacing w:val="-10"/>
      <w:kern w:val="28"/>
      <w:sz w:val="24"/>
      <w:szCs w:val="56"/>
    </w:rPr>
  </w:style>
  <w:style w:type="character" w:customStyle="1" w:styleId="TitelZchn">
    <w:name w:val="Titel Zchn"/>
    <w:aliases w:val="standard Zchn"/>
    <w:basedOn w:val="Absatz-Standardschriftart"/>
    <w:link w:val="Titel"/>
    <w:uiPriority w:val="10"/>
    <w:rsid w:val="00B55620"/>
    <w:rPr>
      <w:rFonts w:ascii="Calibri" w:eastAsiaTheme="majorEastAsia" w:hAnsi="Calibri" w:cstheme="majorBidi"/>
      <w:spacing w:val="-10"/>
      <w:kern w:val="28"/>
      <w:sz w:val="24"/>
      <w:szCs w:val="56"/>
    </w:rPr>
  </w:style>
  <w:style w:type="paragraph" w:styleId="KeinLeerraum">
    <w:name w:val="No Spacing"/>
    <w:uiPriority w:val="99"/>
    <w:qFormat/>
    <w:rsid w:val="00B55620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DE056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DE0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Fuzeile">
    <w:name w:val="footer"/>
    <w:basedOn w:val="Standard"/>
    <w:link w:val="FuzeileZchn"/>
    <w:uiPriority w:val="99"/>
    <w:unhideWhenUsed/>
    <w:rsid w:val="00DE0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056B"/>
    <w:rPr>
      <w:rFonts w:ascii="Calibri" w:eastAsia="Calibri" w:hAnsi="Calibri" w:cs="Times New Roman"/>
    </w:rPr>
  </w:style>
  <w:style w:type="table" w:styleId="TabellemithellemGitternetz">
    <w:name w:val="Grid Table Light"/>
    <w:basedOn w:val="NormaleTabelle"/>
    <w:uiPriority w:val="40"/>
    <w:rsid w:val="00DE056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DE056B"/>
  </w:style>
  <w:style w:type="paragraph" w:styleId="Kopfzeile">
    <w:name w:val="header"/>
    <w:basedOn w:val="Standard"/>
    <w:link w:val="KopfzeileZchn"/>
    <w:uiPriority w:val="99"/>
    <w:unhideWhenUsed/>
    <w:rsid w:val="005C3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3BBF"/>
    <w:rPr>
      <w:rFonts w:ascii="Calibri" w:eastAsia="Calibri" w:hAnsi="Calibri" w:cs="Times New Roman"/>
    </w:rPr>
  </w:style>
  <w:style w:type="table" w:styleId="EinfacheTabelle5">
    <w:name w:val="Plain Table 5"/>
    <w:basedOn w:val="NormaleTabelle"/>
    <w:uiPriority w:val="45"/>
    <w:rsid w:val="005C3BB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Roxana</dc:creator>
  <cp:keywords/>
  <dc:description/>
  <cp:lastModifiedBy>Stoeber, Gunda</cp:lastModifiedBy>
  <cp:revision>7</cp:revision>
  <dcterms:created xsi:type="dcterms:W3CDTF">2022-08-22T08:40:00Z</dcterms:created>
  <dcterms:modified xsi:type="dcterms:W3CDTF">2022-10-05T16:32:00Z</dcterms:modified>
</cp:coreProperties>
</file>