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F817" w14:textId="33628568" w:rsidR="00556034" w:rsidRDefault="000C3D18" w:rsidP="00F15CDE">
      <w:pPr>
        <w:rPr>
          <w:b/>
        </w:rPr>
      </w:pPr>
      <w:r>
        <w:rPr>
          <w:b/>
        </w:rPr>
        <w:t>Material suplementario</w:t>
      </w:r>
    </w:p>
    <w:p w14:paraId="61C45C53" w14:textId="7D0E1EF7" w:rsidR="00C855E4" w:rsidRDefault="00C855E4" w:rsidP="000C3D18">
      <w:pPr>
        <w:rPr>
          <w:rFonts w:ascii="Arial" w:hAnsi="Arial" w:cs="Arial"/>
          <w:b/>
          <w:bCs/>
        </w:rPr>
      </w:pPr>
      <w:r>
        <w:rPr>
          <w:b/>
        </w:rPr>
        <w:t>Anexo 1</w:t>
      </w:r>
      <w:r w:rsidR="000C3D18">
        <w:rPr>
          <w:b/>
        </w:rPr>
        <w:t xml:space="preserve">A. </w:t>
      </w:r>
      <w:r w:rsidRPr="00437FF6">
        <w:rPr>
          <w:rFonts w:ascii="Arial" w:hAnsi="Arial" w:cs="Arial"/>
          <w:b/>
          <w:bCs/>
        </w:rPr>
        <w:t xml:space="preserve"> </w:t>
      </w:r>
      <w:r w:rsidRPr="000C3D18">
        <w:rPr>
          <w:rFonts w:ascii="Arial" w:hAnsi="Arial" w:cs="Arial"/>
        </w:rPr>
        <w:t>Causas de hipercolesterolemia secundaria</w:t>
      </w:r>
      <w:r w:rsidRPr="00FF179C">
        <w:rPr>
          <w:rFonts w:ascii="Arial" w:hAnsi="Arial" w:cs="Arial"/>
          <w:noProof/>
          <w:lang w:eastAsia="es-ES"/>
        </w:rPr>
        <w:drawing>
          <wp:inline distT="0" distB="0" distL="0" distR="0" wp14:anchorId="521DE10C" wp14:editId="5F4F5F4D">
            <wp:extent cx="4572000" cy="499316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699" t="14765" r="42379" b="29086"/>
                    <a:stretch/>
                  </pic:blipFill>
                  <pic:spPr bwMode="auto">
                    <a:xfrm>
                      <a:off x="0" y="0"/>
                      <a:ext cx="4588327" cy="5010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8E113" w14:textId="77777777" w:rsidR="00C855E4" w:rsidRDefault="00C855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347"/>
        <w:gridCol w:w="1900"/>
        <w:gridCol w:w="1844"/>
        <w:gridCol w:w="1951"/>
      </w:tblGrid>
      <w:tr w:rsidR="00C855E4" w:rsidRPr="009D46D5" w14:paraId="70781DE3" w14:textId="77777777" w:rsidTr="00F85991">
        <w:trPr>
          <w:trHeight w:val="423"/>
        </w:trPr>
        <w:tc>
          <w:tcPr>
            <w:tcW w:w="0" w:type="auto"/>
            <w:gridSpan w:val="4"/>
            <w:hideMark/>
          </w:tcPr>
          <w:p w14:paraId="3A0BC457" w14:textId="307F9706" w:rsidR="00C855E4" w:rsidRPr="00C855E4" w:rsidRDefault="00C855E4" w:rsidP="00C855E4">
            <w:pPr>
              <w:spacing w:line="360" w:lineRule="auto"/>
              <w:rPr>
                <w:b/>
                <w:sz w:val="24"/>
              </w:rPr>
            </w:pPr>
            <w:r w:rsidRPr="00C855E4">
              <w:rPr>
                <w:b/>
                <w:sz w:val="24"/>
              </w:rPr>
              <w:lastRenderedPageBreak/>
              <w:t xml:space="preserve">Anexo 1B.  </w:t>
            </w:r>
            <w:r w:rsidRPr="000C3D18">
              <w:rPr>
                <w:bCs/>
                <w:sz w:val="24"/>
              </w:rPr>
              <w:t>Fármacos que pueden causar dislipemias</w:t>
            </w:r>
            <w:r w:rsidRPr="00C855E4">
              <w:rPr>
                <w:b/>
                <w:sz w:val="24"/>
              </w:rPr>
              <w:br w:type="page"/>
            </w:r>
          </w:p>
        </w:tc>
      </w:tr>
      <w:tr w:rsidR="00C855E4" w:rsidRPr="009D46D5" w14:paraId="6197DB7F" w14:textId="77777777" w:rsidTr="00F85991">
        <w:trPr>
          <w:trHeight w:val="380"/>
        </w:trPr>
        <w:tc>
          <w:tcPr>
            <w:tcW w:w="0" w:type="auto"/>
            <w:hideMark/>
          </w:tcPr>
          <w:p w14:paraId="4B1F76F7" w14:textId="4BECD2B2" w:rsidR="00C855E4" w:rsidRPr="00C855E4" w:rsidRDefault="00C855E4" w:rsidP="00F85991">
            <w:pPr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Fármacos</w:t>
            </w:r>
            <w:r w:rsidRPr="00C855E4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hideMark/>
          </w:tcPr>
          <w:p w14:paraId="1123B1FB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Colesterol LDL</w:t>
            </w:r>
          </w:p>
        </w:tc>
        <w:tc>
          <w:tcPr>
            <w:tcW w:w="0" w:type="auto"/>
            <w:hideMark/>
          </w:tcPr>
          <w:p w14:paraId="216FB244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proofErr w:type="spellStart"/>
            <w:r w:rsidRPr="009D46D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Trigicéridos</w:t>
            </w:r>
            <w:proofErr w:type="spellEnd"/>
          </w:p>
        </w:tc>
        <w:tc>
          <w:tcPr>
            <w:tcW w:w="0" w:type="auto"/>
            <w:hideMark/>
          </w:tcPr>
          <w:p w14:paraId="5516AA80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Colesterol  HDL </w:t>
            </w:r>
          </w:p>
        </w:tc>
      </w:tr>
      <w:tr w:rsidR="00C855E4" w:rsidRPr="009D46D5" w14:paraId="554A5F25" w14:textId="77777777" w:rsidTr="00C855E4">
        <w:trPr>
          <w:trHeight w:val="315"/>
        </w:trPr>
        <w:tc>
          <w:tcPr>
            <w:tcW w:w="0" w:type="auto"/>
            <w:gridSpan w:val="4"/>
            <w:shd w:val="clear" w:color="auto" w:fill="E7E6E6" w:themeFill="background2"/>
            <w:hideMark/>
          </w:tcPr>
          <w:p w14:paraId="19CC7FAA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Cardiovascular /Endocrinología</w:t>
            </w:r>
          </w:p>
        </w:tc>
      </w:tr>
      <w:tr w:rsidR="00C855E4" w:rsidRPr="009D46D5" w14:paraId="725D2ECD" w14:textId="77777777" w:rsidTr="00F85991">
        <w:trPr>
          <w:trHeight w:val="315"/>
        </w:trPr>
        <w:tc>
          <w:tcPr>
            <w:tcW w:w="0" w:type="auto"/>
            <w:hideMark/>
          </w:tcPr>
          <w:p w14:paraId="2130E5BC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Amiodarona</w:t>
            </w:r>
          </w:p>
        </w:tc>
        <w:tc>
          <w:tcPr>
            <w:tcW w:w="0" w:type="auto"/>
            <w:hideMark/>
          </w:tcPr>
          <w:p w14:paraId="6BEA2839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  <w:tc>
          <w:tcPr>
            <w:tcW w:w="0" w:type="auto"/>
            <w:hideMark/>
          </w:tcPr>
          <w:p w14:paraId="1116052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14CF5E31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4F78D1EA" w14:textId="77777777" w:rsidTr="00F85991">
        <w:trPr>
          <w:trHeight w:val="310"/>
        </w:trPr>
        <w:tc>
          <w:tcPr>
            <w:tcW w:w="0" w:type="auto"/>
            <w:hideMark/>
          </w:tcPr>
          <w:p w14:paraId="7BD966BB" w14:textId="77777777" w:rsidR="00C855E4" w:rsidRPr="009D46D5" w:rsidRDefault="00C855E4" w:rsidP="00F85991">
            <w:pPr>
              <w:rPr>
                <w:rFonts w:ascii="Arial" w:eastAsia="Times New Roman" w:hAnsi="Arial" w:cs="Arial"/>
                <w:i/>
                <w:iCs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i/>
                <w:iCs/>
                <w:color w:val="000000"/>
                <w:lang w:eastAsia="es-ES"/>
              </w:rPr>
              <w:t>β</w:t>
            </w: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-Bloqueantes***</w:t>
            </w:r>
          </w:p>
        </w:tc>
        <w:tc>
          <w:tcPr>
            <w:tcW w:w="0" w:type="auto"/>
            <w:hideMark/>
          </w:tcPr>
          <w:p w14:paraId="5E47024D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6530333D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↑10-40%</w:t>
            </w:r>
          </w:p>
        </w:tc>
        <w:tc>
          <w:tcPr>
            <w:tcW w:w="0" w:type="auto"/>
            <w:hideMark/>
          </w:tcPr>
          <w:p w14:paraId="052AA14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↓5-20%</w:t>
            </w:r>
          </w:p>
        </w:tc>
      </w:tr>
      <w:tr w:rsidR="00C855E4" w:rsidRPr="009D46D5" w14:paraId="1398FF7B" w14:textId="77777777" w:rsidTr="00F85991">
        <w:trPr>
          <w:trHeight w:val="400"/>
        </w:trPr>
        <w:tc>
          <w:tcPr>
            <w:tcW w:w="0" w:type="auto"/>
            <w:hideMark/>
          </w:tcPr>
          <w:p w14:paraId="6919EAA7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Diuréticos del as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</w:p>
        </w:tc>
        <w:tc>
          <w:tcPr>
            <w:tcW w:w="0" w:type="auto"/>
            <w:hideMark/>
          </w:tcPr>
          <w:p w14:paraId="224BF10C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↑5-10%</w:t>
            </w:r>
          </w:p>
        </w:tc>
        <w:tc>
          <w:tcPr>
            <w:tcW w:w="0" w:type="auto"/>
            <w:hideMark/>
          </w:tcPr>
          <w:p w14:paraId="566B0DCF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↑5-10%</w:t>
            </w:r>
          </w:p>
        </w:tc>
        <w:tc>
          <w:tcPr>
            <w:tcW w:w="0" w:type="auto"/>
            <w:hideMark/>
          </w:tcPr>
          <w:p w14:paraId="63FD9DBB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7A7A0CF5" w14:textId="77777777" w:rsidTr="00F85991">
        <w:trPr>
          <w:trHeight w:val="406"/>
        </w:trPr>
        <w:tc>
          <w:tcPr>
            <w:tcW w:w="0" w:type="auto"/>
            <w:hideMark/>
          </w:tcPr>
          <w:p w14:paraId="6F8DBE6A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Thiazide</w:t>
            </w:r>
            <w:proofErr w:type="spellEnd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diuretics</w:t>
            </w:r>
            <w:proofErr w:type="spellEnd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 (</w:t>
            </w:r>
            <w:proofErr w:type="spellStart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high</w:t>
            </w:r>
            <w:proofErr w:type="spellEnd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dose</w:t>
            </w:r>
            <w:proofErr w:type="spellEnd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)</w:t>
            </w:r>
          </w:p>
        </w:tc>
        <w:tc>
          <w:tcPr>
            <w:tcW w:w="0" w:type="auto"/>
            <w:hideMark/>
          </w:tcPr>
          <w:p w14:paraId="2BCED335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↑5-10%</w:t>
            </w:r>
          </w:p>
        </w:tc>
        <w:tc>
          <w:tcPr>
            <w:tcW w:w="0" w:type="auto"/>
            <w:hideMark/>
          </w:tcPr>
          <w:p w14:paraId="388964E8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↑5-15%</w:t>
            </w:r>
          </w:p>
        </w:tc>
        <w:tc>
          <w:tcPr>
            <w:tcW w:w="0" w:type="auto"/>
            <w:hideMark/>
          </w:tcPr>
          <w:p w14:paraId="09F0EB28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4739E01A" w14:textId="77777777" w:rsidTr="00F85991">
        <w:trPr>
          <w:trHeight w:val="590"/>
        </w:trPr>
        <w:tc>
          <w:tcPr>
            <w:tcW w:w="0" w:type="auto"/>
            <w:hideMark/>
          </w:tcPr>
          <w:p w14:paraId="37501262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Inhibidores SGLT2 (cotransportador </w:t>
            </w:r>
            <w:proofErr w:type="spellStart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sodo</w:t>
            </w:r>
            <w:proofErr w:type="spellEnd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-glucosa 2) </w:t>
            </w:r>
          </w:p>
          <w:p w14:paraId="15DE0B5A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0" w:type="auto"/>
            <w:hideMark/>
          </w:tcPr>
          <w:p w14:paraId="026635B2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↑3-8%</w:t>
            </w:r>
          </w:p>
        </w:tc>
        <w:tc>
          <w:tcPr>
            <w:tcW w:w="0" w:type="auto"/>
            <w:hideMark/>
          </w:tcPr>
          <w:p w14:paraId="26269168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↔↓</w:t>
            </w:r>
          </w:p>
        </w:tc>
        <w:tc>
          <w:tcPr>
            <w:tcW w:w="0" w:type="auto"/>
            <w:hideMark/>
          </w:tcPr>
          <w:p w14:paraId="30A50EE9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</w:tr>
      <w:tr w:rsidR="00C855E4" w:rsidRPr="009D46D5" w14:paraId="35B3AA09" w14:textId="77777777" w:rsidTr="00C855E4">
        <w:trPr>
          <w:trHeight w:val="315"/>
        </w:trPr>
        <w:tc>
          <w:tcPr>
            <w:tcW w:w="0" w:type="auto"/>
            <w:gridSpan w:val="4"/>
            <w:shd w:val="clear" w:color="auto" w:fill="E7E6E6" w:themeFill="background2"/>
            <w:hideMark/>
          </w:tcPr>
          <w:p w14:paraId="12572F06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Esteroides</w:t>
            </w:r>
          </w:p>
        </w:tc>
      </w:tr>
      <w:tr w:rsidR="00C855E4" w:rsidRPr="009D46D5" w14:paraId="23B306D0" w14:textId="77777777" w:rsidTr="00F85991">
        <w:trPr>
          <w:trHeight w:val="315"/>
        </w:trPr>
        <w:tc>
          <w:tcPr>
            <w:tcW w:w="0" w:type="auto"/>
            <w:hideMark/>
          </w:tcPr>
          <w:p w14:paraId="488EDF3B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Estrogen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os</w:t>
            </w:r>
            <w:proofErr w:type="spellEnd"/>
          </w:p>
        </w:tc>
        <w:tc>
          <w:tcPr>
            <w:tcW w:w="0" w:type="auto"/>
            <w:hideMark/>
          </w:tcPr>
          <w:p w14:paraId="2C16AA9C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↓7-20%</w:t>
            </w:r>
          </w:p>
        </w:tc>
        <w:tc>
          <w:tcPr>
            <w:tcW w:w="0" w:type="auto"/>
            <w:hideMark/>
          </w:tcPr>
          <w:p w14:paraId="7C9BE3C8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↑40%</w:t>
            </w:r>
          </w:p>
        </w:tc>
        <w:tc>
          <w:tcPr>
            <w:tcW w:w="0" w:type="auto"/>
            <w:hideMark/>
          </w:tcPr>
          <w:p w14:paraId="037E69F1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↑5-20%</w:t>
            </w:r>
          </w:p>
        </w:tc>
      </w:tr>
      <w:tr w:rsidR="00C855E4" w:rsidRPr="009D46D5" w14:paraId="2FF36887" w14:textId="77777777" w:rsidTr="00F85991">
        <w:trPr>
          <w:trHeight w:val="615"/>
        </w:trPr>
        <w:tc>
          <w:tcPr>
            <w:tcW w:w="0" w:type="auto"/>
            <w:hideMark/>
          </w:tcPr>
          <w:p w14:paraId="26191F3F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Progestágenos </w:t>
            </w:r>
          </w:p>
        </w:tc>
        <w:tc>
          <w:tcPr>
            <w:tcW w:w="0" w:type="auto"/>
            <w:hideMark/>
          </w:tcPr>
          <w:p w14:paraId="2CD08AE1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  <w:tc>
          <w:tcPr>
            <w:tcW w:w="0" w:type="auto"/>
            <w:hideMark/>
          </w:tcPr>
          <w:p w14:paraId="576CAF28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↓Variable</w:t>
            </w:r>
          </w:p>
        </w:tc>
        <w:tc>
          <w:tcPr>
            <w:tcW w:w="0" w:type="auto"/>
            <w:hideMark/>
          </w:tcPr>
          <w:p w14:paraId="7F886E1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↓15-40%</w:t>
            </w:r>
          </w:p>
        </w:tc>
      </w:tr>
      <w:tr w:rsidR="00C855E4" w:rsidRPr="009D46D5" w14:paraId="4FEA68D2" w14:textId="77777777" w:rsidTr="00F85991">
        <w:trPr>
          <w:trHeight w:val="504"/>
        </w:trPr>
        <w:tc>
          <w:tcPr>
            <w:tcW w:w="0" w:type="auto"/>
            <w:hideMark/>
          </w:tcPr>
          <w:p w14:paraId="27FDE1AE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Moduladores selectivos de receptores estrogénicos</w:t>
            </w:r>
          </w:p>
        </w:tc>
        <w:tc>
          <w:tcPr>
            <w:tcW w:w="0" w:type="auto"/>
            <w:hideMark/>
          </w:tcPr>
          <w:p w14:paraId="51C7937F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↓10-20%</w:t>
            </w:r>
          </w:p>
        </w:tc>
        <w:tc>
          <w:tcPr>
            <w:tcW w:w="0" w:type="auto"/>
            <w:hideMark/>
          </w:tcPr>
          <w:p w14:paraId="70724D52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↑0-30*</w:t>
            </w:r>
          </w:p>
        </w:tc>
        <w:tc>
          <w:tcPr>
            <w:tcW w:w="0" w:type="auto"/>
            <w:hideMark/>
          </w:tcPr>
          <w:p w14:paraId="6C0D28FD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4393087A" w14:textId="77777777" w:rsidTr="00F85991">
        <w:trPr>
          <w:trHeight w:val="315"/>
        </w:trPr>
        <w:tc>
          <w:tcPr>
            <w:tcW w:w="0" w:type="auto"/>
            <w:hideMark/>
          </w:tcPr>
          <w:p w14:paraId="6EC42451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Danazol</w:t>
            </w:r>
          </w:p>
        </w:tc>
        <w:tc>
          <w:tcPr>
            <w:tcW w:w="0" w:type="auto"/>
            <w:hideMark/>
          </w:tcPr>
          <w:p w14:paraId="75B22412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↑10-40%</w:t>
            </w:r>
          </w:p>
        </w:tc>
        <w:tc>
          <w:tcPr>
            <w:tcW w:w="0" w:type="auto"/>
            <w:hideMark/>
          </w:tcPr>
          <w:p w14:paraId="4E1EAF1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0A2EE1A4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↓50%</w:t>
            </w:r>
          </w:p>
        </w:tc>
      </w:tr>
      <w:tr w:rsidR="00C855E4" w:rsidRPr="009D46D5" w14:paraId="62866972" w14:textId="77777777" w:rsidTr="00F85991">
        <w:trPr>
          <w:trHeight w:val="218"/>
        </w:trPr>
        <w:tc>
          <w:tcPr>
            <w:tcW w:w="0" w:type="auto"/>
            <w:hideMark/>
          </w:tcPr>
          <w:p w14:paraId="7AB8F72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Esteroides anabolizantes </w:t>
            </w:r>
          </w:p>
        </w:tc>
        <w:tc>
          <w:tcPr>
            <w:tcW w:w="0" w:type="auto"/>
            <w:hideMark/>
          </w:tcPr>
          <w:p w14:paraId="24ED796B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↑20%</w:t>
            </w:r>
          </w:p>
        </w:tc>
        <w:tc>
          <w:tcPr>
            <w:tcW w:w="0" w:type="auto"/>
            <w:hideMark/>
          </w:tcPr>
          <w:p w14:paraId="4557BBD6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51CDE2E6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↓20-70%</w:t>
            </w:r>
          </w:p>
        </w:tc>
      </w:tr>
      <w:tr w:rsidR="00C855E4" w:rsidRPr="009D46D5" w14:paraId="13EEC1F2" w14:textId="77777777" w:rsidTr="00F85991">
        <w:trPr>
          <w:trHeight w:val="520"/>
        </w:trPr>
        <w:tc>
          <w:tcPr>
            <w:tcW w:w="0" w:type="auto"/>
            <w:hideMark/>
          </w:tcPr>
          <w:p w14:paraId="598816B9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Corticosteroides</w:t>
            </w:r>
          </w:p>
        </w:tc>
        <w:tc>
          <w:tcPr>
            <w:tcW w:w="0" w:type="auto"/>
            <w:hideMark/>
          </w:tcPr>
          <w:p w14:paraId="54DCAF04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  <w:tc>
          <w:tcPr>
            <w:tcW w:w="0" w:type="auto"/>
            <w:hideMark/>
          </w:tcPr>
          <w:p w14:paraId="3133174D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  <w:tc>
          <w:tcPr>
            <w:tcW w:w="0" w:type="auto"/>
            <w:hideMark/>
          </w:tcPr>
          <w:p w14:paraId="1011BF9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2A0397B1" w14:textId="77777777" w:rsidTr="00C855E4">
        <w:trPr>
          <w:trHeight w:val="315"/>
        </w:trPr>
        <w:tc>
          <w:tcPr>
            <w:tcW w:w="0" w:type="auto"/>
            <w:gridSpan w:val="4"/>
            <w:shd w:val="clear" w:color="auto" w:fill="E7E6E6" w:themeFill="background2"/>
            <w:hideMark/>
          </w:tcPr>
          <w:p w14:paraId="49931118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Antivirales</w:t>
            </w:r>
          </w:p>
        </w:tc>
      </w:tr>
      <w:tr w:rsidR="00C855E4" w:rsidRPr="009D46D5" w14:paraId="7C243F36" w14:textId="77777777" w:rsidTr="00F85991">
        <w:trPr>
          <w:trHeight w:val="348"/>
        </w:trPr>
        <w:tc>
          <w:tcPr>
            <w:tcW w:w="0" w:type="auto"/>
            <w:hideMark/>
          </w:tcPr>
          <w:p w14:paraId="66DF3033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Inhibidores de la proteasa</w:t>
            </w:r>
          </w:p>
        </w:tc>
        <w:tc>
          <w:tcPr>
            <w:tcW w:w="0" w:type="auto"/>
            <w:hideMark/>
          </w:tcPr>
          <w:p w14:paraId="1B48F8A2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↑15-30%</w:t>
            </w:r>
          </w:p>
        </w:tc>
        <w:tc>
          <w:tcPr>
            <w:tcW w:w="0" w:type="auto"/>
            <w:hideMark/>
          </w:tcPr>
          <w:p w14:paraId="59772C1A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↑15-200%</w:t>
            </w:r>
          </w:p>
        </w:tc>
        <w:tc>
          <w:tcPr>
            <w:tcW w:w="0" w:type="auto"/>
            <w:hideMark/>
          </w:tcPr>
          <w:p w14:paraId="4BE3C5B3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6A6CF7D7" w14:textId="77777777" w:rsidTr="00F85991">
        <w:trPr>
          <w:trHeight w:val="410"/>
        </w:trPr>
        <w:tc>
          <w:tcPr>
            <w:tcW w:w="0" w:type="auto"/>
            <w:hideMark/>
          </w:tcPr>
          <w:p w14:paraId="1599FCFF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Antivirales directos </w:t>
            </w:r>
          </w:p>
        </w:tc>
        <w:tc>
          <w:tcPr>
            <w:tcW w:w="0" w:type="auto"/>
            <w:hideMark/>
          </w:tcPr>
          <w:p w14:paraId="4F8B7836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↑12-27%</w:t>
            </w:r>
          </w:p>
        </w:tc>
        <w:tc>
          <w:tcPr>
            <w:tcW w:w="0" w:type="auto"/>
            <w:hideMark/>
          </w:tcPr>
          <w:p w14:paraId="348F8496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00DE4796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↑14-20%</w:t>
            </w:r>
          </w:p>
        </w:tc>
      </w:tr>
      <w:tr w:rsidR="00C855E4" w:rsidRPr="009D46D5" w14:paraId="7C1AF6B1" w14:textId="77777777" w:rsidTr="00F85991">
        <w:trPr>
          <w:trHeight w:val="315"/>
        </w:trPr>
        <w:tc>
          <w:tcPr>
            <w:tcW w:w="0" w:type="auto"/>
            <w:gridSpan w:val="4"/>
            <w:hideMark/>
          </w:tcPr>
          <w:p w14:paraId="716CF5B4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n</w:t>
            </w:r>
            <w:r w:rsidRPr="009D46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munosup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resores</w:t>
            </w:r>
          </w:p>
        </w:tc>
      </w:tr>
      <w:tr w:rsidR="00C855E4" w:rsidRPr="009D46D5" w14:paraId="52D52429" w14:textId="77777777" w:rsidTr="00F85991">
        <w:trPr>
          <w:trHeight w:val="416"/>
        </w:trPr>
        <w:tc>
          <w:tcPr>
            <w:tcW w:w="0" w:type="auto"/>
            <w:hideMark/>
          </w:tcPr>
          <w:p w14:paraId="3176F1B1" w14:textId="521F7CCB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C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i</w:t>
            </w: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closporin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y </w:t>
            </w:r>
            <w:proofErr w:type="spellStart"/>
            <w:r w:rsidR="00F54A08">
              <w:rPr>
                <w:rFonts w:ascii="Arial" w:eastAsia="Times New Roman" w:hAnsi="Arial" w:cs="Arial"/>
                <w:color w:val="000000"/>
                <w:lang w:eastAsia="es-ES"/>
              </w:rPr>
              <w:t>tacró</w:t>
            </w: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limus</w:t>
            </w:r>
            <w:proofErr w:type="spellEnd"/>
          </w:p>
        </w:tc>
        <w:tc>
          <w:tcPr>
            <w:tcW w:w="0" w:type="auto"/>
            <w:hideMark/>
          </w:tcPr>
          <w:p w14:paraId="3B22E3D9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↑0-50%</w:t>
            </w:r>
          </w:p>
        </w:tc>
        <w:tc>
          <w:tcPr>
            <w:tcW w:w="0" w:type="auto"/>
            <w:hideMark/>
          </w:tcPr>
          <w:p w14:paraId="448BDFC9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↑0-70%</w:t>
            </w:r>
          </w:p>
        </w:tc>
        <w:tc>
          <w:tcPr>
            <w:tcW w:w="0" w:type="auto"/>
            <w:hideMark/>
          </w:tcPr>
          <w:p w14:paraId="451507B2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↑0-90%</w:t>
            </w:r>
          </w:p>
        </w:tc>
      </w:tr>
      <w:tr w:rsidR="00C855E4" w:rsidRPr="009D46D5" w14:paraId="179CF923" w14:textId="77777777" w:rsidTr="00F85991">
        <w:trPr>
          <w:trHeight w:val="408"/>
        </w:trPr>
        <w:tc>
          <w:tcPr>
            <w:tcW w:w="0" w:type="auto"/>
            <w:hideMark/>
          </w:tcPr>
          <w:p w14:paraId="55D91355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Corticosteroides</w:t>
            </w:r>
          </w:p>
        </w:tc>
        <w:tc>
          <w:tcPr>
            <w:tcW w:w="0" w:type="auto"/>
            <w:hideMark/>
          </w:tcPr>
          <w:p w14:paraId="03C786F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  <w:tc>
          <w:tcPr>
            <w:tcW w:w="0" w:type="auto"/>
            <w:hideMark/>
          </w:tcPr>
          <w:p w14:paraId="18905D9C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  <w:tc>
          <w:tcPr>
            <w:tcW w:w="0" w:type="auto"/>
            <w:hideMark/>
          </w:tcPr>
          <w:p w14:paraId="7563FAE4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51937DB6" w14:textId="77777777" w:rsidTr="00C855E4">
        <w:trPr>
          <w:trHeight w:val="315"/>
        </w:trPr>
        <w:tc>
          <w:tcPr>
            <w:tcW w:w="0" w:type="auto"/>
            <w:gridSpan w:val="4"/>
            <w:shd w:val="clear" w:color="auto" w:fill="E7E6E6" w:themeFill="background2"/>
            <w:hideMark/>
          </w:tcPr>
          <w:p w14:paraId="7C0E7460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Medicacion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 xml:space="preserve"> con acción Sistema Nervioso Central </w:t>
            </w:r>
          </w:p>
        </w:tc>
      </w:tr>
      <w:tr w:rsidR="00C855E4" w:rsidRPr="009D46D5" w14:paraId="510DB5F4" w14:textId="77777777" w:rsidTr="00F85991">
        <w:trPr>
          <w:trHeight w:val="428"/>
        </w:trPr>
        <w:tc>
          <w:tcPr>
            <w:tcW w:w="0" w:type="auto"/>
            <w:hideMark/>
          </w:tcPr>
          <w:p w14:paraId="224A8C41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Antipsicóticos de 1ª generación</w:t>
            </w:r>
          </w:p>
        </w:tc>
        <w:tc>
          <w:tcPr>
            <w:tcW w:w="0" w:type="auto"/>
            <w:hideMark/>
          </w:tcPr>
          <w:p w14:paraId="20F36AFD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355C296D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↑22%</w:t>
            </w:r>
          </w:p>
        </w:tc>
        <w:tc>
          <w:tcPr>
            <w:tcW w:w="0" w:type="auto"/>
            <w:hideMark/>
          </w:tcPr>
          <w:p w14:paraId="2BAE194F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↓20%</w:t>
            </w:r>
          </w:p>
        </w:tc>
      </w:tr>
      <w:tr w:rsidR="00C855E4" w:rsidRPr="009D46D5" w14:paraId="7EE2D138" w14:textId="77777777" w:rsidTr="00F85991">
        <w:trPr>
          <w:trHeight w:val="392"/>
        </w:trPr>
        <w:tc>
          <w:tcPr>
            <w:tcW w:w="0" w:type="auto"/>
            <w:hideMark/>
          </w:tcPr>
          <w:p w14:paraId="160A2BB5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Antipsicóticos de 2ª generación</w:t>
            </w:r>
          </w:p>
        </w:tc>
        <w:tc>
          <w:tcPr>
            <w:tcW w:w="0" w:type="auto"/>
            <w:hideMark/>
          </w:tcPr>
          <w:p w14:paraId="1F3B7EF8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4882BD1F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↑20-50%</w:t>
            </w:r>
          </w:p>
        </w:tc>
        <w:tc>
          <w:tcPr>
            <w:tcW w:w="0" w:type="auto"/>
            <w:hideMark/>
          </w:tcPr>
          <w:p w14:paraId="5A9E1D9C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</w:tr>
      <w:tr w:rsidR="00C855E4" w:rsidRPr="009D46D5" w14:paraId="474F4D5D" w14:textId="77777777" w:rsidTr="00F85991">
        <w:trPr>
          <w:trHeight w:val="270"/>
        </w:trPr>
        <w:tc>
          <w:tcPr>
            <w:tcW w:w="0" w:type="auto"/>
            <w:hideMark/>
          </w:tcPr>
          <w:p w14:paraId="5E815298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Anticomiciales </w:t>
            </w:r>
          </w:p>
        </w:tc>
        <w:tc>
          <w:tcPr>
            <w:tcW w:w="0" w:type="auto"/>
            <w:hideMark/>
          </w:tcPr>
          <w:p w14:paraId="224A77CC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  <w:tc>
          <w:tcPr>
            <w:tcW w:w="0" w:type="auto"/>
            <w:hideMark/>
          </w:tcPr>
          <w:p w14:paraId="1DE29A23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19400011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↑Variable</w:t>
            </w:r>
          </w:p>
        </w:tc>
      </w:tr>
      <w:tr w:rsidR="00C855E4" w:rsidRPr="009D46D5" w14:paraId="69FA83FC" w14:textId="77777777" w:rsidTr="00F85991">
        <w:trPr>
          <w:trHeight w:val="315"/>
        </w:trPr>
        <w:tc>
          <w:tcPr>
            <w:tcW w:w="0" w:type="auto"/>
            <w:gridSpan w:val="4"/>
            <w:hideMark/>
          </w:tcPr>
          <w:p w14:paraId="4857C3AC" w14:textId="77777777" w:rsidR="00C855E4" w:rsidRPr="009D46D5" w:rsidRDefault="00C855E4" w:rsidP="00F8599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Otros</w:t>
            </w:r>
          </w:p>
        </w:tc>
      </w:tr>
      <w:tr w:rsidR="00C855E4" w:rsidRPr="009D46D5" w14:paraId="62C98C08" w14:textId="77777777" w:rsidTr="00F85991">
        <w:trPr>
          <w:trHeight w:val="315"/>
        </w:trPr>
        <w:tc>
          <w:tcPr>
            <w:tcW w:w="0" w:type="auto"/>
            <w:hideMark/>
          </w:tcPr>
          <w:p w14:paraId="4AA646F8" w14:textId="575BD526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Retinoid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es</w:t>
            </w:r>
          </w:p>
        </w:tc>
        <w:tc>
          <w:tcPr>
            <w:tcW w:w="0" w:type="auto"/>
            <w:hideMark/>
          </w:tcPr>
          <w:p w14:paraId="67FD6B9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↑15%</w:t>
            </w:r>
          </w:p>
        </w:tc>
        <w:tc>
          <w:tcPr>
            <w:tcW w:w="0" w:type="auto"/>
            <w:hideMark/>
          </w:tcPr>
          <w:p w14:paraId="00145A7E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↑35-100%</w:t>
            </w:r>
          </w:p>
        </w:tc>
        <w:tc>
          <w:tcPr>
            <w:tcW w:w="0" w:type="auto"/>
            <w:hideMark/>
          </w:tcPr>
          <w:p w14:paraId="27E04BD2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↔**</w:t>
            </w:r>
          </w:p>
        </w:tc>
      </w:tr>
      <w:tr w:rsidR="00C855E4" w:rsidRPr="009D46D5" w14:paraId="5928E426" w14:textId="77777777" w:rsidTr="00F85991">
        <w:trPr>
          <w:trHeight w:val="615"/>
        </w:trPr>
        <w:tc>
          <w:tcPr>
            <w:tcW w:w="0" w:type="auto"/>
            <w:hideMark/>
          </w:tcPr>
          <w:p w14:paraId="690E0717" w14:textId="24A28A8D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Hormona del </w:t>
            </w:r>
            <w:r w:rsidR="00F54A08">
              <w:rPr>
                <w:rFonts w:ascii="Arial" w:eastAsia="Times New Roman" w:hAnsi="Arial" w:cs="Arial"/>
                <w:color w:val="000000"/>
                <w:lang w:eastAsia="es-ES"/>
              </w:rPr>
              <w:t>crecimiento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hideMark/>
          </w:tcPr>
          <w:p w14:paraId="5A32E4AE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↑10-25%</w:t>
            </w:r>
          </w:p>
        </w:tc>
        <w:tc>
          <w:tcPr>
            <w:tcW w:w="0" w:type="auto"/>
            <w:hideMark/>
          </w:tcPr>
          <w:p w14:paraId="6D7BD38E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</w:t>
            </w:r>
          </w:p>
        </w:tc>
        <w:tc>
          <w:tcPr>
            <w:tcW w:w="0" w:type="auto"/>
            <w:hideMark/>
          </w:tcPr>
          <w:p w14:paraId="426FE174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>↔↑7%</w:t>
            </w:r>
          </w:p>
        </w:tc>
      </w:tr>
      <w:tr w:rsidR="00C855E4" w:rsidRPr="009D46D5" w14:paraId="62BB29C5" w14:textId="77777777" w:rsidTr="00F85991">
        <w:trPr>
          <w:trHeight w:val="1163"/>
        </w:trPr>
        <w:tc>
          <w:tcPr>
            <w:tcW w:w="0" w:type="auto"/>
            <w:gridSpan w:val="4"/>
            <w:hideMark/>
          </w:tcPr>
          <w:p w14:paraId="10C56AD0" w14:textId="77777777" w:rsidR="00C855E4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*Raloxifeno</w:t>
            </w: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 no se asocia con aumento de triglicéridos, pero éstos pueden aumentar hasta un 30% con tamoxifeno </w:t>
            </w:r>
          </w:p>
          <w:p w14:paraId="009F5B59" w14:textId="77777777" w:rsidR="00C855E4" w:rsidRPr="00C855E4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855E4">
              <w:rPr>
                <w:rFonts w:ascii="Arial" w:eastAsia="Times New Roman" w:hAnsi="Arial" w:cs="Arial"/>
                <w:color w:val="000000"/>
                <w:lang w:eastAsia="es-ES"/>
              </w:rPr>
              <w:t xml:space="preserve">**Datos controvertidos </w:t>
            </w:r>
          </w:p>
          <w:p w14:paraId="7C801821" w14:textId="77777777" w:rsidR="00C855E4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D46D5">
              <w:rPr>
                <w:rFonts w:ascii="Arial" w:eastAsia="Times New Roman" w:hAnsi="Arial" w:cs="Arial"/>
                <w:color w:val="000000"/>
                <w:lang w:eastAsia="es-ES"/>
              </w:rPr>
              <w:t xml:space="preserve">***Varía con los fármacos individuales. </w:t>
            </w:r>
          </w:p>
          <w:p w14:paraId="592AB009" w14:textId="77777777" w:rsidR="00C855E4" w:rsidRPr="00C855E4" w:rsidRDefault="00C855E4" w:rsidP="00F85991">
            <w:pPr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C855E4">
              <w:rPr>
                <w:rFonts w:ascii="Arial" w:eastAsia="Times New Roman" w:hAnsi="Arial" w:cs="Arial"/>
                <w:color w:val="000000"/>
                <w:lang w:val="en-US" w:eastAsia="es-ES"/>
              </w:rPr>
              <w:t>Referencia</w:t>
            </w:r>
            <w:proofErr w:type="spellEnd"/>
            <w:r w:rsidRPr="00C855E4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</w:t>
            </w:r>
          </w:p>
          <w:p w14:paraId="55B02D00" w14:textId="77777777" w:rsidR="00C855E4" w:rsidRPr="009D46D5" w:rsidRDefault="00C855E4" w:rsidP="00F85991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D46D5">
              <w:rPr>
                <w:rFonts w:ascii="Segoe UI" w:hAnsi="Segoe UI" w:cs="Segoe UI"/>
                <w:color w:val="212121"/>
                <w:shd w:val="clear" w:color="auto" w:fill="FFFFFF"/>
                <w:lang w:val="en-US"/>
              </w:rPr>
              <w:t>Herink</w:t>
            </w:r>
            <w:proofErr w:type="spellEnd"/>
            <w:r w:rsidRPr="009D46D5">
              <w:rPr>
                <w:rFonts w:ascii="Segoe UI" w:hAnsi="Segoe UI" w:cs="Segoe UI"/>
                <w:color w:val="212121"/>
                <w:shd w:val="clear" w:color="auto" w:fill="FFFFFF"/>
                <w:lang w:val="en-US"/>
              </w:rPr>
              <w:t xml:space="preserve"> M, Ito MK. Medication Induced Changes in Lipid and Lipoproteins. In: Feingold KR, </w:t>
            </w:r>
            <w:proofErr w:type="spellStart"/>
            <w:r w:rsidRPr="009D46D5">
              <w:rPr>
                <w:rFonts w:ascii="Segoe UI" w:hAnsi="Segoe UI" w:cs="Segoe UI"/>
                <w:color w:val="212121"/>
                <w:shd w:val="clear" w:color="auto" w:fill="FFFFFF"/>
                <w:lang w:val="en-US"/>
              </w:rPr>
              <w:t>Anawalt</w:t>
            </w:r>
            <w:proofErr w:type="spellEnd"/>
            <w:r w:rsidRPr="009D46D5">
              <w:rPr>
                <w:rFonts w:ascii="Segoe UI" w:hAnsi="Segoe UI" w:cs="Segoe UI"/>
                <w:color w:val="212121"/>
                <w:shd w:val="clear" w:color="auto" w:fill="FFFFFF"/>
                <w:lang w:val="en-US"/>
              </w:rPr>
              <w:t xml:space="preserve"> B, Boyce A, et al., eds. </w:t>
            </w:r>
            <w:proofErr w:type="spellStart"/>
            <w:r>
              <w:rPr>
                <w:rFonts w:ascii="Segoe UI" w:hAnsi="Segoe UI" w:cs="Segoe UI"/>
                <w:i/>
                <w:iCs/>
                <w:color w:val="212121"/>
                <w:shd w:val="clear" w:color="auto" w:fill="FFFFFF"/>
              </w:rPr>
              <w:t>Endotext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. South Dartmouth (MA): MDText.com, Inc.; May 10, 2018.</w:t>
            </w:r>
          </w:p>
        </w:tc>
      </w:tr>
    </w:tbl>
    <w:p w14:paraId="4DA4FD19" w14:textId="6FB04943" w:rsidR="00C855E4" w:rsidRDefault="00C855E4">
      <w:pPr>
        <w:rPr>
          <w:b/>
        </w:rPr>
      </w:pPr>
    </w:p>
    <w:p w14:paraId="58F78593" w14:textId="77777777" w:rsidR="00C855E4" w:rsidRDefault="00C855E4">
      <w:pPr>
        <w:rPr>
          <w:b/>
        </w:rPr>
      </w:pPr>
      <w:r>
        <w:rPr>
          <w:b/>
        </w:rPr>
        <w:br w:type="page"/>
      </w:r>
    </w:p>
    <w:p w14:paraId="33DCA7F6" w14:textId="220179F1" w:rsidR="00C855E4" w:rsidRDefault="00C855E4" w:rsidP="00C855E4">
      <w:pPr>
        <w:spacing w:line="360" w:lineRule="auto"/>
        <w:rPr>
          <w:b/>
        </w:rPr>
      </w:pPr>
      <w:r>
        <w:rPr>
          <w:b/>
        </w:rPr>
        <w:lastRenderedPageBreak/>
        <w:t xml:space="preserve">Anexo 2 </w:t>
      </w:r>
    </w:p>
    <w:p w14:paraId="2DAFD65D" w14:textId="17F3F403" w:rsidR="00C855E4" w:rsidRDefault="00C855E4" w:rsidP="00C855E4">
      <w:pPr>
        <w:spacing w:line="360" w:lineRule="auto"/>
        <w:rPr>
          <w:b/>
        </w:rPr>
      </w:pPr>
      <w:r>
        <w:rPr>
          <w:b/>
        </w:rPr>
        <w:t>Variabilidad analítica</w:t>
      </w:r>
    </w:p>
    <w:bookmarkStart w:id="0" w:name="_MON_1717748433"/>
    <w:bookmarkEnd w:id="0"/>
    <w:p w14:paraId="46ECFACC" w14:textId="32BC16EC" w:rsidR="00C855E4" w:rsidRDefault="0003285F">
      <w:pPr>
        <w:rPr>
          <w:b/>
        </w:rPr>
      </w:pPr>
      <w:r>
        <w:rPr>
          <w:b/>
        </w:rPr>
        <w:object w:dxaOrig="10466" w:dyaOrig="10989" w14:anchorId="4A2D5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552pt" o:ole="">
            <v:imagedata r:id="rId6" o:title=""/>
          </v:shape>
          <o:OLEObject Type="Embed" ProgID="Word.Document.12" ShapeID="_x0000_i1025" DrawAspect="Content" ObjectID="_1738390821" r:id="rId7">
            <o:FieldCodes>\s</o:FieldCodes>
          </o:OLEObject>
        </w:object>
      </w:r>
      <w:r w:rsidR="00C855E4">
        <w:rPr>
          <w:b/>
        </w:rPr>
        <w:br w:type="page"/>
      </w:r>
    </w:p>
    <w:p w14:paraId="57118EA3" w14:textId="55D7607B" w:rsidR="00C855E4" w:rsidRDefault="00C855E4" w:rsidP="00C855E4">
      <w:pPr>
        <w:spacing w:line="360" w:lineRule="auto"/>
        <w:rPr>
          <w:b/>
        </w:rPr>
      </w:pPr>
      <w:r>
        <w:rPr>
          <w:b/>
        </w:rPr>
        <w:lastRenderedPageBreak/>
        <w:t>Anexo 3</w:t>
      </w:r>
      <w:r w:rsidR="0003285F">
        <w:rPr>
          <w:b/>
        </w:rPr>
        <w:t xml:space="preserve">. </w:t>
      </w:r>
      <w:r w:rsidR="0003285F" w:rsidRPr="00094D03">
        <w:rPr>
          <w:rFonts w:ascii="Arial" w:hAnsi="Arial" w:cs="Arial"/>
          <w:szCs w:val="20"/>
        </w:rPr>
        <w:t>Cocientes TG/ VLDL colesterol basada en niveles de TG y colesterol no HDL (modificación de la ecuación de Friedewald por Martin Hopkins). Adaptado de referencia</w:t>
      </w:r>
      <w:r>
        <w:rPr>
          <w:b/>
        </w:rPr>
        <w:t xml:space="preserve"> </w:t>
      </w:r>
    </w:p>
    <w:tbl>
      <w:tblPr>
        <w:tblW w:w="8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33"/>
        <w:gridCol w:w="171"/>
        <w:gridCol w:w="862"/>
        <w:gridCol w:w="1032"/>
        <w:gridCol w:w="1033"/>
        <w:gridCol w:w="688"/>
        <w:gridCol w:w="345"/>
        <w:gridCol w:w="1033"/>
      </w:tblGrid>
      <w:tr w:rsidR="0003285F" w:rsidRPr="00603121" w14:paraId="3BB94EFC" w14:textId="77777777" w:rsidTr="00F85991">
        <w:trPr>
          <w:gridAfter w:val="2"/>
          <w:wAfter w:w="1378" w:type="dxa"/>
          <w:trHeight w:val="303"/>
        </w:trPr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0F02" w14:textId="77777777" w:rsidR="0003285F" w:rsidRPr="00603121" w:rsidRDefault="0003285F" w:rsidP="00F8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5A43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03121">
              <w:rPr>
                <w:rFonts w:ascii="Calibri" w:eastAsia="Times New Roman" w:hAnsi="Calibri" w:cs="Calibri"/>
                <w:color w:val="000000"/>
                <w:lang w:eastAsia="es-ES"/>
              </w:rPr>
              <w:t>Colesterol no HDL, mg/</w:t>
            </w:r>
            <w:proofErr w:type="spellStart"/>
            <w:r w:rsidRPr="00603121">
              <w:rPr>
                <w:rFonts w:ascii="Calibri" w:eastAsia="Times New Roman" w:hAnsi="Calibri" w:cs="Calibri"/>
                <w:color w:val="000000"/>
                <w:lang w:eastAsia="es-ES"/>
              </w:rPr>
              <w:t>dL</w:t>
            </w:r>
            <w:proofErr w:type="spellEnd"/>
          </w:p>
        </w:tc>
      </w:tr>
      <w:tr w:rsidR="0003285F" w:rsidRPr="00603121" w14:paraId="672ED3FC" w14:textId="77777777" w:rsidTr="00F85991">
        <w:trPr>
          <w:trHeight w:val="303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17E932" w14:textId="77777777" w:rsidR="0003285F" w:rsidRPr="00603121" w:rsidRDefault="0003285F" w:rsidP="00F85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Triglicéridos, mg/</w:t>
            </w:r>
            <w:proofErr w:type="spellStart"/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dL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5A003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&lt;100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C77B7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100-129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D8B8F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130-159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3C6D5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160-189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3B706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190-219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5327E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≥220</w:t>
            </w:r>
          </w:p>
        </w:tc>
      </w:tr>
      <w:tr w:rsidR="0003285F" w:rsidRPr="00603121" w14:paraId="3D5F100F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7492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7-49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0F535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DFDCE9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CEBF68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35CE73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E1F0AD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7EF961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3,1</w:t>
            </w:r>
          </w:p>
        </w:tc>
      </w:tr>
      <w:tr w:rsidR="0003285F" w:rsidRPr="00603121" w14:paraId="571142E8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DF6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50-56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421E9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9DC06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FEB564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59F5B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3,6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33C34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CD80A5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3,4</w:t>
            </w:r>
          </w:p>
        </w:tc>
      </w:tr>
      <w:tr w:rsidR="0003285F" w:rsidRPr="00603121" w14:paraId="290CC4A6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0AAE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57-61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EA2E7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E05B2C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BA80F1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5822A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35273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2E7A0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3,6</w:t>
            </w:r>
          </w:p>
        </w:tc>
      </w:tr>
      <w:tr w:rsidR="0003285F" w:rsidRPr="00603121" w14:paraId="4E357640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E72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62-66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411962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B9D96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D5A3F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006EB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A3FB21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8E6180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3,9</w:t>
            </w:r>
          </w:p>
        </w:tc>
      </w:tr>
      <w:tr w:rsidR="0003285F" w:rsidRPr="00603121" w14:paraId="2F19B56A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52A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67-71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19EF0D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9897BD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A60888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6256F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AF3D3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CC27A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3,9</w:t>
            </w:r>
          </w:p>
        </w:tc>
      </w:tr>
      <w:tr w:rsidR="0003285F" w:rsidRPr="00603121" w14:paraId="6C604B79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1807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72-75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9BB4B9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14F0C2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925ED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4DC8D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1F567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451C6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4,1</w:t>
            </w:r>
          </w:p>
        </w:tc>
      </w:tr>
      <w:tr w:rsidR="0003285F" w:rsidRPr="00603121" w14:paraId="7B366704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650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76-79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8FDACE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6DF7D3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6D4DDD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4F2FA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E3526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DD69F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4,2</w:t>
            </w:r>
          </w:p>
        </w:tc>
      </w:tr>
      <w:tr w:rsidR="0003285F" w:rsidRPr="00603121" w14:paraId="1C673151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AF93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80-83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2D6A6A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5,0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FC3B35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C3578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0106D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70668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B1A562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4,2</w:t>
            </w:r>
          </w:p>
        </w:tc>
      </w:tr>
      <w:tr w:rsidR="0003285F" w:rsidRPr="00603121" w14:paraId="675A4C19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B78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84-87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11CC4B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5,1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7B3279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F02FC3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09379F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BACF6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DB4422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4,3</w:t>
            </w:r>
          </w:p>
        </w:tc>
      </w:tr>
      <w:tr w:rsidR="0003285F" w:rsidRPr="00603121" w14:paraId="2967A477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63FF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88-92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C6FA06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169241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99AB20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EAC229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4,6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B8AEB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1449F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4,3</w:t>
            </w:r>
          </w:p>
        </w:tc>
      </w:tr>
      <w:tr w:rsidR="0003285F" w:rsidRPr="00603121" w14:paraId="244C3DB8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D2121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93-96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08CB5C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1271F8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4F1AF1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6D7343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8FBE00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CF2F0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4,4</w:t>
            </w:r>
          </w:p>
        </w:tc>
      </w:tr>
      <w:tr w:rsidR="0003285F" w:rsidRPr="00603121" w14:paraId="14CEC676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8805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97-100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8FF11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A21637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DF0963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1C0276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3B48FD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FEAA0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4,3</w:t>
            </w:r>
          </w:p>
        </w:tc>
      </w:tr>
      <w:tr w:rsidR="0003285F" w:rsidRPr="00603121" w14:paraId="4E4DE25F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05B8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101-105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1E35E5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AA83BA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3063B8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26A89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31EC76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ED4A1B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4,5</w:t>
            </w:r>
          </w:p>
        </w:tc>
      </w:tr>
      <w:tr w:rsidR="0003285F" w:rsidRPr="00603121" w14:paraId="60A00DDE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23A0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106-110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A88DB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5,6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450516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850E78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2CE84C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7C8874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F9B4F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4,5</w:t>
            </w:r>
          </w:p>
        </w:tc>
      </w:tr>
      <w:tr w:rsidR="0003285F" w:rsidRPr="00603121" w14:paraId="088A73E0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0E8F1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111-115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3569F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C2E679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B49F82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FC1F5C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EFE34D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93F32B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4,5</w:t>
            </w:r>
          </w:p>
        </w:tc>
      </w:tr>
      <w:tr w:rsidR="0003285F" w:rsidRPr="00603121" w14:paraId="201D227D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C0B8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116-120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A3FC6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B16257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BA8860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B2B543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849FA4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9132FC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4,6</w:t>
            </w:r>
          </w:p>
        </w:tc>
      </w:tr>
      <w:tr w:rsidR="0003285F" w:rsidRPr="00603121" w14:paraId="2363F0BB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E18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121-126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99339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5CF42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30E92B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206D6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4129F61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979093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4,6</w:t>
            </w:r>
          </w:p>
        </w:tc>
      </w:tr>
      <w:tr w:rsidR="0003285F" w:rsidRPr="00603121" w14:paraId="187B99B0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F6A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127-132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01FBE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2A8BF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E48468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5C704C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F10498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EE168B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4,7</w:t>
            </w:r>
          </w:p>
        </w:tc>
      </w:tr>
      <w:tr w:rsidR="0003285F" w:rsidRPr="00603121" w14:paraId="6F8B499B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C0E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133-138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8CCB1E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D14C5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B6AC7F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A868CE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6D82DB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E5DCCE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4,7</w:t>
            </w:r>
          </w:p>
        </w:tc>
      </w:tr>
      <w:tr w:rsidR="0003285F" w:rsidRPr="00603121" w14:paraId="673A12E9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3B16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139-146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60A6EA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43BE2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6E2D4E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70F847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95A2A3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31351E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4,8</w:t>
            </w:r>
          </w:p>
        </w:tc>
      </w:tr>
      <w:tr w:rsidR="0003285F" w:rsidRPr="00603121" w14:paraId="577245E5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4687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147-154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592FD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8D404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DE85A6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5E032F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5105E5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FFFE7F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4,8</w:t>
            </w:r>
          </w:p>
        </w:tc>
      </w:tr>
      <w:tr w:rsidR="0003285F" w:rsidRPr="00603121" w14:paraId="365A98D5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3C41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155-163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C44703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890D4D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41985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A7F0F5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77C312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275A57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4,9</w:t>
            </w:r>
          </w:p>
        </w:tc>
      </w:tr>
      <w:tr w:rsidR="0003285F" w:rsidRPr="00603121" w14:paraId="07CA20BF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5F6D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164-173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5FBCA03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818D2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104C7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C520F2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31B2AA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440DF7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5,0</w:t>
            </w:r>
          </w:p>
        </w:tc>
      </w:tr>
      <w:tr w:rsidR="0003285F" w:rsidRPr="00603121" w14:paraId="7491676F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6E63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174-185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0CA0FD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CD7DF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0658F8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3FBCA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F353C9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8634D1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5,1</w:t>
            </w:r>
          </w:p>
        </w:tc>
      </w:tr>
      <w:tr w:rsidR="0003285F" w:rsidRPr="00603121" w14:paraId="65195280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A05B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186-201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1FAD33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E86B21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6BCC0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7F7CB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FE1481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0973D5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5,2</w:t>
            </w:r>
          </w:p>
        </w:tc>
      </w:tr>
      <w:tr w:rsidR="0003285F" w:rsidRPr="00603121" w14:paraId="48D9EC75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EA2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202-220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AEA3C2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7,6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712776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A7BEFDA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FAD6FF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AC19B0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4624411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5,3</w:t>
            </w:r>
          </w:p>
        </w:tc>
      </w:tr>
      <w:tr w:rsidR="0003285F" w:rsidRPr="00603121" w14:paraId="3850FEC4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2BC1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221-247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408707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8,0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2D0627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F5E877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807D7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5AC4E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941B1D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5,4</w:t>
            </w:r>
          </w:p>
        </w:tc>
      </w:tr>
      <w:tr w:rsidR="0003285F" w:rsidRPr="00603121" w14:paraId="76DB5963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A87BD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248-292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4460BA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8,5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E3A66D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187A65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050A7B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6FF756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A70723C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5,6</w:t>
            </w:r>
          </w:p>
        </w:tc>
      </w:tr>
      <w:tr w:rsidR="0003285F" w:rsidRPr="00603121" w14:paraId="6218E200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112E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293-399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C3E8C4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9,5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6980BE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8,3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20E93A2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442967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92A97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A7D404E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5,9</w:t>
            </w:r>
          </w:p>
        </w:tc>
      </w:tr>
      <w:tr w:rsidR="0003285F" w:rsidRPr="00603121" w14:paraId="4787A3A3" w14:textId="77777777" w:rsidTr="00F85991"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308E4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03121">
              <w:rPr>
                <w:rFonts w:ascii="Arial" w:eastAsia="Times New Roman" w:hAnsi="Arial" w:cs="Arial"/>
                <w:color w:val="000000"/>
                <w:lang w:eastAsia="es-ES"/>
              </w:rPr>
              <w:t>≥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400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C990C6F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11,9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67EF708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FD7DFA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8,8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7ABB2F5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8,1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0FD17C7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7,5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885FEA9" w14:textId="77777777" w:rsidR="0003285F" w:rsidRPr="00603121" w:rsidRDefault="0003285F" w:rsidP="00F859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03121">
              <w:rPr>
                <w:rFonts w:ascii="Arial" w:eastAsia="Times New Roman" w:hAnsi="Arial" w:cs="Arial"/>
                <w:lang w:eastAsia="es-ES"/>
              </w:rPr>
              <w:t>6,7</w:t>
            </w:r>
          </w:p>
        </w:tc>
      </w:tr>
    </w:tbl>
    <w:p w14:paraId="131A0568" w14:textId="45ABBF4B" w:rsidR="0003285F" w:rsidRDefault="0003285F">
      <w:pPr>
        <w:rPr>
          <w:b/>
        </w:rPr>
      </w:pPr>
      <w:r>
        <w:rPr>
          <w:b/>
        </w:rPr>
        <w:br w:type="page"/>
      </w:r>
    </w:p>
    <w:p w14:paraId="68D67CC8" w14:textId="77777777" w:rsidR="00C855E4" w:rsidRDefault="00C855E4">
      <w:pPr>
        <w:rPr>
          <w:b/>
        </w:rPr>
      </w:pPr>
    </w:p>
    <w:p w14:paraId="3265359B" w14:textId="10901335" w:rsidR="0003285F" w:rsidRPr="000C3D18" w:rsidRDefault="0003285F" w:rsidP="00F15CDE">
      <w:pPr>
        <w:rPr>
          <w:bCs/>
        </w:rPr>
      </w:pPr>
      <w:r>
        <w:rPr>
          <w:b/>
        </w:rPr>
        <w:t>Anexo 4</w:t>
      </w:r>
      <w:r w:rsidR="000C3D18">
        <w:rPr>
          <w:b/>
        </w:rPr>
        <w:t>.</w:t>
      </w:r>
      <w:r>
        <w:rPr>
          <w:b/>
        </w:rPr>
        <w:t xml:space="preserve"> </w:t>
      </w:r>
      <w:r w:rsidRPr="000C3D18">
        <w:rPr>
          <w:bCs/>
        </w:rPr>
        <w:t xml:space="preserve">Criterios de la Red de </w:t>
      </w:r>
      <w:r w:rsidR="00F54A08" w:rsidRPr="000C3D18">
        <w:rPr>
          <w:bCs/>
        </w:rPr>
        <w:t>Clínicas</w:t>
      </w:r>
      <w:r w:rsidRPr="000C3D18">
        <w:rPr>
          <w:bCs/>
        </w:rPr>
        <w:t xml:space="preserve"> de </w:t>
      </w:r>
      <w:r w:rsidR="00F54A08" w:rsidRPr="000C3D18">
        <w:rPr>
          <w:bCs/>
        </w:rPr>
        <w:t>Lípidos</w:t>
      </w:r>
      <w:r w:rsidRPr="000C3D18">
        <w:rPr>
          <w:bCs/>
        </w:rPr>
        <w:t xml:space="preserve"> Holandesas para el Diagnóstico de Hipercolesterolemia familiar </w:t>
      </w:r>
    </w:p>
    <w:p w14:paraId="5B98DDBB" w14:textId="127F3E35" w:rsidR="0003285F" w:rsidRDefault="0003285F" w:rsidP="00F15CDE">
      <w:pPr>
        <w:rPr>
          <w:b/>
        </w:rPr>
      </w:pPr>
      <w:r w:rsidRPr="00B43927">
        <w:rPr>
          <w:rFonts w:ascii="Arial" w:hAnsi="Arial" w:cs="Arial"/>
          <w:noProof/>
          <w:lang w:eastAsia="es-ES"/>
        </w:rPr>
        <w:drawing>
          <wp:inline distT="0" distB="0" distL="0" distR="0" wp14:anchorId="3682209D" wp14:editId="00AB9630">
            <wp:extent cx="5936105" cy="3642610"/>
            <wp:effectExtent l="0" t="0" r="7620" b="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8"/>
                    <a:srcRect t="12951" r="5459" b="-378"/>
                    <a:stretch/>
                  </pic:blipFill>
                  <pic:spPr bwMode="auto">
                    <a:xfrm>
                      <a:off x="0" y="0"/>
                      <a:ext cx="5944224" cy="3647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66016" w14:textId="709BFB9E" w:rsidR="0003285F" w:rsidRDefault="0003285F">
      <w:pPr>
        <w:rPr>
          <w:b/>
        </w:rPr>
      </w:pPr>
      <w:r>
        <w:rPr>
          <w:b/>
        </w:rPr>
        <w:br w:type="page"/>
      </w:r>
    </w:p>
    <w:p w14:paraId="2B10CC31" w14:textId="77777777" w:rsidR="0003285F" w:rsidRDefault="0003285F">
      <w:pPr>
        <w:rPr>
          <w:b/>
        </w:rPr>
      </w:pPr>
    </w:p>
    <w:p w14:paraId="72703AFB" w14:textId="77777777" w:rsidR="00C855E4" w:rsidRPr="00C855E4" w:rsidRDefault="00C855E4" w:rsidP="00F15CDE">
      <w:pPr>
        <w:rPr>
          <w:b/>
        </w:rPr>
      </w:pPr>
    </w:p>
    <w:p w14:paraId="52DB06F2" w14:textId="77777777" w:rsidR="00C855E4" w:rsidRDefault="00C855E4" w:rsidP="00F15CDE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5652"/>
      </w:tblGrid>
      <w:tr w:rsidR="00BC79CB" w14:paraId="7E9D3A7E" w14:textId="77777777" w:rsidTr="009A6BCB">
        <w:tc>
          <w:tcPr>
            <w:tcW w:w="10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8896F" w14:textId="2F34DFA4" w:rsidR="00BC79CB" w:rsidRDefault="00BC79CB">
            <w:r w:rsidRPr="000C3D18">
              <w:rPr>
                <w:b/>
                <w:bCs/>
              </w:rPr>
              <w:t>Anexo 5</w:t>
            </w:r>
            <w:r>
              <w:t xml:space="preserve">. Puntuación de </w:t>
            </w:r>
            <w:proofErr w:type="spellStart"/>
            <w:r>
              <w:t>Moulin</w:t>
            </w:r>
            <w:proofErr w:type="spellEnd"/>
            <w:r>
              <w:t xml:space="preserve"> para el diagnóstico práctico de</w:t>
            </w:r>
            <w:r w:rsidR="00ED3096">
              <w:t xml:space="preserve">l Síndrome de </w:t>
            </w:r>
            <w:proofErr w:type="spellStart"/>
            <w:r w:rsidR="00ED3096">
              <w:t>Quil</w:t>
            </w:r>
            <w:r w:rsidR="009A6BCB">
              <w:t>omicronemia</w:t>
            </w:r>
            <w:proofErr w:type="spellEnd"/>
            <w:r w:rsidR="009A6BCB">
              <w:t xml:space="preserve"> F</w:t>
            </w:r>
            <w:r>
              <w:t>amiliar</w:t>
            </w:r>
          </w:p>
        </w:tc>
      </w:tr>
      <w:tr w:rsidR="00BC79CB" w:rsidRPr="009A6BCB" w14:paraId="492BBE98" w14:textId="77777777" w:rsidTr="009A6BCB">
        <w:tc>
          <w:tcPr>
            <w:tcW w:w="10042" w:type="dxa"/>
            <w:gridSpan w:val="2"/>
            <w:tcBorders>
              <w:top w:val="single" w:sz="4" w:space="0" w:color="auto"/>
            </w:tcBorders>
          </w:tcPr>
          <w:p w14:paraId="473FF40B" w14:textId="5E25E4A5" w:rsidR="00BC79CB" w:rsidRPr="009A6BCB" w:rsidRDefault="00BC79CB" w:rsidP="00BC79CB">
            <w:pPr>
              <w:rPr>
                <w:b/>
              </w:rPr>
            </w:pPr>
            <w:r w:rsidRPr="009A6BCB">
              <w:rPr>
                <w:b/>
              </w:rPr>
              <w:t xml:space="preserve">Fase de </w:t>
            </w:r>
            <w:r w:rsidR="009A6BCB" w:rsidRPr="009A6BCB">
              <w:rPr>
                <w:b/>
              </w:rPr>
              <w:t>reclutamiento</w:t>
            </w:r>
            <w:r w:rsidRPr="009A6BCB">
              <w:rPr>
                <w:b/>
              </w:rPr>
              <w:t xml:space="preserve"> </w:t>
            </w:r>
          </w:p>
          <w:p w14:paraId="23BDF34E" w14:textId="3CA4BEB4" w:rsidR="009A6BCB" w:rsidRPr="009A6BCB" w:rsidRDefault="009A6BCB" w:rsidP="009A6BCB">
            <w:pPr>
              <w:ind w:left="708"/>
            </w:pPr>
            <w:proofErr w:type="spellStart"/>
            <w:r w:rsidRPr="009A6BCB">
              <w:t>Hipertrigliceridemia</w:t>
            </w:r>
            <w:proofErr w:type="spellEnd"/>
            <w:r w:rsidRPr="009A6BCB">
              <w:t xml:space="preserve"> severa en ayunas (&gt;10 mmol/L </w:t>
            </w:r>
            <w:proofErr w:type="spellStart"/>
            <w:r w:rsidRPr="009A6BCB">
              <w:t>or</w:t>
            </w:r>
            <w:proofErr w:type="spellEnd"/>
            <w:r w:rsidRPr="009A6BCB">
              <w:t xml:space="preserve"> 885 mg/</w:t>
            </w:r>
            <w:proofErr w:type="spellStart"/>
            <w:r w:rsidRPr="009A6BCB">
              <w:t>dL</w:t>
            </w:r>
            <w:proofErr w:type="spellEnd"/>
            <w:r w:rsidRPr="009A6BCB">
              <w:t>)</w:t>
            </w:r>
          </w:p>
        </w:tc>
      </w:tr>
      <w:tr w:rsidR="009A6BCB" w:rsidRPr="009A6BCB" w14:paraId="3F0ED6DE" w14:textId="77777777" w:rsidTr="002D55BE">
        <w:tc>
          <w:tcPr>
            <w:tcW w:w="10042" w:type="dxa"/>
            <w:gridSpan w:val="2"/>
          </w:tcPr>
          <w:p w14:paraId="06928BEE" w14:textId="7B7BA958" w:rsidR="009A6BCB" w:rsidRPr="009A6BCB" w:rsidRDefault="009A6BCB" w:rsidP="009A6BCB">
            <w:r w:rsidRPr="009A6BCB">
              <w:rPr>
                <w:b/>
              </w:rPr>
              <w:t>Pre-selección de pacientes</w:t>
            </w:r>
            <w:r>
              <w:t xml:space="preserve"> (fuera de un episodio agudo) </w:t>
            </w:r>
          </w:p>
        </w:tc>
      </w:tr>
      <w:tr w:rsidR="00123670" w14:paraId="32414F52" w14:textId="77777777" w:rsidTr="009A6BCB">
        <w:tc>
          <w:tcPr>
            <w:tcW w:w="4390" w:type="dxa"/>
            <w:tcBorders>
              <w:bottom w:val="single" w:sz="4" w:space="0" w:color="auto"/>
            </w:tcBorders>
          </w:tcPr>
          <w:p w14:paraId="51CF0383" w14:textId="1034C4CB" w:rsidR="00123670" w:rsidRDefault="00123670" w:rsidP="00123670">
            <w:pPr>
              <w:pStyle w:val="Prrafodelista"/>
              <w:numPr>
                <w:ilvl w:val="0"/>
                <w:numId w:val="7"/>
              </w:numPr>
            </w:pPr>
            <w:r w:rsidRPr="00123670">
              <w:t xml:space="preserve">TG en ayunas &gt;10 mmol/L durante 3 </w:t>
            </w:r>
            <w:r w:rsidR="009A6BCB" w:rsidRPr="00123670">
              <w:t xml:space="preserve">análisis de sangre </w:t>
            </w:r>
            <w:r w:rsidRPr="00123670">
              <w:t>consecutivos (+</w:t>
            </w:r>
            <w:proofErr w:type="gramStart"/>
            <w:r w:rsidRPr="00123670">
              <w:t>5)</w:t>
            </w:r>
            <w:r w:rsidRPr="00BC79CB">
              <w:rPr>
                <w:vertAlign w:val="superscript"/>
              </w:rPr>
              <w:t>a</w:t>
            </w:r>
            <w:proofErr w:type="gramEnd"/>
          </w:p>
          <w:p w14:paraId="6017CC3C" w14:textId="188944B4" w:rsidR="00123670" w:rsidRPr="00123670" w:rsidRDefault="00123670" w:rsidP="00123670">
            <w:pPr>
              <w:pStyle w:val="Prrafodelista"/>
              <w:numPr>
                <w:ilvl w:val="1"/>
                <w:numId w:val="7"/>
              </w:numPr>
            </w:pPr>
            <w:r w:rsidRPr="00123670">
              <w:t>TG en ayunas &gt;20 mmol/L al menos una vez (+1)</w:t>
            </w:r>
          </w:p>
          <w:p w14:paraId="1AB29310" w14:textId="77777777" w:rsidR="00123670" w:rsidRDefault="00123670" w:rsidP="00303386">
            <w:pPr>
              <w:pStyle w:val="Prrafodelista"/>
              <w:numPr>
                <w:ilvl w:val="0"/>
                <w:numId w:val="7"/>
              </w:numPr>
            </w:pPr>
            <w:r w:rsidRPr="00123670">
              <w:t xml:space="preserve">TG &lt;2 mmol/L en determinaciones </w:t>
            </w:r>
            <w:proofErr w:type="gramStart"/>
            <w:r w:rsidRPr="00123670">
              <w:t>previas  (</w:t>
            </w:r>
            <w:proofErr w:type="gramEnd"/>
            <w:r w:rsidRPr="00123670">
              <w:t>-5)</w:t>
            </w:r>
          </w:p>
          <w:p w14:paraId="5D75CC0A" w14:textId="57CFA34F" w:rsidR="00123670" w:rsidRPr="00123670" w:rsidRDefault="00123670" w:rsidP="00667DC5">
            <w:pPr>
              <w:pStyle w:val="Prrafodelista"/>
              <w:numPr>
                <w:ilvl w:val="0"/>
                <w:numId w:val="7"/>
              </w:numPr>
            </w:pPr>
            <w:r w:rsidRPr="00123670">
              <w:t xml:space="preserve"> Ausencia de </w:t>
            </w:r>
            <w:r w:rsidR="00BC79CB">
              <w:t xml:space="preserve">causas </w:t>
            </w:r>
            <w:r w:rsidRPr="00123670">
              <w:t>de hiperlipemia secundaria</w:t>
            </w:r>
            <w:r w:rsidR="00BC79CB">
              <w:t xml:space="preserve"> </w:t>
            </w:r>
            <w:r w:rsidR="00BC79CB" w:rsidRPr="00BC79CB">
              <w:rPr>
                <w:vertAlign w:val="superscript"/>
              </w:rPr>
              <w:t>b</w:t>
            </w:r>
            <w:r w:rsidRPr="00123670">
              <w:t xml:space="preserve"> (except</w:t>
            </w:r>
            <w:r w:rsidR="00BC79CB">
              <w:t>o</w:t>
            </w:r>
            <w:r w:rsidRPr="00123670">
              <w:t xml:space="preserve"> </w:t>
            </w:r>
            <w:proofErr w:type="spellStart"/>
            <w:r w:rsidRPr="00123670">
              <w:t>embarazo</w:t>
            </w:r>
            <w:r w:rsidR="00BC79CB" w:rsidRPr="00BC79CB">
              <w:rPr>
                <w:vertAlign w:val="superscript"/>
              </w:rPr>
              <w:t>c</w:t>
            </w:r>
            <w:proofErr w:type="spellEnd"/>
            <w:r w:rsidRPr="00123670">
              <w:t xml:space="preserve"> y tr</w:t>
            </w:r>
            <w:r w:rsidR="001632E0">
              <w:t>a</w:t>
            </w:r>
            <w:r w:rsidRPr="00123670">
              <w:t xml:space="preserve">tamiento con </w:t>
            </w:r>
            <w:proofErr w:type="spellStart"/>
            <w:r w:rsidRPr="00123670">
              <w:t>etinil</w:t>
            </w:r>
            <w:proofErr w:type="spellEnd"/>
            <w:r w:rsidRPr="00123670">
              <w:t xml:space="preserve"> estradiol) (+2)</w:t>
            </w:r>
          </w:p>
          <w:p w14:paraId="7ECC686B" w14:textId="2EE40EF1" w:rsidR="00123670" w:rsidRPr="00556034" w:rsidRDefault="00123670" w:rsidP="00667DC5">
            <w:pPr>
              <w:pStyle w:val="Prrafodelista"/>
              <w:numPr>
                <w:ilvl w:val="0"/>
                <w:numId w:val="7"/>
              </w:numPr>
            </w:pPr>
            <w:r w:rsidRPr="00556034">
              <w:t>Historia de pancreatitis (+1)</w:t>
            </w:r>
          </w:p>
          <w:p w14:paraId="02CEBB93" w14:textId="58EBDC43" w:rsidR="00123670" w:rsidRPr="00556034" w:rsidRDefault="00123670" w:rsidP="00123670">
            <w:pPr>
              <w:pStyle w:val="Prrafodelista"/>
              <w:numPr>
                <w:ilvl w:val="0"/>
                <w:numId w:val="7"/>
              </w:numPr>
            </w:pPr>
            <w:r w:rsidRPr="00556034">
              <w:t>Dolor abdominal recurrente inexplicable (+1)</w:t>
            </w:r>
          </w:p>
          <w:p w14:paraId="7788B141" w14:textId="0D246973" w:rsidR="00123670" w:rsidRPr="00123670" w:rsidRDefault="00123670" w:rsidP="000538AB">
            <w:pPr>
              <w:pStyle w:val="Prrafodelista"/>
              <w:numPr>
                <w:ilvl w:val="0"/>
                <w:numId w:val="7"/>
              </w:numPr>
            </w:pPr>
            <w:r w:rsidRPr="00123670">
              <w:t>No historia de hiperlipemia familiar combinada (+1)</w:t>
            </w:r>
          </w:p>
          <w:p w14:paraId="02E44642" w14:textId="6B3B107E" w:rsidR="00123670" w:rsidRDefault="00123670" w:rsidP="00985944">
            <w:pPr>
              <w:pStyle w:val="Prrafodelista"/>
              <w:numPr>
                <w:ilvl w:val="0"/>
                <w:numId w:val="7"/>
              </w:numPr>
            </w:pPr>
            <w:r>
              <w:t xml:space="preserve">Pobre respuesta </w:t>
            </w:r>
            <w:r w:rsidRPr="00123670">
              <w:t xml:space="preserve">  a tratamiento hipolipemiante</w:t>
            </w:r>
            <w:r>
              <w:t xml:space="preserve"> </w:t>
            </w:r>
            <w:r w:rsidRPr="00123670">
              <w:t>(disminución de TG &lt;20%)</w:t>
            </w:r>
            <w:r>
              <w:t xml:space="preserve"> </w:t>
            </w:r>
          </w:p>
          <w:p w14:paraId="2E1AAEA5" w14:textId="77777777" w:rsidR="00123670" w:rsidRDefault="00123670" w:rsidP="00123670">
            <w:pPr>
              <w:pStyle w:val="Prrafodelista"/>
              <w:numPr>
                <w:ilvl w:val="0"/>
                <w:numId w:val="7"/>
              </w:numPr>
            </w:pPr>
            <w:r>
              <w:t>Edad de Inicio de los síntomas</w:t>
            </w:r>
            <w:r w:rsidRPr="00123670">
              <w:t>:</w:t>
            </w:r>
          </w:p>
          <w:p w14:paraId="590B7AAD" w14:textId="77777777" w:rsidR="00123670" w:rsidRDefault="00123670" w:rsidP="00123670">
            <w:pPr>
              <w:pStyle w:val="Prrafodelista"/>
              <w:numPr>
                <w:ilvl w:val="1"/>
                <w:numId w:val="7"/>
              </w:numPr>
            </w:pPr>
            <w:r w:rsidRPr="00123670">
              <w:t xml:space="preserve"> &lt;40 años (+1) </w:t>
            </w:r>
          </w:p>
          <w:p w14:paraId="3408B63F" w14:textId="77777777" w:rsidR="00123670" w:rsidRDefault="00123670" w:rsidP="00123670">
            <w:pPr>
              <w:pStyle w:val="Prrafodelista"/>
              <w:numPr>
                <w:ilvl w:val="1"/>
                <w:numId w:val="7"/>
              </w:numPr>
            </w:pPr>
            <w:r w:rsidRPr="00123670">
              <w:t xml:space="preserve"> &lt;20 años (+2) </w:t>
            </w:r>
          </w:p>
          <w:p w14:paraId="70D9E570" w14:textId="6A6FDE2A" w:rsidR="00123670" w:rsidRDefault="00123670" w:rsidP="00123670">
            <w:pPr>
              <w:pStyle w:val="Prrafodelista"/>
              <w:numPr>
                <w:ilvl w:val="1"/>
                <w:numId w:val="7"/>
              </w:numPr>
            </w:pPr>
            <w:r w:rsidRPr="00123670">
              <w:t xml:space="preserve"> &lt;10 años (+3)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vAlign w:val="center"/>
          </w:tcPr>
          <w:p w14:paraId="4446E755" w14:textId="398DCD7D" w:rsidR="00BC79CB" w:rsidRDefault="00BC79CB" w:rsidP="00BC79CB">
            <w:r>
              <w:t xml:space="preserve">Puntuación para Síndrome de </w:t>
            </w:r>
            <w:proofErr w:type="spellStart"/>
            <w:r>
              <w:t>quilomicronemia</w:t>
            </w:r>
            <w:proofErr w:type="spellEnd"/>
            <w:r>
              <w:t xml:space="preserve"> familiar:</w:t>
            </w:r>
          </w:p>
          <w:p w14:paraId="6F2580AB" w14:textId="652A1E25" w:rsidR="00BC79CB" w:rsidRDefault="00BC79CB" w:rsidP="00BC79CB">
            <w:pPr>
              <w:ind w:left="708"/>
            </w:pPr>
            <w:r>
              <w:t xml:space="preserve">≥10: Muy probable </w:t>
            </w:r>
          </w:p>
          <w:p w14:paraId="0CC60354" w14:textId="2EDCACEC" w:rsidR="00BC79CB" w:rsidRDefault="00BC79CB" w:rsidP="00BC79CB">
            <w:pPr>
              <w:ind w:left="708"/>
            </w:pPr>
            <w:r>
              <w:t xml:space="preserve">≤9: FCS Improbable </w:t>
            </w:r>
          </w:p>
          <w:p w14:paraId="7243E8A7" w14:textId="093ABA56" w:rsidR="00123670" w:rsidRDefault="00BC79CB" w:rsidP="00BC79CB">
            <w:pPr>
              <w:ind w:left="708"/>
            </w:pPr>
            <w:r>
              <w:t>≤8: FCS Muy improbable</w:t>
            </w:r>
          </w:p>
        </w:tc>
      </w:tr>
      <w:tr w:rsidR="00BC79CB" w14:paraId="4A2BC066" w14:textId="77777777" w:rsidTr="009A6BCB">
        <w:tc>
          <w:tcPr>
            <w:tcW w:w="10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6AC07" w14:textId="6C9C70B8" w:rsidR="00BC79CB" w:rsidRDefault="00BC79CB" w:rsidP="00BC79CB">
            <w:r w:rsidRPr="00BC79CB">
              <w:t xml:space="preserve">Los Números entre paréntesis </w:t>
            </w:r>
            <w:r>
              <w:t xml:space="preserve">indican la </w:t>
            </w:r>
            <w:r w:rsidRPr="00BC79CB">
              <w:t xml:space="preserve">ponderación otorgada a </w:t>
            </w:r>
            <w:r>
              <w:t xml:space="preserve">cada </w:t>
            </w:r>
            <w:proofErr w:type="spellStart"/>
            <w:r>
              <w:t>item</w:t>
            </w:r>
            <w:proofErr w:type="spellEnd"/>
            <w:r w:rsidRPr="00BC79CB">
              <w:t xml:space="preserve">. </w:t>
            </w:r>
          </w:p>
          <w:p w14:paraId="45AFBD2E" w14:textId="50873EB2" w:rsidR="00BC79CB" w:rsidRDefault="00BC79CB" w:rsidP="00BC79CB">
            <w:r>
              <w:t xml:space="preserve">La puntuación para el diagnóstico del síndrome de </w:t>
            </w:r>
            <w:proofErr w:type="spellStart"/>
            <w:r>
              <w:t>quilomicronemia</w:t>
            </w:r>
            <w:proofErr w:type="spellEnd"/>
            <w:r>
              <w:t xml:space="preserve"> familiar es </w:t>
            </w:r>
            <w:r w:rsidRPr="00BC79CB">
              <w:t xml:space="preserve">la suma de todos los elementos presentes. </w:t>
            </w:r>
          </w:p>
          <w:p w14:paraId="3E0B00F1" w14:textId="5C2F83CE" w:rsidR="00BC79CB" w:rsidRDefault="00BC79CB" w:rsidP="00BC79CB">
            <w:r w:rsidRPr="00BC79CB">
              <w:rPr>
                <w:vertAlign w:val="superscript"/>
              </w:rPr>
              <w:t>a</w:t>
            </w:r>
            <w:r w:rsidRPr="00BC79CB">
              <w:t xml:space="preserve"> medida</w:t>
            </w:r>
            <w:r w:rsidR="007E320C">
              <w:t>s</w:t>
            </w:r>
            <w:r w:rsidRPr="00BC79CB">
              <w:t xml:space="preserve"> al menos </w:t>
            </w:r>
            <w:r>
              <w:t xml:space="preserve">con </w:t>
            </w:r>
            <w:r w:rsidRPr="00BC79CB">
              <w:t xml:space="preserve">un mes de diferencia. </w:t>
            </w:r>
          </w:p>
          <w:p w14:paraId="197B961F" w14:textId="77777777" w:rsidR="00BC79CB" w:rsidRDefault="00BC79CB" w:rsidP="00BC79CB">
            <w:r w:rsidRPr="00BC79CB">
              <w:rPr>
                <w:vertAlign w:val="superscript"/>
              </w:rPr>
              <w:t>b</w:t>
            </w:r>
            <w:r w:rsidRPr="00BC79CB">
              <w:t xml:space="preserve"> </w:t>
            </w:r>
            <w:r>
              <w:t>Incluyendo a</w:t>
            </w:r>
            <w:r w:rsidRPr="00BC79CB">
              <w:t xml:space="preserve">lcohol, diabetes, síndrome metabólico, hipotiroidismo, corticoterapia y fármacos  </w:t>
            </w:r>
          </w:p>
          <w:p w14:paraId="2FB1919B" w14:textId="353AF037" w:rsidR="00BC79CB" w:rsidRDefault="00BC79CB" w:rsidP="00BC79CB">
            <w:r w:rsidRPr="00BC79CB">
              <w:rPr>
                <w:vertAlign w:val="superscript"/>
              </w:rPr>
              <w:t>c</w:t>
            </w:r>
            <w:r w:rsidRPr="00BC79CB">
              <w:t xml:space="preserve"> Si el diagnóstico se realiza durante el embarazo es necesaria una segunda evaluación para confirmar el diagnóstico posparto.</w:t>
            </w:r>
          </w:p>
        </w:tc>
      </w:tr>
    </w:tbl>
    <w:p w14:paraId="7CEF6C39" w14:textId="6B115B55" w:rsidR="00C855E4" w:rsidRDefault="00C855E4"/>
    <w:p w14:paraId="13E9BD67" w14:textId="77777777" w:rsidR="00C855E4" w:rsidRDefault="00C855E4">
      <w:r>
        <w:br w:type="page"/>
      </w:r>
    </w:p>
    <w:p w14:paraId="4E805C5D" w14:textId="77777777" w:rsidR="00C855E4" w:rsidRDefault="00C855E4" w:rsidP="00C855E4">
      <w:r w:rsidRPr="000C3D18">
        <w:rPr>
          <w:b/>
          <w:bCs/>
        </w:rPr>
        <w:lastRenderedPageBreak/>
        <w:t>Anexo 6</w:t>
      </w:r>
      <w:r>
        <w:t xml:space="preserve">. Algoritmo simplificado para el diagnóstico de </w:t>
      </w:r>
      <w:proofErr w:type="spellStart"/>
      <w:r>
        <w:t>disbetalipoproteinemia</w:t>
      </w:r>
      <w:proofErr w:type="spellEnd"/>
      <w:r>
        <w:t xml:space="preserve"> </w:t>
      </w:r>
      <w:r w:rsidRPr="001361C7">
        <w:rPr>
          <w:rFonts w:ascii="Arial" w:hAnsi="Arial" w:cs="Arial"/>
        </w:rPr>
        <w:fldChar w:fldCharType="begin"/>
      </w:r>
      <w:r w:rsidRPr="001361C7">
        <w:rPr>
          <w:rFonts w:ascii="Arial" w:hAnsi="Arial" w:cs="Arial"/>
        </w:rPr>
        <w:instrText xml:space="preserve"> ADDIN ZOTERO_ITEM CSL_CITATION {"citationID":"2NUOkjNp","properties":{"formattedCitation":"\\super 45\\nosupersub{}","plainCitation":"45","noteIndex":0},"citationItems":[{"id":15227,"uris":["http://zotero.org/users/19060/items/JIPF5R5D"],"itemData":{"id":15227,"type":"article-journal","abstract":"Background\nDysbetalipoproteinemia (DBL) is a disease of remnant lipoprotein accumulation caused by a defective apolipoprotein (apo) E and is associated with a considerable atherogenic burden. However, there exists confusion concerning the diagnosis of this disorder, and as a consequence, misdiagnosis is frequent.\nObjective\nThe objective of the present study is to propose an algorithm for the diagnosis of DBL using simple clinical variables.\nMethods\nIn a large cohort of 12,434 dyslipidemic patients, 4891 patients presented with mixed dyslipidemia (total cholesterol ≥ 5.2 mmol/L [200 mg/dL] and triglycerides ≥ 2.0 mmol/L [175 mg/dL]), and 188 DBL patients were identified based on the presence of an elevated very-low-density lipoprotein cholesterol/triglyceride ratio and were carriers of apoE2/E2. The APOE genotype or phenotype as well as the lipoprotein ultracentrifugation results were available for all patients.\nResults\nAmong the laboratory variables associated with the lipid profile, the non-high-density lipoprotein cholesterol (HDL-C)/apoB ratio was the best predictor of DBL diagnosis based on the C-statistic. Previous proposed criteria had either low sensitivity or low specificity for the diagnosis of DBL. Using a non-HDL-C/apoB cut point of 3.69 mmol/g (1.43 in conventional units) followed by the presence of apoE2/E2 resulted in a good sensitivity (94.8%), negative predictive value (99.8%), specificity (99.6%), positive predictive value (88.5%), accuracy (99.4%), and area under the curve (0.97 [0.95–0.99]) for the prediction of DBL.\nConclusion\nWe therefore propose a 3-step algorithm for the diagnosis of DBL using total cholesterol and triglycerides as a first step, the non-HDL-C/apoB ratio as a second screening criterion and finally the APOE genotype, lipoprotein ultracentrifugation, or electrophoresis as a confirmatory test.","container-title":"Journal of Clinical Lipidology","DOI":"10.1016/j.jacl.2020.06.004","ISSN":"1933-2874","issue":"4","journalAbbreviation":"Journal of Clinical Lipidology","language":"en","page":"431-437","source":"ScienceDirect","title":"A simplified diagnosis algorithm for dysbetalipoproteinemia","URL":"https://www.sciencedirect.com/science/article/pii/S193328742030204X","volume":"14","author":[{"family":"Paquette","given":"Martine"},{"family":"Bernard","given":"Sophie"},{"family":"Blank","given":"David"},{"family":"Paré","given":"Guillaume"},{"family":"Baass","given":"Alexis"}],"accessed":{"date-parts":[["2022",4,30]]},"issued":{"date-parts":[["2020",7,1]]}}}],"schema":"https://github.com/citation-style-language/schema/raw/master/csl-citation.json"} </w:instrText>
      </w:r>
      <w:r w:rsidRPr="001361C7">
        <w:rPr>
          <w:rFonts w:ascii="Arial" w:hAnsi="Arial" w:cs="Arial"/>
        </w:rPr>
        <w:fldChar w:fldCharType="separate"/>
      </w:r>
      <w:r w:rsidRPr="001361C7">
        <w:rPr>
          <w:rFonts w:ascii="Arial" w:hAnsi="Arial" w:cs="Arial"/>
          <w:vertAlign w:val="superscript"/>
        </w:rPr>
        <w:t>45</w:t>
      </w:r>
      <w:r w:rsidRPr="001361C7">
        <w:rPr>
          <w:rFonts w:ascii="Arial" w:hAnsi="Arial" w:cs="Arial"/>
        </w:rPr>
        <w:fldChar w:fldCharType="end"/>
      </w:r>
    </w:p>
    <w:p w14:paraId="0278B055" w14:textId="4DD5C906" w:rsidR="004434F2" w:rsidRDefault="00C855E4">
      <w:r w:rsidRPr="00556034">
        <w:rPr>
          <w:noProof/>
          <w:lang w:eastAsia="es-ES"/>
        </w:rPr>
        <w:drawing>
          <wp:inline distT="0" distB="0" distL="0" distR="0" wp14:anchorId="59CFA8C4" wp14:editId="0E8A5D12">
            <wp:extent cx="4500881" cy="4252164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8553" r="28648" b="9419"/>
                    <a:stretch/>
                  </pic:blipFill>
                  <pic:spPr>
                    <a:xfrm>
                      <a:off x="0" y="0"/>
                      <a:ext cx="4500881" cy="425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DCD9" w14:textId="665E395C" w:rsidR="00D25F88" w:rsidRDefault="00D25F88"/>
    <w:p w14:paraId="47CB7808" w14:textId="63C89D2D" w:rsidR="00D25F88" w:rsidRDefault="00D25F88"/>
    <w:p w14:paraId="2242B21F" w14:textId="73B822E1" w:rsidR="00D25F88" w:rsidRDefault="00D25F88"/>
    <w:p w14:paraId="7A1F06D9" w14:textId="012533C0" w:rsidR="00D25F88" w:rsidRPr="00D25F88" w:rsidRDefault="00E555C7">
      <w:pPr>
        <w:rPr>
          <w:rFonts w:ascii="Arial" w:hAnsi="Arial" w:cs="Arial"/>
        </w:rPr>
      </w:pPr>
      <w:r w:rsidRPr="000C3D18">
        <w:rPr>
          <w:rFonts w:ascii="Arial" w:hAnsi="Arial" w:cs="Arial"/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3F0061" wp14:editId="293AC633">
                <wp:simplePos x="0" y="0"/>
                <wp:positionH relativeFrom="column">
                  <wp:posOffset>-72390</wp:posOffset>
                </wp:positionH>
                <wp:positionV relativeFrom="paragraph">
                  <wp:posOffset>296545</wp:posOffset>
                </wp:positionV>
                <wp:extent cx="6576060" cy="3322320"/>
                <wp:effectExtent l="0" t="0" r="1524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332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500F7" w14:textId="77777777" w:rsidR="00E555C7" w:rsidRDefault="00E555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F00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7pt;margin-top:23.35pt;width:517.8pt;height:26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" fillcolor="white [3201]" strokeweight=".5pt">
                <v:textbox>
                  <w:txbxContent>
                    <w:p w14:paraId="689500F7" w14:textId="77777777" w:rsidR="00E555C7" w:rsidRDefault="00E555C7"/>
                  </w:txbxContent>
                </v:textbox>
              </v:shape>
            </w:pict>
          </mc:Fallback>
        </mc:AlternateContent>
      </w:r>
      <w:r w:rsidR="00D25F88" w:rsidRPr="000C3D18">
        <w:rPr>
          <w:rFonts w:ascii="Arial" w:hAnsi="Arial" w:cs="Arial"/>
          <w:b/>
          <w:bCs/>
        </w:rPr>
        <w:t>Anexo 7</w:t>
      </w:r>
      <w:r w:rsidR="00D25F88" w:rsidRPr="00D25F88">
        <w:rPr>
          <w:rFonts w:ascii="Arial" w:hAnsi="Arial" w:cs="Arial"/>
        </w:rPr>
        <w:t>:</w:t>
      </w:r>
    </w:p>
    <w:p w14:paraId="64D5E0EB" w14:textId="77777777" w:rsidR="000C3D18" w:rsidRDefault="000C3D18" w:rsidP="00D25F88">
      <w:pPr>
        <w:jc w:val="both"/>
        <w:rPr>
          <w:rFonts w:ascii="Arial" w:hAnsi="Arial" w:cs="Arial"/>
        </w:rPr>
      </w:pPr>
    </w:p>
    <w:p w14:paraId="00DA0DCC" w14:textId="21C6DB40" w:rsidR="00F52641" w:rsidRDefault="00D25F88" w:rsidP="00D25F88">
      <w:pPr>
        <w:jc w:val="both"/>
        <w:rPr>
          <w:rFonts w:ascii="Arial" w:hAnsi="Arial" w:cs="Arial"/>
        </w:rPr>
      </w:pPr>
      <w:r w:rsidRPr="00771279">
        <w:rPr>
          <w:rFonts w:ascii="Arial" w:hAnsi="Arial" w:cs="Arial"/>
        </w:rPr>
        <w:t xml:space="preserve">Controversias en </w:t>
      </w:r>
      <w:r w:rsidR="00F52641">
        <w:rPr>
          <w:rFonts w:ascii="Arial" w:hAnsi="Arial" w:cs="Arial"/>
        </w:rPr>
        <w:t xml:space="preserve">unidades de determinación </w:t>
      </w:r>
      <w:proofErr w:type="spellStart"/>
      <w:r w:rsidR="00F52641">
        <w:rPr>
          <w:rFonts w:ascii="Arial" w:hAnsi="Arial" w:cs="Arial"/>
        </w:rPr>
        <w:t>Lp</w:t>
      </w:r>
      <w:proofErr w:type="spellEnd"/>
      <w:r w:rsidR="00F52641">
        <w:rPr>
          <w:rFonts w:ascii="Arial" w:hAnsi="Arial" w:cs="Arial"/>
        </w:rPr>
        <w:t xml:space="preserve">(a): </w:t>
      </w:r>
    </w:p>
    <w:p w14:paraId="123A2B34" w14:textId="1397B29C" w:rsidR="00F52641" w:rsidRPr="00F52641" w:rsidRDefault="00F52641" w:rsidP="00F52641">
      <w:pPr>
        <w:jc w:val="both"/>
        <w:rPr>
          <w:rFonts w:ascii="Arial" w:hAnsi="Arial" w:cs="Arial"/>
        </w:rPr>
      </w:pPr>
      <w:r w:rsidRPr="00F52641">
        <w:rPr>
          <w:rFonts w:ascii="Arial" w:hAnsi="Arial" w:cs="Arial"/>
        </w:rPr>
        <w:t xml:space="preserve">En la práctica clínica, la determinación de los niveles de </w:t>
      </w:r>
      <w:proofErr w:type="spellStart"/>
      <w:r w:rsidRPr="00F52641">
        <w:rPr>
          <w:rFonts w:ascii="Arial" w:hAnsi="Arial" w:cs="Arial"/>
        </w:rPr>
        <w:t>Lp</w:t>
      </w:r>
      <w:proofErr w:type="spellEnd"/>
      <w:r w:rsidRPr="00F52641">
        <w:rPr>
          <w:rFonts w:ascii="Arial" w:hAnsi="Arial" w:cs="Arial"/>
        </w:rPr>
        <w:t>(</w:t>
      </w:r>
      <w:proofErr w:type="gramStart"/>
      <w:r w:rsidRPr="00F52641">
        <w:rPr>
          <w:rFonts w:ascii="Arial" w:hAnsi="Arial" w:cs="Arial"/>
        </w:rPr>
        <w:t>a)  se</w:t>
      </w:r>
      <w:proofErr w:type="gramEnd"/>
      <w:r w:rsidRPr="00F52641">
        <w:rPr>
          <w:rFonts w:ascii="Arial" w:hAnsi="Arial" w:cs="Arial"/>
        </w:rPr>
        <w:t xml:space="preserve"> lleva a cabo, generalmente, mediante inmunoensayos que utilizan anticuerpos policlonales frente a la </w:t>
      </w:r>
      <w:proofErr w:type="spellStart"/>
      <w:r w:rsidRPr="00F52641">
        <w:rPr>
          <w:rFonts w:ascii="Arial" w:hAnsi="Arial" w:cs="Arial"/>
        </w:rPr>
        <w:t>apo</w:t>
      </w:r>
      <w:proofErr w:type="spellEnd"/>
      <w:r w:rsidRPr="00F52641">
        <w:rPr>
          <w:rFonts w:ascii="Arial" w:hAnsi="Arial" w:cs="Arial"/>
        </w:rPr>
        <w:t xml:space="preserve">(a). Los resultados se suelen expresar como masa total de la partícula de </w:t>
      </w:r>
      <w:proofErr w:type="spellStart"/>
      <w:r w:rsidRPr="00F52641">
        <w:rPr>
          <w:rFonts w:ascii="Arial" w:hAnsi="Arial" w:cs="Arial"/>
        </w:rPr>
        <w:t>Lp</w:t>
      </w:r>
      <w:proofErr w:type="spellEnd"/>
      <w:r w:rsidRPr="00F52641">
        <w:rPr>
          <w:rFonts w:ascii="Arial" w:hAnsi="Arial" w:cs="Arial"/>
        </w:rPr>
        <w:t>(a) en (mg/</w:t>
      </w:r>
      <w:proofErr w:type="spellStart"/>
      <w:r w:rsidRPr="00F52641">
        <w:rPr>
          <w:rFonts w:ascii="Arial" w:hAnsi="Arial" w:cs="Arial"/>
        </w:rPr>
        <w:t>dL</w:t>
      </w:r>
      <w:proofErr w:type="spellEnd"/>
      <w:r w:rsidRPr="00F52641">
        <w:rPr>
          <w:rFonts w:ascii="Arial" w:hAnsi="Arial" w:cs="Arial"/>
        </w:rPr>
        <w:t xml:space="preserve">), que incluye tanto la masa de </w:t>
      </w:r>
      <w:proofErr w:type="spellStart"/>
      <w:r w:rsidRPr="00F52641">
        <w:rPr>
          <w:rFonts w:ascii="Arial" w:hAnsi="Arial" w:cs="Arial"/>
        </w:rPr>
        <w:t>apo</w:t>
      </w:r>
      <w:proofErr w:type="spellEnd"/>
      <w:r w:rsidRPr="00F52641">
        <w:rPr>
          <w:rFonts w:ascii="Arial" w:hAnsi="Arial" w:cs="Arial"/>
        </w:rPr>
        <w:t>(a) como la del resto de componentes de la partícula (</w:t>
      </w:r>
      <w:proofErr w:type="spellStart"/>
      <w:r w:rsidRPr="00F52641">
        <w:rPr>
          <w:rFonts w:ascii="Arial" w:hAnsi="Arial" w:cs="Arial"/>
        </w:rPr>
        <w:t>a</w:t>
      </w:r>
      <w:r>
        <w:rPr>
          <w:rFonts w:ascii="Arial" w:hAnsi="Arial" w:cs="Arial"/>
        </w:rPr>
        <w:t>poB</w:t>
      </w:r>
      <w:proofErr w:type="spellEnd"/>
      <w:r w:rsidRPr="00F52641">
        <w:rPr>
          <w:rFonts w:ascii="Arial" w:hAnsi="Arial" w:cs="Arial"/>
        </w:rPr>
        <w:t xml:space="preserve">, colesterol, ésteres de colesterol, fosfolípidos, triglicéridos y carbohidratos) o como concentración de molar de </w:t>
      </w:r>
      <w:proofErr w:type="spellStart"/>
      <w:r w:rsidRPr="00F52641">
        <w:rPr>
          <w:rFonts w:ascii="Arial" w:hAnsi="Arial" w:cs="Arial"/>
        </w:rPr>
        <w:t>apo</w:t>
      </w:r>
      <w:proofErr w:type="spellEnd"/>
      <w:r w:rsidRPr="00F52641">
        <w:rPr>
          <w:rFonts w:ascii="Arial" w:hAnsi="Arial" w:cs="Arial"/>
        </w:rPr>
        <w:t xml:space="preserve">(a) en </w:t>
      </w:r>
      <w:proofErr w:type="spellStart"/>
      <w:r w:rsidRPr="00F52641">
        <w:rPr>
          <w:rFonts w:ascii="Arial" w:hAnsi="Arial" w:cs="Arial"/>
        </w:rPr>
        <w:t>nmoL</w:t>
      </w:r>
      <w:proofErr w:type="spellEnd"/>
      <w:r w:rsidRPr="00F52641">
        <w:rPr>
          <w:rFonts w:ascii="Arial" w:hAnsi="Arial" w:cs="Arial"/>
        </w:rPr>
        <w:t>/L. Desde el punto de vista metrológico, la expresión de resultados como masa total (mg/</w:t>
      </w:r>
      <w:proofErr w:type="spellStart"/>
      <w:r w:rsidRPr="00F52641">
        <w:rPr>
          <w:rFonts w:ascii="Arial" w:hAnsi="Arial" w:cs="Arial"/>
        </w:rPr>
        <w:t>dL</w:t>
      </w:r>
      <w:proofErr w:type="spellEnd"/>
      <w:r w:rsidRPr="00F52641">
        <w:rPr>
          <w:rFonts w:ascii="Arial" w:hAnsi="Arial" w:cs="Arial"/>
        </w:rPr>
        <w:t xml:space="preserve">) cuenta con importantes limitaciones debido a la gran variabilidad que presenta la </w:t>
      </w:r>
      <w:proofErr w:type="spellStart"/>
      <w:r w:rsidRPr="00F52641">
        <w:rPr>
          <w:rFonts w:ascii="Arial" w:hAnsi="Arial" w:cs="Arial"/>
        </w:rPr>
        <w:t>Lp</w:t>
      </w:r>
      <w:proofErr w:type="spellEnd"/>
      <w:r w:rsidRPr="00F52641">
        <w:rPr>
          <w:rFonts w:ascii="Arial" w:hAnsi="Arial" w:cs="Arial"/>
        </w:rPr>
        <w:t xml:space="preserve">(a) en su composición y a la falta de un material de referencia al que referir los calibradores. Por el contrario, la expresión de resultados en nmol/L de </w:t>
      </w:r>
      <w:proofErr w:type="spellStart"/>
      <w:r w:rsidRPr="00F52641">
        <w:rPr>
          <w:rFonts w:ascii="Arial" w:hAnsi="Arial" w:cs="Arial"/>
        </w:rPr>
        <w:t>apo</w:t>
      </w:r>
      <w:proofErr w:type="spellEnd"/>
      <w:r w:rsidRPr="00F52641">
        <w:rPr>
          <w:rFonts w:ascii="Arial" w:hAnsi="Arial" w:cs="Arial"/>
        </w:rPr>
        <w:t xml:space="preserve">(a) refleja de una manera </w:t>
      </w:r>
      <w:proofErr w:type="spellStart"/>
      <w:r w:rsidRPr="00F52641">
        <w:rPr>
          <w:rFonts w:ascii="Arial" w:hAnsi="Arial" w:cs="Arial"/>
        </w:rPr>
        <w:t>mas</w:t>
      </w:r>
      <w:proofErr w:type="spellEnd"/>
      <w:r w:rsidRPr="00F52641">
        <w:rPr>
          <w:rFonts w:ascii="Arial" w:hAnsi="Arial" w:cs="Arial"/>
        </w:rPr>
        <w:t xml:space="preserve"> precisa la concentración plasmática de partículas de </w:t>
      </w:r>
      <w:proofErr w:type="spellStart"/>
      <w:r w:rsidRPr="00F52641">
        <w:rPr>
          <w:rFonts w:ascii="Arial" w:hAnsi="Arial" w:cs="Arial"/>
        </w:rPr>
        <w:t>Lp</w:t>
      </w:r>
      <w:proofErr w:type="spellEnd"/>
      <w:r w:rsidRPr="00F52641">
        <w:rPr>
          <w:rFonts w:ascii="Arial" w:hAnsi="Arial" w:cs="Arial"/>
        </w:rPr>
        <w:t xml:space="preserve">(a) y </w:t>
      </w:r>
      <w:proofErr w:type="gramStart"/>
      <w:r w:rsidRPr="00F52641">
        <w:rPr>
          <w:rFonts w:ascii="Arial" w:hAnsi="Arial" w:cs="Arial"/>
        </w:rPr>
        <w:t>permite</w:t>
      </w:r>
      <w:proofErr w:type="gramEnd"/>
      <w:r w:rsidRPr="00F52641">
        <w:rPr>
          <w:rFonts w:ascii="Arial" w:hAnsi="Arial" w:cs="Arial"/>
        </w:rPr>
        <w:t xml:space="preserve"> además, la comparación entre diferentes métodos al contar con un material de referencia (OMS/IFCC SRM-2B) al que se pueden referenciar los calibradores.</w:t>
      </w:r>
    </w:p>
    <w:p w14:paraId="3F98F5A8" w14:textId="5C98241C" w:rsidR="00F52641" w:rsidRPr="00771279" w:rsidRDefault="00F52641" w:rsidP="00F52641">
      <w:pPr>
        <w:jc w:val="both"/>
        <w:rPr>
          <w:rFonts w:ascii="Arial" w:hAnsi="Arial" w:cs="Arial"/>
        </w:rPr>
      </w:pPr>
      <w:r w:rsidRPr="00F52641">
        <w:rPr>
          <w:rFonts w:ascii="Arial" w:hAnsi="Arial" w:cs="Arial"/>
        </w:rPr>
        <w:t>No se recomienda la conversión entre unidades nmol/L a mg/</w:t>
      </w:r>
      <w:proofErr w:type="spellStart"/>
      <w:r w:rsidRPr="00F52641">
        <w:rPr>
          <w:rFonts w:ascii="Arial" w:hAnsi="Arial" w:cs="Arial"/>
        </w:rPr>
        <w:t>dL</w:t>
      </w:r>
      <w:proofErr w:type="spellEnd"/>
      <w:r w:rsidRPr="00F52641">
        <w:rPr>
          <w:rFonts w:ascii="Arial" w:hAnsi="Arial" w:cs="Arial"/>
        </w:rPr>
        <w:t>, o viceversa, ya que todos los factores de conversión dependen intrínsecamente de las isoformas</w:t>
      </w:r>
    </w:p>
    <w:sectPr w:rsidR="00F52641" w:rsidRPr="00771279" w:rsidSect="00812D5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9F7"/>
    <w:multiLevelType w:val="hybridMultilevel"/>
    <w:tmpl w:val="177C69B8"/>
    <w:lvl w:ilvl="0" w:tplc="33968B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52A17C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1EA2"/>
    <w:multiLevelType w:val="hybridMultilevel"/>
    <w:tmpl w:val="E6F4E2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039"/>
    <w:multiLevelType w:val="hybridMultilevel"/>
    <w:tmpl w:val="976C8C58"/>
    <w:lvl w:ilvl="0" w:tplc="DA92D0D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3631"/>
    <w:multiLevelType w:val="hybridMultilevel"/>
    <w:tmpl w:val="F5289CC0"/>
    <w:lvl w:ilvl="0" w:tplc="33968B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52A17C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47905"/>
    <w:multiLevelType w:val="hybridMultilevel"/>
    <w:tmpl w:val="E98C5BAE"/>
    <w:lvl w:ilvl="0" w:tplc="DA92D0D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0757D"/>
    <w:multiLevelType w:val="hybridMultilevel"/>
    <w:tmpl w:val="004CA46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86D22"/>
    <w:multiLevelType w:val="hybridMultilevel"/>
    <w:tmpl w:val="0890F4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0155D"/>
    <w:multiLevelType w:val="hybridMultilevel"/>
    <w:tmpl w:val="6E0C20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2156">
    <w:abstractNumId w:val="5"/>
  </w:num>
  <w:num w:numId="2" w16cid:durableId="2020542135">
    <w:abstractNumId w:val="7"/>
  </w:num>
  <w:num w:numId="3" w16cid:durableId="1071807784">
    <w:abstractNumId w:val="6"/>
  </w:num>
  <w:num w:numId="4" w16cid:durableId="78841363">
    <w:abstractNumId w:val="2"/>
  </w:num>
  <w:num w:numId="5" w16cid:durableId="140772938">
    <w:abstractNumId w:val="4"/>
  </w:num>
  <w:num w:numId="6" w16cid:durableId="1805348033">
    <w:abstractNumId w:val="3"/>
  </w:num>
  <w:num w:numId="7" w16cid:durableId="234584917">
    <w:abstractNumId w:val="0"/>
  </w:num>
  <w:num w:numId="8" w16cid:durableId="1630084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0E"/>
    <w:rsid w:val="00007EB8"/>
    <w:rsid w:val="0003285F"/>
    <w:rsid w:val="000C3D18"/>
    <w:rsid w:val="00123670"/>
    <w:rsid w:val="0014600E"/>
    <w:rsid w:val="001632E0"/>
    <w:rsid w:val="004434F2"/>
    <w:rsid w:val="004D2BBD"/>
    <w:rsid w:val="00556034"/>
    <w:rsid w:val="0057293D"/>
    <w:rsid w:val="00771279"/>
    <w:rsid w:val="007D2E78"/>
    <w:rsid w:val="007E320C"/>
    <w:rsid w:val="00812D52"/>
    <w:rsid w:val="008A77FE"/>
    <w:rsid w:val="00956D2D"/>
    <w:rsid w:val="009A6BCB"/>
    <w:rsid w:val="00AE21E0"/>
    <w:rsid w:val="00BC79CB"/>
    <w:rsid w:val="00C855E4"/>
    <w:rsid w:val="00CF38C8"/>
    <w:rsid w:val="00D25F88"/>
    <w:rsid w:val="00E555C7"/>
    <w:rsid w:val="00E7294E"/>
    <w:rsid w:val="00ED3096"/>
    <w:rsid w:val="00F15CDE"/>
    <w:rsid w:val="00F52641"/>
    <w:rsid w:val="00F5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7DB77"/>
  <w15:chartTrackingRefBased/>
  <w15:docId w15:val="{D34C957F-8956-4CFA-AC8A-946EBEA3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D5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12D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2D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2D5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D5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1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3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34F2"/>
    <w:rPr>
      <w:b/>
      <w:bCs/>
      <w:sz w:val="20"/>
      <w:szCs w:val="20"/>
    </w:rPr>
  </w:style>
  <w:style w:type="table" w:styleId="Tablaconcuadrcula2-nfasis5">
    <w:name w:val="Grid Table 2 Accent 5"/>
    <w:basedOn w:val="Tablanormal"/>
    <w:uiPriority w:val="47"/>
    <w:rsid w:val="007D2E7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E7294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q4iawc">
    <w:name w:val="q4iawc"/>
    <w:basedOn w:val="Fuentedeprrafopredeter"/>
    <w:rsid w:val="00123670"/>
  </w:style>
  <w:style w:type="table" w:styleId="Tablaconcuadrcula3-nfasis1">
    <w:name w:val="Grid Table 3 Accent 1"/>
    <w:basedOn w:val="Tablanormal"/>
    <w:uiPriority w:val="48"/>
    <w:rsid w:val="007E320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7E32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C855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1331</Words>
  <Characters>7324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Albert Bastias</cp:lastModifiedBy>
  <cp:revision>2</cp:revision>
  <dcterms:created xsi:type="dcterms:W3CDTF">2023-02-20T08:34:00Z</dcterms:created>
  <dcterms:modified xsi:type="dcterms:W3CDTF">2023-02-20T08:34:00Z</dcterms:modified>
</cp:coreProperties>
</file>