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EE" w:rsidRDefault="00A80BEE">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Supplemental </w:t>
      </w:r>
      <w:r w:rsidR="00C70E68">
        <w:rPr>
          <w:rFonts w:ascii="Times New Roman" w:hAnsi="Times New Roman" w:cs="Times New Roman"/>
          <w:b/>
          <w:sz w:val="24"/>
          <w:szCs w:val="24"/>
        </w:rPr>
        <w:t>Data For:</w:t>
      </w:r>
    </w:p>
    <w:p w:rsidR="00A80BEE" w:rsidRDefault="00B03E7E" w:rsidP="00D718F8">
      <w:pPr>
        <w:spacing w:line="480" w:lineRule="auto"/>
        <w:rPr>
          <w:rFonts w:ascii="Times New Roman" w:hAnsi="Times New Roman" w:cs="Times New Roman"/>
          <w:b/>
          <w:sz w:val="28"/>
          <w:szCs w:val="28"/>
        </w:rPr>
      </w:pPr>
      <w:r>
        <w:rPr>
          <w:rFonts w:ascii="Times New Roman" w:hAnsi="Times New Roman" w:cs="Times New Roman"/>
          <w:b/>
          <w:sz w:val="28"/>
          <w:szCs w:val="28"/>
        </w:rPr>
        <w:t>C</w:t>
      </w:r>
      <w:r w:rsidR="00780D90">
        <w:rPr>
          <w:rFonts w:ascii="Times New Roman" w:hAnsi="Times New Roman" w:cs="Times New Roman"/>
          <w:b/>
          <w:sz w:val="28"/>
          <w:szCs w:val="28"/>
        </w:rPr>
        <w:t xml:space="preserve">entral sensitization associated with fetal hemoglobin levels </w:t>
      </w:r>
      <w:r w:rsidR="00780D90" w:rsidRPr="00F43DC1">
        <w:rPr>
          <w:rFonts w:ascii="Times New Roman" w:hAnsi="Times New Roman" w:cs="Times New Roman"/>
          <w:b/>
          <w:sz w:val="28"/>
          <w:szCs w:val="28"/>
        </w:rPr>
        <w:t>in adults with sickle cell anemia</w:t>
      </w:r>
    </w:p>
    <w:p w:rsidR="00D718F8" w:rsidRDefault="00D718F8" w:rsidP="00D718F8">
      <w:pPr>
        <w:spacing w:line="480" w:lineRule="auto"/>
        <w:rPr>
          <w:rFonts w:ascii="Times New Roman" w:hAnsi="Times New Roman" w:cs="Times New Roman"/>
          <w:sz w:val="24"/>
          <w:szCs w:val="24"/>
        </w:rPr>
      </w:pPr>
    </w:p>
    <w:p w:rsidR="00C54C3A" w:rsidRPr="008B2FE5" w:rsidRDefault="00C54C3A" w:rsidP="00C54C3A">
      <w:pPr>
        <w:spacing w:line="480" w:lineRule="auto"/>
        <w:rPr>
          <w:rFonts w:ascii="Times New Roman" w:hAnsi="Times New Roman" w:cs="Times New Roman"/>
          <w:sz w:val="24"/>
          <w:szCs w:val="24"/>
        </w:rPr>
      </w:pPr>
      <w:proofErr w:type="spellStart"/>
      <w:r w:rsidRPr="00974BC2">
        <w:rPr>
          <w:rFonts w:ascii="Times New Roman" w:hAnsi="Times New Roman" w:cs="Times New Roman"/>
          <w:sz w:val="24"/>
          <w:szCs w:val="24"/>
        </w:rPr>
        <w:t>Deepika</w:t>
      </w:r>
      <w:proofErr w:type="spellEnd"/>
      <w:r w:rsidRPr="00974BC2">
        <w:rPr>
          <w:rFonts w:ascii="Times New Roman" w:hAnsi="Times New Roman" w:cs="Times New Roman"/>
          <w:sz w:val="24"/>
          <w:szCs w:val="24"/>
        </w:rPr>
        <w:t xml:space="preserve"> S. </w:t>
      </w:r>
      <w:proofErr w:type="spellStart"/>
      <w:r w:rsidRPr="00974BC2">
        <w:rPr>
          <w:rFonts w:ascii="Times New Roman" w:hAnsi="Times New Roman" w:cs="Times New Roman"/>
          <w:sz w:val="24"/>
          <w:szCs w:val="24"/>
        </w:rPr>
        <w:t>Darbari</w:t>
      </w:r>
      <w:r>
        <w:rPr>
          <w:rFonts w:ascii="Times New Roman" w:hAnsi="Times New Roman" w:cs="Times New Roman"/>
          <w:sz w:val="24"/>
          <w:szCs w:val="24"/>
          <w:vertAlign w:val="superscript"/>
        </w:rPr>
        <w:t>a</w:t>
      </w:r>
      <w:r w:rsidRPr="00974BC2">
        <w:rPr>
          <w:rFonts w:ascii="Times New Roman" w:hAnsi="Times New Roman" w:cs="Times New Roman"/>
          <w:sz w:val="24"/>
          <w:szCs w:val="24"/>
          <w:vertAlign w:val="superscript"/>
        </w:rPr>
        <w:t>,</w:t>
      </w:r>
      <w:r>
        <w:rPr>
          <w:rFonts w:ascii="Times New Roman" w:hAnsi="Times New Roman" w:cs="Times New Roman"/>
          <w:sz w:val="24"/>
          <w:szCs w:val="24"/>
          <w:vertAlign w:val="superscript"/>
        </w:rPr>
        <w:t>b</w:t>
      </w:r>
      <w:proofErr w:type="spellEnd"/>
      <w:r w:rsidRPr="00974BC2">
        <w:rPr>
          <w:rFonts w:ascii="Times New Roman" w:hAnsi="Times New Roman" w:cs="Times New Roman"/>
          <w:sz w:val="24"/>
          <w:szCs w:val="24"/>
        </w:rPr>
        <w:t xml:space="preserve">; </w:t>
      </w:r>
      <w:r w:rsidRPr="008B2FE5">
        <w:rPr>
          <w:rFonts w:ascii="Times New Roman" w:hAnsi="Times New Roman" w:cs="Times New Roman"/>
          <w:sz w:val="24"/>
          <w:szCs w:val="24"/>
        </w:rPr>
        <w:t xml:space="preserve">Kathleen J. </w:t>
      </w:r>
      <w:proofErr w:type="spellStart"/>
      <w:r w:rsidRPr="008B2FE5">
        <w:rPr>
          <w:rFonts w:ascii="Times New Roman" w:hAnsi="Times New Roman" w:cs="Times New Roman"/>
          <w:sz w:val="24"/>
          <w:szCs w:val="24"/>
        </w:rPr>
        <w:t>Vaughan</w:t>
      </w:r>
      <w:r>
        <w:rPr>
          <w:rFonts w:ascii="Times New Roman" w:hAnsi="Times New Roman" w:cs="Times New Roman"/>
          <w:sz w:val="24"/>
          <w:szCs w:val="24"/>
          <w:vertAlign w:val="superscript"/>
        </w:rPr>
        <w:t>a</w:t>
      </w:r>
      <w:proofErr w:type="spellEnd"/>
      <w:r w:rsidRPr="00CC4552">
        <w:rPr>
          <w:rFonts w:ascii="Times New Roman" w:hAnsi="Times New Roman" w:cs="Times New Roman"/>
          <w:sz w:val="24"/>
          <w:szCs w:val="24"/>
        </w:rPr>
        <w:t xml:space="preserve">; Katherine </w:t>
      </w:r>
      <w:proofErr w:type="spellStart"/>
      <w:r w:rsidRPr="00CC4552">
        <w:rPr>
          <w:rFonts w:ascii="Times New Roman" w:hAnsi="Times New Roman" w:cs="Times New Roman"/>
          <w:sz w:val="24"/>
          <w:szCs w:val="24"/>
        </w:rPr>
        <w:t>Roskom</w:t>
      </w:r>
      <w:r>
        <w:rPr>
          <w:rFonts w:ascii="Times New Roman" w:hAnsi="Times New Roman" w:cs="Times New Roman"/>
          <w:sz w:val="24"/>
          <w:szCs w:val="24"/>
          <w:vertAlign w:val="superscript"/>
        </w:rPr>
        <w:t>a</w:t>
      </w:r>
      <w:proofErr w:type="spellEnd"/>
      <w:r w:rsidRPr="00CC4552">
        <w:rPr>
          <w:rFonts w:ascii="Times New Roman" w:hAnsi="Times New Roman" w:cs="Times New Roman"/>
          <w:sz w:val="24"/>
          <w:szCs w:val="24"/>
        </w:rPr>
        <w:t xml:space="preserve">; </w:t>
      </w:r>
      <w:r w:rsidRPr="00974BC2">
        <w:rPr>
          <w:rFonts w:ascii="Times New Roman" w:hAnsi="Times New Roman" w:cs="Times New Roman"/>
          <w:sz w:val="24"/>
          <w:szCs w:val="24"/>
        </w:rPr>
        <w:t xml:space="preserve">Cassie </w:t>
      </w:r>
      <w:proofErr w:type="spellStart"/>
      <w:r w:rsidRPr="00974BC2">
        <w:rPr>
          <w:rFonts w:ascii="Times New Roman" w:hAnsi="Times New Roman" w:cs="Times New Roman"/>
          <w:sz w:val="24"/>
          <w:szCs w:val="24"/>
        </w:rPr>
        <w:t>Seamon</w:t>
      </w:r>
      <w:r>
        <w:rPr>
          <w:rFonts w:ascii="Times New Roman" w:hAnsi="Times New Roman" w:cs="Times New Roman"/>
          <w:sz w:val="24"/>
          <w:szCs w:val="24"/>
          <w:vertAlign w:val="superscript"/>
        </w:rPr>
        <w:t>a</w:t>
      </w:r>
      <w:proofErr w:type="spellEnd"/>
      <w:r w:rsidRPr="008B2FE5">
        <w:rPr>
          <w:rFonts w:ascii="Times New Roman" w:hAnsi="Times New Roman" w:cs="Times New Roman"/>
          <w:sz w:val="24"/>
          <w:szCs w:val="24"/>
        </w:rPr>
        <w:t>;</w:t>
      </w:r>
      <w:r w:rsidRPr="00CC4552">
        <w:rPr>
          <w:rFonts w:ascii="Times New Roman" w:hAnsi="Times New Roman" w:cs="Times New Roman"/>
          <w:sz w:val="24"/>
          <w:szCs w:val="24"/>
        </w:rPr>
        <w:t xml:space="preserve"> Lena </w:t>
      </w:r>
      <w:proofErr w:type="spellStart"/>
      <w:r w:rsidRPr="00CC4552">
        <w:rPr>
          <w:rFonts w:ascii="Times New Roman" w:hAnsi="Times New Roman" w:cs="Times New Roman"/>
          <w:sz w:val="24"/>
          <w:szCs w:val="24"/>
        </w:rPr>
        <w:t>Diaw</w:t>
      </w:r>
      <w:r>
        <w:rPr>
          <w:rFonts w:ascii="Times New Roman" w:hAnsi="Times New Roman" w:cs="Times New Roman"/>
          <w:sz w:val="24"/>
          <w:szCs w:val="24"/>
          <w:vertAlign w:val="superscript"/>
        </w:rPr>
        <w:t>a</w:t>
      </w:r>
      <w:proofErr w:type="spellEnd"/>
      <w:r w:rsidRPr="00CC4552">
        <w:rPr>
          <w:rFonts w:ascii="Times New Roman" w:hAnsi="Times New Roman" w:cs="Times New Roman"/>
          <w:sz w:val="24"/>
          <w:szCs w:val="24"/>
        </w:rPr>
        <w:t xml:space="preserve">; Meghan </w:t>
      </w:r>
      <w:proofErr w:type="spellStart"/>
      <w:r w:rsidRPr="00CC4552">
        <w:rPr>
          <w:rFonts w:ascii="Times New Roman" w:hAnsi="Times New Roman" w:cs="Times New Roman"/>
          <w:sz w:val="24"/>
          <w:szCs w:val="24"/>
        </w:rPr>
        <w:t>Quinn</w:t>
      </w:r>
      <w:r>
        <w:rPr>
          <w:rFonts w:ascii="Times New Roman" w:hAnsi="Times New Roman" w:cs="Times New Roman"/>
          <w:sz w:val="24"/>
          <w:szCs w:val="24"/>
          <w:vertAlign w:val="superscript"/>
        </w:rPr>
        <w:t>a</w:t>
      </w:r>
      <w:proofErr w:type="spellEnd"/>
      <w:r w:rsidRPr="00CC4552">
        <w:rPr>
          <w:rFonts w:ascii="Times New Roman" w:hAnsi="Times New Roman" w:cs="Times New Roman"/>
          <w:sz w:val="24"/>
          <w:szCs w:val="24"/>
        </w:rPr>
        <w:t xml:space="preserve">; Anna </w:t>
      </w:r>
      <w:proofErr w:type="spellStart"/>
      <w:r w:rsidRPr="00CC4552">
        <w:rPr>
          <w:rFonts w:ascii="Times New Roman" w:hAnsi="Times New Roman" w:cs="Times New Roman"/>
          <w:sz w:val="24"/>
          <w:szCs w:val="24"/>
        </w:rPr>
        <w:t>Conrey</w:t>
      </w:r>
      <w:r>
        <w:rPr>
          <w:rFonts w:ascii="Times New Roman" w:hAnsi="Times New Roman" w:cs="Times New Roman"/>
          <w:sz w:val="24"/>
          <w:szCs w:val="24"/>
          <w:vertAlign w:val="superscript"/>
        </w:rPr>
        <w:t>a</w:t>
      </w:r>
      <w:proofErr w:type="spellEnd"/>
      <w:r w:rsidRPr="00CC4552">
        <w:rPr>
          <w:rFonts w:ascii="Times New Roman" w:hAnsi="Times New Roman" w:cs="Times New Roman"/>
          <w:sz w:val="24"/>
          <w:szCs w:val="24"/>
        </w:rPr>
        <w:t xml:space="preserve">; Alan N. </w:t>
      </w:r>
      <w:proofErr w:type="spellStart"/>
      <w:r w:rsidRPr="00CC4552">
        <w:rPr>
          <w:rFonts w:ascii="Times New Roman" w:hAnsi="Times New Roman" w:cs="Times New Roman"/>
          <w:sz w:val="24"/>
          <w:szCs w:val="24"/>
        </w:rPr>
        <w:t>Schechter</w:t>
      </w:r>
      <w:r>
        <w:rPr>
          <w:rFonts w:ascii="Times New Roman" w:hAnsi="Times New Roman" w:cs="Times New Roman"/>
          <w:sz w:val="24"/>
          <w:szCs w:val="24"/>
          <w:vertAlign w:val="superscript"/>
        </w:rPr>
        <w:t>c</w:t>
      </w:r>
      <w:proofErr w:type="spellEnd"/>
      <w:r w:rsidRPr="008B2FE5">
        <w:rPr>
          <w:rFonts w:ascii="Times New Roman" w:hAnsi="Times New Roman" w:cs="Times New Roman"/>
          <w:sz w:val="24"/>
          <w:szCs w:val="24"/>
        </w:rPr>
        <w:t xml:space="preserve">; Jennifer </w:t>
      </w:r>
      <w:r w:rsidRPr="00CC4552">
        <w:rPr>
          <w:rFonts w:ascii="Times New Roman" w:hAnsi="Times New Roman" w:cs="Times New Roman"/>
          <w:sz w:val="24"/>
          <w:szCs w:val="24"/>
        </w:rPr>
        <w:t xml:space="preserve">A. </w:t>
      </w:r>
      <w:proofErr w:type="spellStart"/>
      <w:r w:rsidRPr="00CC4552">
        <w:rPr>
          <w:rFonts w:ascii="Times New Roman" w:hAnsi="Times New Roman" w:cs="Times New Roman"/>
          <w:sz w:val="24"/>
          <w:szCs w:val="24"/>
        </w:rPr>
        <w:t>Haythornthwaite</w:t>
      </w:r>
      <w:r>
        <w:rPr>
          <w:rFonts w:ascii="Times New Roman" w:hAnsi="Times New Roman" w:cs="Times New Roman"/>
          <w:sz w:val="24"/>
          <w:szCs w:val="24"/>
          <w:vertAlign w:val="superscript"/>
        </w:rPr>
        <w:t>d</w:t>
      </w:r>
      <w:proofErr w:type="spellEnd"/>
      <w:r w:rsidRPr="00CC4552">
        <w:rPr>
          <w:rFonts w:ascii="Times New Roman" w:hAnsi="Times New Roman" w:cs="Times New Roman"/>
          <w:sz w:val="24"/>
          <w:szCs w:val="24"/>
        </w:rPr>
        <w:t xml:space="preserve">; Myron A. </w:t>
      </w:r>
      <w:proofErr w:type="spellStart"/>
      <w:r w:rsidRPr="00CC4552">
        <w:rPr>
          <w:rFonts w:ascii="Times New Roman" w:hAnsi="Times New Roman" w:cs="Times New Roman"/>
          <w:sz w:val="24"/>
          <w:szCs w:val="24"/>
        </w:rPr>
        <w:t>Waclawiw</w:t>
      </w:r>
      <w:r>
        <w:rPr>
          <w:rFonts w:ascii="Times New Roman" w:hAnsi="Times New Roman" w:cs="Times New Roman"/>
          <w:sz w:val="24"/>
          <w:szCs w:val="24"/>
          <w:vertAlign w:val="superscript"/>
        </w:rPr>
        <w:t>e</w:t>
      </w:r>
      <w:proofErr w:type="spellEnd"/>
      <w:r w:rsidRPr="008B2FE5">
        <w:rPr>
          <w:rFonts w:ascii="Times New Roman" w:hAnsi="Times New Roman" w:cs="Times New Roman"/>
          <w:sz w:val="24"/>
          <w:szCs w:val="24"/>
        </w:rPr>
        <w:t xml:space="preserve">; </w:t>
      </w:r>
      <w:proofErr w:type="spellStart"/>
      <w:r w:rsidRPr="008B2FE5">
        <w:rPr>
          <w:rFonts w:ascii="Times New Roman" w:hAnsi="Times New Roman" w:cs="Times New Roman"/>
          <w:sz w:val="24"/>
          <w:szCs w:val="24"/>
        </w:rPr>
        <w:t>Gwenyth</w:t>
      </w:r>
      <w:proofErr w:type="spellEnd"/>
      <w:r w:rsidRPr="008B2FE5">
        <w:rPr>
          <w:rFonts w:ascii="Times New Roman" w:hAnsi="Times New Roman" w:cs="Times New Roman"/>
          <w:sz w:val="24"/>
          <w:szCs w:val="24"/>
        </w:rPr>
        <w:t xml:space="preserve"> </w:t>
      </w:r>
      <w:r w:rsidRPr="00CC4552">
        <w:rPr>
          <w:rFonts w:ascii="Times New Roman" w:hAnsi="Times New Roman" w:cs="Times New Roman"/>
          <w:sz w:val="24"/>
          <w:szCs w:val="24"/>
        </w:rPr>
        <w:t xml:space="preserve">R. </w:t>
      </w:r>
      <w:proofErr w:type="spellStart"/>
      <w:r w:rsidRPr="00CC4552">
        <w:rPr>
          <w:rFonts w:ascii="Times New Roman" w:hAnsi="Times New Roman" w:cs="Times New Roman"/>
          <w:sz w:val="24"/>
          <w:szCs w:val="24"/>
        </w:rPr>
        <w:t>Wallen</w:t>
      </w:r>
      <w:r>
        <w:rPr>
          <w:rFonts w:ascii="Times New Roman" w:hAnsi="Times New Roman" w:cs="Times New Roman"/>
          <w:sz w:val="24"/>
          <w:szCs w:val="24"/>
          <w:vertAlign w:val="superscript"/>
        </w:rPr>
        <w:t>f</w:t>
      </w:r>
      <w:proofErr w:type="spellEnd"/>
      <w:r w:rsidRPr="008B2FE5">
        <w:rPr>
          <w:rFonts w:ascii="Times New Roman" w:hAnsi="Times New Roman" w:cs="Times New Roman"/>
          <w:sz w:val="24"/>
          <w:szCs w:val="24"/>
        </w:rPr>
        <w:t xml:space="preserve">; Inna </w:t>
      </w:r>
      <w:proofErr w:type="spellStart"/>
      <w:r w:rsidRPr="008B2FE5">
        <w:rPr>
          <w:rFonts w:ascii="Times New Roman" w:hAnsi="Times New Roman" w:cs="Times New Roman"/>
          <w:sz w:val="24"/>
          <w:szCs w:val="24"/>
        </w:rPr>
        <w:t>Belfer</w:t>
      </w:r>
      <w:r>
        <w:rPr>
          <w:rFonts w:ascii="Times New Roman" w:hAnsi="Times New Roman" w:cs="Times New Roman"/>
          <w:sz w:val="24"/>
          <w:szCs w:val="24"/>
          <w:vertAlign w:val="superscript"/>
        </w:rPr>
        <w:t>g,h</w:t>
      </w:r>
      <w:proofErr w:type="spellEnd"/>
      <w:r w:rsidRPr="008B2FE5">
        <w:rPr>
          <w:rFonts w:ascii="Times New Roman" w:hAnsi="Times New Roman" w:cs="Times New Roman"/>
          <w:sz w:val="24"/>
          <w:szCs w:val="24"/>
        </w:rPr>
        <w:t xml:space="preserve">; James G. </w:t>
      </w:r>
      <w:r w:rsidRPr="00CC4552">
        <w:rPr>
          <w:rFonts w:ascii="Times New Roman" w:hAnsi="Times New Roman" w:cs="Times New Roman"/>
          <w:sz w:val="24"/>
          <w:szCs w:val="24"/>
        </w:rPr>
        <w:t xml:space="preserve">Taylor </w:t>
      </w:r>
      <w:proofErr w:type="spellStart"/>
      <w:r w:rsidRPr="00CC4552">
        <w:rPr>
          <w:rFonts w:ascii="Times New Roman" w:hAnsi="Times New Roman" w:cs="Times New Roman"/>
          <w:sz w:val="24"/>
          <w:szCs w:val="24"/>
        </w:rPr>
        <w:t>VI</w:t>
      </w:r>
      <w:r>
        <w:rPr>
          <w:rFonts w:ascii="Times New Roman" w:hAnsi="Times New Roman" w:cs="Times New Roman"/>
          <w:sz w:val="24"/>
          <w:szCs w:val="24"/>
          <w:vertAlign w:val="superscript"/>
        </w:rPr>
        <w:t>a,i</w:t>
      </w:r>
      <w:proofErr w:type="spellEnd"/>
      <w:r>
        <w:rPr>
          <w:rFonts w:ascii="Times New Roman" w:hAnsi="Times New Roman" w:cs="Times New Roman"/>
          <w:sz w:val="24"/>
          <w:szCs w:val="24"/>
          <w:vertAlign w:val="superscript"/>
        </w:rPr>
        <w:t>,⃰</w:t>
      </w:r>
    </w:p>
    <w:p w:rsidR="00C54C3A" w:rsidRPr="000F2300" w:rsidRDefault="00C54C3A" w:rsidP="00C54C3A">
      <w:pPr>
        <w:spacing w:line="480" w:lineRule="auto"/>
        <w:rPr>
          <w:rFonts w:ascii="Times New Roman" w:hAnsi="Times New Roman" w:cs="Times New Roman"/>
          <w:sz w:val="24"/>
          <w:szCs w:val="24"/>
        </w:rPr>
      </w:pPr>
    </w:p>
    <w:p w:rsidR="00C54C3A" w:rsidRPr="00974BC2" w:rsidRDefault="00C54C3A" w:rsidP="00C54C3A">
      <w:pPr>
        <w:spacing w:line="480" w:lineRule="auto"/>
        <w:rPr>
          <w:rFonts w:ascii="Times New Roman" w:hAnsi="Times New Roman" w:cs="Times New Roman"/>
          <w:sz w:val="24"/>
          <w:szCs w:val="24"/>
        </w:rPr>
      </w:pPr>
    </w:p>
    <w:p w:rsidR="00C54C3A" w:rsidRPr="0036105C" w:rsidRDefault="00C54C3A" w:rsidP="00C54C3A">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a</w:t>
      </w:r>
      <w:r w:rsidRPr="00974BC2">
        <w:rPr>
          <w:rFonts w:ascii="Times New Roman" w:hAnsi="Times New Roman" w:cs="Times New Roman"/>
          <w:sz w:val="24"/>
          <w:szCs w:val="24"/>
          <w:vertAlign w:val="superscript"/>
        </w:rPr>
        <w:t xml:space="preserve"> </w:t>
      </w:r>
      <w:r w:rsidRPr="00974BC2">
        <w:rPr>
          <w:rFonts w:ascii="Times New Roman" w:hAnsi="Times New Roman" w:cs="Times New Roman"/>
          <w:sz w:val="24"/>
          <w:szCs w:val="24"/>
        </w:rPr>
        <w:t>Genomic Medicine Section, Hematology Branch, National Heart, Lung and Blood Institute, National Institutes of Health, Bethesda, MD</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b</w:t>
      </w:r>
      <w:r w:rsidRPr="00974BC2">
        <w:rPr>
          <w:rFonts w:ascii="Times New Roman" w:hAnsi="Times New Roman" w:cs="Times New Roman"/>
          <w:sz w:val="24"/>
          <w:szCs w:val="24"/>
        </w:rPr>
        <w:t xml:space="preserve"> Center for Cancer and Blood Diseases, Children’s National Medical Center, George Washington University School of Medicine and Health Sciences</w:t>
      </w:r>
      <w:r>
        <w:rPr>
          <w:rFonts w:ascii="Times New Roman" w:hAnsi="Times New Roman" w:cs="Times New Roman"/>
          <w:sz w:val="24"/>
          <w:szCs w:val="24"/>
        </w:rPr>
        <w:t>,</w:t>
      </w:r>
      <w:r w:rsidRPr="00974BC2">
        <w:rPr>
          <w:rFonts w:ascii="Times New Roman" w:hAnsi="Times New Roman" w:cs="Times New Roman"/>
          <w:sz w:val="24"/>
          <w:szCs w:val="24"/>
        </w:rPr>
        <w:t xml:space="preserve"> Washington, DC</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c </w:t>
      </w:r>
      <w:r w:rsidRPr="00974BC2">
        <w:rPr>
          <w:rFonts w:ascii="Times New Roman" w:hAnsi="Times New Roman" w:cs="Times New Roman"/>
          <w:sz w:val="24"/>
          <w:szCs w:val="24"/>
        </w:rPr>
        <w:t>Molecular Biology and Genetics Section, Molecular Medicine Branch, National Institute of Diabetes and Digestive and Kidney Diseases, National Institutes of Health, Bethesda, MD</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d </w:t>
      </w:r>
      <w:r w:rsidRPr="00974BC2">
        <w:rPr>
          <w:rFonts w:ascii="Times New Roman" w:hAnsi="Times New Roman" w:cs="Times New Roman"/>
          <w:sz w:val="24"/>
          <w:szCs w:val="24"/>
        </w:rPr>
        <w:t>Center for Mind-Body Research, Department of Psychiatry and Behavioral Sciences, Johns Hopkins Bayview Medical Center, Baltimore, MD</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e </w:t>
      </w:r>
      <w:r w:rsidRPr="00974BC2">
        <w:rPr>
          <w:rFonts w:ascii="Times New Roman" w:hAnsi="Times New Roman" w:cs="Times New Roman"/>
          <w:sz w:val="24"/>
          <w:szCs w:val="24"/>
        </w:rPr>
        <w:t>Office of Biostatistics Research, National Heart, Lung and Blood Institute, National Institutes of Health, Bethesda, MD</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f </w:t>
      </w:r>
      <w:r w:rsidRPr="00974BC2">
        <w:rPr>
          <w:rFonts w:ascii="Times New Roman" w:hAnsi="Times New Roman" w:cs="Times New Roman"/>
          <w:sz w:val="24"/>
          <w:szCs w:val="24"/>
        </w:rPr>
        <w:t>National Institutes of Health, Clinical Center, Bethesda, MD</w:t>
      </w:r>
      <w:r>
        <w:rPr>
          <w:rFonts w:ascii="Times New Roman" w:hAnsi="Times New Roman" w:cs="Times New Roman"/>
          <w:sz w:val="24"/>
          <w:szCs w:val="24"/>
        </w:rPr>
        <w:t>, USA</w:t>
      </w:r>
      <w:r w:rsidRPr="00974BC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g </w:t>
      </w:r>
      <w:r w:rsidRPr="00974BC2">
        <w:rPr>
          <w:rFonts w:ascii="Times New Roman" w:hAnsi="Times New Roman" w:cs="Times New Roman"/>
          <w:sz w:val="24"/>
          <w:szCs w:val="24"/>
        </w:rPr>
        <w:t>Department of Anesthesiology, University of Pittsburgh School of Medicine, Pittsburgh, Pennsylvania</w:t>
      </w:r>
      <w:r>
        <w:rPr>
          <w:rFonts w:ascii="Times New Roman" w:hAnsi="Times New Roman" w:cs="Times New Roman"/>
          <w:sz w:val="24"/>
          <w:szCs w:val="24"/>
        </w:rPr>
        <w:t xml:space="preserve">, USA; </w:t>
      </w:r>
      <w:r>
        <w:rPr>
          <w:rFonts w:ascii="Times New Roman" w:hAnsi="Times New Roman" w:cs="Times New Roman"/>
          <w:sz w:val="24"/>
          <w:szCs w:val="24"/>
          <w:vertAlign w:val="superscript"/>
        </w:rPr>
        <w:t xml:space="preserve">h </w:t>
      </w:r>
      <w:r w:rsidRPr="0036105C">
        <w:rPr>
          <w:rFonts w:ascii="Times New Roman" w:hAnsi="Times New Roman" w:cs="Times New Roman"/>
          <w:sz w:val="24"/>
          <w:szCs w:val="24"/>
        </w:rPr>
        <w:t>Office of Research on Women’s Health</w:t>
      </w:r>
      <w:r>
        <w:rPr>
          <w:rFonts w:ascii="Times New Roman" w:hAnsi="Times New Roman" w:cs="Times New Roman"/>
          <w:sz w:val="24"/>
          <w:szCs w:val="24"/>
        </w:rPr>
        <w:t xml:space="preserve">, National Institutes of Health, Bethesda, MD, USA; </w:t>
      </w:r>
      <w:proofErr w:type="spellStart"/>
      <w:r>
        <w:rPr>
          <w:rFonts w:ascii="Times New Roman" w:hAnsi="Times New Roman" w:cs="Times New Roman"/>
          <w:sz w:val="24"/>
          <w:szCs w:val="24"/>
          <w:vertAlign w:val="superscript"/>
        </w:rPr>
        <w:t>i</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Department of Medicine and Center for Sickle Cell Disease, Howard University College of Medicine, Washington, DC, USA</w:t>
      </w:r>
    </w:p>
    <w:p w:rsidR="00C54C3A" w:rsidRPr="008B2FE5" w:rsidRDefault="00C54C3A" w:rsidP="00C54C3A">
      <w:pPr>
        <w:spacing w:line="480" w:lineRule="auto"/>
        <w:rPr>
          <w:rFonts w:ascii="Times New Roman" w:hAnsi="Times New Roman" w:cs="Times New Roman"/>
          <w:b/>
          <w:sz w:val="24"/>
          <w:szCs w:val="24"/>
          <w:u w:val="single"/>
        </w:rPr>
      </w:pPr>
    </w:p>
    <w:p w:rsidR="00C54C3A" w:rsidRPr="00974BC2" w:rsidRDefault="00C54C3A" w:rsidP="00C54C3A">
      <w:pPr>
        <w:tabs>
          <w:tab w:val="left" w:pos="1040"/>
        </w:tabs>
        <w:spacing w:line="480" w:lineRule="auto"/>
        <w:rPr>
          <w:rFonts w:ascii="Times New Roman" w:hAnsi="Times New Roman" w:cs="Times New Roman"/>
          <w:sz w:val="24"/>
          <w:szCs w:val="24"/>
        </w:rPr>
      </w:pPr>
      <w:r w:rsidRPr="000F2300">
        <w:rPr>
          <w:rFonts w:ascii="Times New Roman" w:hAnsi="Times New Roman" w:cs="Times New Roman"/>
          <w:sz w:val="24"/>
          <w:szCs w:val="24"/>
        </w:rPr>
        <w:lastRenderedPageBreak/>
        <w:t>IB and JGT made equal contributions to this study.</w:t>
      </w:r>
    </w:p>
    <w:p w:rsidR="00C54C3A" w:rsidRDefault="00C54C3A" w:rsidP="00C54C3A">
      <w:pPr>
        <w:tabs>
          <w:tab w:val="left" w:pos="1040"/>
        </w:tabs>
        <w:spacing w:line="480" w:lineRule="auto"/>
        <w:rPr>
          <w:rStyle w:val="Hyperlink"/>
          <w:rFonts w:ascii="Times New Roman" w:hAnsi="Times New Roman" w:cs="Times New Roman"/>
          <w:color w:val="000000" w:themeColor="text1"/>
          <w:sz w:val="24"/>
          <w:szCs w:val="24"/>
        </w:rPr>
      </w:pPr>
      <w:r>
        <w:rPr>
          <w:rFonts w:ascii="Times New Roman" w:hAnsi="Times New Roman" w:cs="Times New Roman"/>
          <w:sz w:val="24"/>
          <w:szCs w:val="24"/>
        </w:rPr>
        <w:t>⃰</w:t>
      </w:r>
      <w:r w:rsidRPr="00974BC2">
        <w:rPr>
          <w:rFonts w:ascii="Times New Roman" w:hAnsi="Times New Roman" w:cs="Times New Roman"/>
          <w:sz w:val="24"/>
          <w:szCs w:val="24"/>
        </w:rPr>
        <w:t xml:space="preserve"> Corresponding author</w:t>
      </w:r>
      <w:r>
        <w:rPr>
          <w:rFonts w:ascii="Times New Roman" w:hAnsi="Times New Roman" w:cs="Times New Roman"/>
          <w:sz w:val="24"/>
          <w:szCs w:val="24"/>
        </w:rPr>
        <w:t xml:space="preserve">: </w:t>
      </w:r>
      <w:r w:rsidRPr="00974BC2">
        <w:rPr>
          <w:rFonts w:ascii="Times New Roman" w:hAnsi="Times New Roman" w:cs="Times New Roman"/>
          <w:sz w:val="24"/>
          <w:szCs w:val="24"/>
        </w:rPr>
        <w:t xml:space="preserve">James G. Taylor VI, M.D.; </w:t>
      </w:r>
      <w:r w:rsidRPr="00677F7A">
        <w:rPr>
          <w:rStyle w:val="Hyperlink"/>
          <w:rFonts w:ascii="Times New Roman" w:hAnsi="Times New Roman" w:cs="Times New Roman"/>
          <w:color w:val="000000" w:themeColor="text1"/>
          <w:sz w:val="24"/>
          <w:szCs w:val="24"/>
        </w:rPr>
        <w:t>Department of Me</w:t>
      </w:r>
      <w:r>
        <w:rPr>
          <w:rStyle w:val="Hyperlink"/>
          <w:rFonts w:ascii="Times New Roman" w:hAnsi="Times New Roman" w:cs="Times New Roman"/>
          <w:color w:val="000000" w:themeColor="text1"/>
          <w:sz w:val="24"/>
          <w:szCs w:val="24"/>
        </w:rPr>
        <w:t xml:space="preserve">dicine and Center for Sickle Cell Disease, Howard University College of Medicine, 2041 Georgia Avenue, Washington, DC 20060, USA; Phone +1 202-865-3118; Fax +1 </w:t>
      </w:r>
      <w:r w:rsidRPr="003347F7">
        <w:rPr>
          <w:rStyle w:val="Hyperlink"/>
          <w:rFonts w:ascii="Times New Roman" w:hAnsi="Times New Roman" w:cs="Times New Roman"/>
          <w:color w:val="000000" w:themeColor="text1"/>
          <w:sz w:val="24"/>
          <w:szCs w:val="24"/>
        </w:rPr>
        <w:t>202-232-6719</w:t>
      </w:r>
    </w:p>
    <w:p w:rsidR="00D718F8" w:rsidRPr="00C54C3A" w:rsidRDefault="00C54C3A" w:rsidP="00C54C3A">
      <w:pPr>
        <w:spacing w:line="480" w:lineRule="auto"/>
        <w:rPr>
          <w:rFonts w:ascii="Times New Roman" w:hAnsi="Times New Roman" w:cs="Times New Roman"/>
          <w:color w:val="000000" w:themeColor="text1"/>
          <w:sz w:val="24"/>
          <w:szCs w:val="24"/>
          <w:u w:val="single"/>
        </w:rPr>
      </w:pPr>
      <w:hyperlink r:id="rId6" w:history="1">
        <w:r w:rsidRPr="00E24A0A">
          <w:rPr>
            <w:rStyle w:val="Hyperlink"/>
            <w:rFonts w:ascii="Times New Roman" w:hAnsi="Times New Roman" w:cs="Times New Roman"/>
            <w:sz w:val="24"/>
            <w:szCs w:val="24"/>
          </w:rPr>
          <w:t>James.taylor2@howard.edu</w:t>
        </w:r>
      </w:hyperlink>
      <w:bookmarkStart w:id="0" w:name="_GoBack"/>
      <w:bookmarkEnd w:id="0"/>
      <w:r w:rsidR="00697EDE">
        <w:rPr>
          <w:rFonts w:ascii="Times New Roman" w:hAnsi="Times New Roman" w:cs="Times New Roman"/>
          <w:sz w:val="24"/>
          <w:szCs w:val="24"/>
        </w:rPr>
        <w:t xml:space="preserve"> </w:t>
      </w:r>
    </w:p>
    <w:p w:rsidR="00C70E68" w:rsidRPr="00C70E68" w:rsidRDefault="00C70E68" w:rsidP="0031228B">
      <w:pPr>
        <w:spacing w:after="200" w:line="276" w:lineRule="auto"/>
        <w:rPr>
          <w:rFonts w:ascii="Times New Roman" w:hAnsi="Times New Roman" w:cs="Times New Roman"/>
          <w:sz w:val="24"/>
          <w:szCs w:val="24"/>
        </w:rPr>
      </w:pPr>
      <w:r w:rsidRPr="00C70E68">
        <w:rPr>
          <w:rFonts w:ascii="Times New Roman" w:hAnsi="Times New Roman" w:cs="Times New Roman"/>
          <w:sz w:val="24"/>
          <w:szCs w:val="24"/>
        </w:rPr>
        <w:br w:type="page"/>
      </w:r>
    </w:p>
    <w:p w:rsidR="00BE67E0" w:rsidRDefault="002A5BC2">
      <w:pPr>
        <w:spacing w:after="200" w:line="276"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Supplemental Fig.</w:t>
      </w:r>
      <w:r w:rsidRPr="00251C5B">
        <w:rPr>
          <w:rFonts w:ascii="Times New Roman" w:hAnsi="Times New Roman" w:cs="Times New Roman"/>
          <w:b/>
          <w:sz w:val="24"/>
          <w:szCs w:val="24"/>
        </w:rPr>
        <w:t xml:space="preserve"> </w:t>
      </w:r>
      <w:r w:rsidR="00BE67E0">
        <w:rPr>
          <w:rFonts w:ascii="Times New Roman" w:hAnsi="Times New Roman" w:cs="Times New Roman"/>
          <w:b/>
          <w:sz w:val="24"/>
          <w:szCs w:val="24"/>
        </w:rPr>
        <w:t>1</w:t>
      </w:r>
      <w:r>
        <w:rPr>
          <w:rFonts w:ascii="Times New Roman" w:hAnsi="Times New Roman" w:cs="Times New Roman"/>
          <w:b/>
          <w:sz w:val="24"/>
          <w:szCs w:val="24"/>
        </w:rPr>
        <w:t>.</w:t>
      </w:r>
      <w:proofErr w:type="gramEnd"/>
      <w:r>
        <w:rPr>
          <w:rFonts w:ascii="Times New Roman" w:hAnsi="Times New Roman" w:cs="Times New Roman"/>
          <w:b/>
          <w:sz w:val="24"/>
          <w:szCs w:val="24"/>
        </w:rPr>
        <w:t xml:space="preserve">  Recruitment of a Cross Sectional Sample of Adults with Sickle Cell Anemia and Age and Sex Matched Controls.  </w:t>
      </w:r>
      <w:r w:rsidR="00BE67E0">
        <w:rPr>
          <w:rFonts w:ascii="Times New Roman" w:hAnsi="Times New Roman" w:cs="Times New Roman"/>
          <w:sz w:val="24"/>
          <w:szCs w:val="24"/>
        </w:rPr>
        <w:t xml:space="preserve">Most subjects with sickle cell anemia were approached in order of enrollment on the Bethesda Sickle Cell Cohort Study from January, 2011 onward.  The first 28 SS subjects identified and approached using this strategy enrolled on the pain study.  Two additional subjects </w:t>
      </w:r>
      <w:r w:rsidR="003832CD">
        <w:rPr>
          <w:rFonts w:ascii="Times New Roman" w:hAnsi="Times New Roman" w:cs="Times New Roman"/>
          <w:sz w:val="24"/>
          <w:szCs w:val="24"/>
        </w:rPr>
        <w:t>contacted</w:t>
      </w:r>
      <w:r w:rsidR="00BE67E0">
        <w:rPr>
          <w:rFonts w:ascii="Times New Roman" w:hAnsi="Times New Roman" w:cs="Times New Roman"/>
          <w:sz w:val="24"/>
          <w:szCs w:val="24"/>
        </w:rPr>
        <w:t xml:space="preserve"> the study team regarding participation and were consented to the study.  Normal volunteers were screened for sickle cell trait if they met other entry criteria (age, sex match to SS subject; no history of chronic pain).  Thirty out of 36 screened controls were enrolled on the study and underwent quantitative sensory testing along with the 30 sickle cell anemia subjects. SS=sickle cell anemia; NV=normal volunteer.</w:t>
      </w:r>
    </w:p>
    <w:p w:rsidR="002A5BC2" w:rsidRDefault="00BE67E0">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Diagram Recruitment 2017.tif"/>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002A5BC2">
        <w:rPr>
          <w:rFonts w:ascii="Times New Roman" w:hAnsi="Times New Roman" w:cs="Times New Roman"/>
          <w:b/>
          <w:sz w:val="24"/>
          <w:szCs w:val="24"/>
        </w:rPr>
        <w:br w:type="page"/>
      </w:r>
    </w:p>
    <w:p w:rsidR="00A80BEE" w:rsidRPr="00BB60A3" w:rsidRDefault="008969C7" w:rsidP="00A80BEE">
      <w:pPr>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Supplemental </w:t>
      </w:r>
      <w:r w:rsidR="00697EDE">
        <w:rPr>
          <w:rFonts w:ascii="Times New Roman" w:hAnsi="Times New Roman" w:cs="Times New Roman"/>
          <w:b/>
          <w:sz w:val="24"/>
          <w:szCs w:val="24"/>
        </w:rPr>
        <w:t>Fig.</w:t>
      </w:r>
      <w:r w:rsidR="00C56B25" w:rsidRPr="00251C5B">
        <w:rPr>
          <w:rFonts w:ascii="Times New Roman" w:hAnsi="Times New Roman" w:cs="Times New Roman"/>
          <w:b/>
          <w:sz w:val="24"/>
          <w:szCs w:val="24"/>
        </w:rPr>
        <w:t xml:space="preserve"> </w:t>
      </w:r>
      <w:r w:rsidR="002A5BC2">
        <w:rPr>
          <w:rFonts w:ascii="Times New Roman" w:hAnsi="Times New Roman" w:cs="Times New Roman"/>
          <w:b/>
          <w:sz w:val="24"/>
          <w:szCs w:val="24"/>
        </w:rPr>
        <w:t>2</w:t>
      </w:r>
      <w:r w:rsidR="00C56B25">
        <w:rPr>
          <w:rFonts w:ascii="Times New Roman" w:hAnsi="Times New Roman" w:cs="Times New Roman"/>
          <w:b/>
          <w:sz w:val="24"/>
          <w:szCs w:val="24"/>
        </w:rPr>
        <w:t>.</w:t>
      </w:r>
      <w:proofErr w:type="gramEnd"/>
      <w:r w:rsidR="00C56B25">
        <w:rPr>
          <w:rFonts w:ascii="Times New Roman" w:hAnsi="Times New Roman" w:cs="Times New Roman"/>
          <w:b/>
          <w:sz w:val="24"/>
          <w:szCs w:val="24"/>
        </w:rPr>
        <w:t xml:space="preserve">  </w:t>
      </w:r>
      <w:proofErr w:type="gramStart"/>
      <w:r w:rsidR="00C56B25">
        <w:rPr>
          <w:rFonts w:ascii="Times New Roman" w:hAnsi="Times New Roman" w:cs="Times New Roman"/>
          <w:b/>
          <w:sz w:val="24"/>
          <w:szCs w:val="24"/>
        </w:rPr>
        <w:t>Conditioned pain modulation testing.</w:t>
      </w:r>
      <w:proofErr w:type="gramEnd"/>
      <w:r w:rsidR="00C56B25">
        <w:rPr>
          <w:rFonts w:ascii="Times New Roman" w:hAnsi="Times New Roman" w:cs="Times New Roman"/>
          <w:b/>
          <w:sz w:val="24"/>
          <w:szCs w:val="24"/>
        </w:rPr>
        <w:t xml:space="preserve">  </w:t>
      </w:r>
      <w:r w:rsidR="00697EDE">
        <w:rPr>
          <w:rFonts w:ascii="Times New Roman" w:hAnsi="Times New Roman" w:cs="Times New Roman"/>
          <w:sz w:val="24"/>
          <w:szCs w:val="24"/>
        </w:rPr>
        <w:t xml:space="preserve">(A) </w:t>
      </w:r>
      <w:r w:rsidR="00C56B25">
        <w:rPr>
          <w:rFonts w:ascii="Times New Roman" w:hAnsi="Times New Roman" w:cs="Times New Roman"/>
          <w:sz w:val="24"/>
          <w:szCs w:val="24"/>
        </w:rPr>
        <w:t>Heat pain threshold pain scores were determined using the Medoc analyzer on the volar forearm when the contralateral hand was in either no water bath, a room temperature water bath (habituation test) or a hot water bath (the CPM or inhibitory second stimulus).  NVs had a non-significant decline in pain scores during CPM testing (p=0.42) while pain scores were unchanged for sickle cell subjects.</w:t>
      </w:r>
    </w:p>
    <w:p w:rsidR="00A80BEE" w:rsidRPr="00BB60A3" w:rsidRDefault="00A80BEE" w:rsidP="00A80BEE">
      <w:pPr>
        <w:rPr>
          <w:rFonts w:ascii="Times New Roman" w:hAnsi="Times New Roman" w:cs="Times New Roman"/>
          <w:sz w:val="24"/>
          <w:szCs w:val="24"/>
        </w:rPr>
      </w:pPr>
    </w:p>
    <w:p w:rsidR="00D33C08" w:rsidRDefault="00C56B25">
      <w:r>
        <w:rPr>
          <w:rFonts w:ascii="Times New Roman" w:hAnsi="Times New Roman" w:cs="Times New Roman"/>
          <w:b/>
          <w:noProof/>
          <w:sz w:val="24"/>
          <w:szCs w:val="24"/>
        </w:rPr>
        <w:drawing>
          <wp:inline distT="0" distB="0" distL="0" distR="0" wp14:anchorId="7B647498" wp14:editId="57D9D863">
            <wp:extent cx="5932466" cy="27260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_01032015.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8671" cy="2728870"/>
                    </a:xfrm>
                    <a:prstGeom prst="rect">
                      <a:avLst/>
                    </a:prstGeom>
                  </pic:spPr>
                </pic:pic>
              </a:graphicData>
            </a:graphic>
          </wp:inline>
        </w:drawing>
      </w:r>
    </w:p>
    <w:p w:rsidR="00D33C08" w:rsidRDefault="00D33C08">
      <w:pPr>
        <w:spacing w:after="200" w:line="276" w:lineRule="auto"/>
      </w:pPr>
      <w:r>
        <w:br w:type="page"/>
      </w:r>
    </w:p>
    <w:p w:rsidR="00D33C08" w:rsidRDefault="00D33C08" w:rsidP="00D33C08">
      <w:pPr>
        <w:pStyle w:val="ListParagraph"/>
        <w:ind w:left="0"/>
        <w:rPr>
          <w:rFonts w:ascii="Times New Roman" w:hAnsi="Times New Roman" w:cs="Times New Roman"/>
          <w:sz w:val="24"/>
          <w:szCs w:val="24"/>
        </w:rPr>
        <w:sectPr w:rsidR="00D33C08">
          <w:pgSz w:w="12240" w:h="15840"/>
          <w:pgMar w:top="1440" w:right="1440" w:bottom="1440" w:left="1440" w:header="720" w:footer="720" w:gutter="0"/>
          <w:cols w:space="720"/>
          <w:docGrid w:linePitch="360"/>
        </w:sectPr>
      </w:pPr>
    </w:p>
    <w:p w:rsidR="001B16AC" w:rsidRPr="00B37131" w:rsidRDefault="008969C7" w:rsidP="001B16AC">
      <w:pPr>
        <w:pStyle w:val="ListParagraph"/>
        <w:ind w:left="0"/>
        <w:rPr>
          <w:rFonts w:ascii="Times New Roman" w:hAnsi="Times New Roman" w:cs="Times New Roman"/>
          <w:sz w:val="24"/>
          <w:szCs w:val="24"/>
        </w:rPr>
      </w:pPr>
      <w:proofErr w:type="gramStart"/>
      <w:r w:rsidRPr="00B37131">
        <w:rPr>
          <w:rFonts w:ascii="Times New Roman" w:hAnsi="Times New Roman" w:cs="Times New Roman"/>
          <w:b/>
          <w:sz w:val="24"/>
          <w:szCs w:val="24"/>
        </w:rPr>
        <w:lastRenderedPageBreak/>
        <w:t xml:space="preserve">Supplemental Table </w:t>
      </w:r>
      <w:r w:rsidR="00C56B25" w:rsidRPr="00B37131">
        <w:rPr>
          <w:rFonts w:ascii="Times New Roman" w:hAnsi="Times New Roman" w:cs="Times New Roman"/>
          <w:b/>
          <w:sz w:val="24"/>
          <w:szCs w:val="24"/>
        </w:rPr>
        <w:t>1</w:t>
      </w:r>
      <w:r w:rsidR="001B16AC" w:rsidRPr="00B37131">
        <w:rPr>
          <w:rFonts w:ascii="Times New Roman" w:hAnsi="Times New Roman" w:cs="Times New Roman"/>
          <w:b/>
          <w:sz w:val="24"/>
          <w:szCs w:val="24"/>
        </w:rPr>
        <w:t>.</w:t>
      </w:r>
      <w:proofErr w:type="gramEnd"/>
      <w:r w:rsidR="001B16AC" w:rsidRPr="00B37131">
        <w:rPr>
          <w:rFonts w:ascii="Times New Roman" w:hAnsi="Times New Roman" w:cs="Times New Roman"/>
          <w:b/>
          <w:sz w:val="24"/>
          <w:szCs w:val="24"/>
        </w:rPr>
        <w:t xml:space="preserve"> No differences between sickle cell anemia and normal volunteers in mechanical light touch testing using von Frey filaments. </w:t>
      </w:r>
      <w:r w:rsidR="001B16AC" w:rsidRPr="00B37131">
        <w:rPr>
          <w:rFonts w:ascii="Times New Roman" w:hAnsi="Times New Roman" w:cs="Times New Roman"/>
          <w:sz w:val="24"/>
          <w:szCs w:val="24"/>
        </w:rPr>
        <w:t>Ascending filament pressure was defined as the pressure recorded where the subject first felt the sensation of touch with a filament during testing with sequential ascending filaments (smallest to largest). Descending filament pressure was defined as the pressure recorded where the subject first noted to absence of a touch sensation during testing with sequential descending filaments (largest to smallest).</w:t>
      </w:r>
    </w:p>
    <w:p w:rsidR="001B16AC" w:rsidRDefault="001B16AC" w:rsidP="001B16AC">
      <w:pPr>
        <w:pStyle w:val="ListParagraph"/>
        <w:ind w:left="0"/>
        <w:rPr>
          <w:rFonts w:ascii="Times New Roman" w:hAnsi="Times New Roman" w:cs="Times New Roman"/>
          <w:sz w:val="24"/>
          <w:szCs w:val="24"/>
        </w:rPr>
      </w:pPr>
    </w:p>
    <w:tbl>
      <w:tblPr>
        <w:tblStyle w:val="TableGrid"/>
        <w:tblW w:w="9180" w:type="dxa"/>
        <w:tblInd w:w="108" w:type="dxa"/>
        <w:tblLook w:val="04A0" w:firstRow="1" w:lastRow="0" w:firstColumn="1" w:lastColumn="0" w:noHBand="0" w:noVBand="1"/>
      </w:tblPr>
      <w:tblGrid>
        <w:gridCol w:w="2520"/>
        <w:gridCol w:w="2610"/>
        <w:gridCol w:w="2520"/>
        <w:gridCol w:w="1530"/>
      </w:tblGrid>
      <w:tr w:rsidR="001B16AC" w:rsidTr="00DA1099">
        <w:tc>
          <w:tcPr>
            <w:tcW w:w="2520" w:type="dxa"/>
          </w:tcPr>
          <w:p w:rsidR="001B16AC" w:rsidRPr="00D718F8" w:rsidRDefault="00D718F8" w:rsidP="00270E65">
            <w:pPr>
              <w:pStyle w:val="ListParagraph"/>
              <w:ind w:left="0"/>
              <w:rPr>
                <w:rFonts w:ascii="Times New Roman" w:hAnsi="Times New Roman" w:cs="Times New Roman"/>
                <w:b/>
                <w:sz w:val="16"/>
                <w:szCs w:val="16"/>
              </w:rPr>
            </w:pPr>
            <w:r>
              <w:rPr>
                <w:rFonts w:ascii="Times New Roman" w:hAnsi="Times New Roman" w:cs="Times New Roman"/>
                <w:b/>
                <w:sz w:val="16"/>
                <w:szCs w:val="16"/>
              </w:rPr>
              <w:t>von Frey Testing Method</w:t>
            </w:r>
          </w:p>
        </w:tc>
        <w:tc>
          <w:tcPr>
            <w:tcW w:w="2610" w:type="dxa"/>
          </w:tcPr>
          <w:p w:rsidR="001B16AC" w:rsidRPr="00D718F8" w:rsidRDefault="001B16AC" w:rsidP="00270E65">
            <w:pPr>
              <w:jc w:val="center"/>
              <w:rPr>
                <w:rFonts w:ascii="Times New Roman" w:eastAsia="Times New Roman" w:hAnsi="Times New Roman" w:cs="Times New Roman"/>
                <w:b/>
                <w:sz w:val="16"/>
                <w:szCs w:val="16"/>
              </w:rPr>
            </w:pPr>
            <w:r w:rsidRPr="00D718F8">
              <w:rPr>
                <w:rFonts w:ascii="Times New Roman" w:eastAsia="Times New Roman" w:hAnsi="Times New Roman" w:cs="Times New Roman"/>
                <w:b/>
                <w:sz w:val="16"/>
                <w:szCs w:val="16"/>
              </w:rPr>
              <w:t>SS (n=30)</w:t>
            </w:r>
          </w:p>
          <w:p w:rsidR="001B16AC" w:rsidRPr="00D718F8" w:rsidRDefault="00D718F8" w:rsidP="00270E65">
            <w:pPr>
              <w:jc w:val="center"/>
              <w:rPr>
                <w:rFonts w:ascii="Times New Roman" w:hAnsi="Times New Roman" w:cs="Times New Roman"/>
                <w:b/>
                <w:sz w:val="16"/>
                <w:szCs w:val="16"/>
              </w:rPr>
            </w:pPr>
            <w:r>
              <w:rPr>
                <w:rFonts w:ascii="Times New Roman" w:eastAsia="Times New Roman" w:hAnsi="Times New Roman" w:cs="Times New Roman"/>
                <w:b/>
                <w:sz w:val="16"/>
                <w:szCs w:val="16"/>
              </w:rPr>
              <w:t xml:space="preserve">Mean </w:t>
            </w:r>
            <w:r w:rsidR="001B16AC" w:rsidRPr="00D718F8">
              <w:rPr>
                <w:rFonts w:ascii="Times New Roman" w:eastAsia="Times New Roman" w:hAnsi="Times New Roman" w:cs="Times New Roman"/>
                <w:b/>
                <w:sz w:val="16"/>
                <w:szCs w:val="16"/>
              </w:rPr>
              <w:t>Filament Pressure (SD)</w:t>
            </w:r>
          </w:p>
        </w:tc>
        <w:tc>
          <w:tcPr>
            <w:tcW w:w="2520" w:type="dxa"/>
          </w:tcPr>
          <w:p w:rsidR="001B16AC" w:rsidRPr="00D718F8" w:rsidRDefault="001B16AC" w:rsidP="00270E65">
            <w:pPr>
              <w:jc w:val="center"/>
              <w:rPr>
                <w:rFonts w:ascii="Times New Roman" w:eastAsia="Times New Roman" w:hAnsi="Times New Roman" w:cs="Times New Roman"/>
                <w:b/>
                <w:sz w:val="16"/>
                <w:szCs w:val="16"/>
              </w:rPr>
            </w:pPr>
            <w:r w:rsidRPr="00D718F8">
              <w:rPr>
                <w:rFonts w:ascii="Times New Roman" w:eastAsia="Times New Roman" w:hAnsi="Times New Roman" w:cs="Times New Roman"/>
                <w:b/>
                <w:sz w:val="16"/>
                <w:szCs w:val="16"/>
              </w:rPr>
              <w:t>Normal Volunteer (n=30)</w:t>
            </w:r>
          </w:p>
          <w:p w:rsidR="001B16AC" w:rsidRPr="00D718F8" w:rsidRDefault="00D718F8" w:rsidP="00270E65">
            <w:pPr>
              <w:jc w:val="center"/>
              <w:rPr>
                <w:rFonts w:ascii="Times New Roman" w:hAnsi="Times New Roman" w:cs="Times New Roman"/>
                <w:b/>
                <w:sz w:val="16"/>
                <w:szCs w:val="16"/>
              </w:rPr>
            </w:pPr>
            <w:r>
              <w:rPr>
                <w:rFonts w:ascii="Times New Roman" w:eastAsia="Times New Roman" w:hAnsi="Times New Roman" w:cs="Times New Roman"/>
                <w:b/>
                <w:sz w:val="16"/>
                <w:szCs w:val="16"/>
              </w:rPr>
              <w:t xml:space="preserve">Mean </w:t>
            </w:r>
            <w:r w:rsidR="001B16AC" w:rsidRPr="00D718F8">
              <w:rPr>
                <w:rFonts w:ascii="Times New Roman" w:eastAsia="Times New Roman" w:hAnsi="Times New Roman" w:cs="Times New Roman"/>
                <w:b/>
                <w:sz w:val="16"/>
                <w:szCs w:val="16"/>
              </w:rPr>
              <w:t>Filament Pressure (SD)</w:t>
            </w:r>
          </w:p>
        </w:tc>
        <w:tc>
          <w:tcPr>
            <w:tcW w:w="1530" w:type="dxa"/>
          </w:tcPr>
          <w:p w:rsidR="001B16AC" w:rsidRPr="00D718F8" w:rsidRDefault="001B16AC" w:rsidP="00270E65">
            <w:pPr>
              <w:pStyle w:val="ListParagraph"/>
              <w:ind w:left="0"/>
              <w:jc w:val="center"/>
              <w:rPr>
                <w:rFonts w:ascii="Times New Roman" w:hAnsi="Times New Roman" w:cs="Times New Roman"/>
                <w:b/>
                <w:sz w:val="16"/>
                <w:szCs w:val="16"/>
              </w:rPr>
            </w:pPr>
            <w:r w:rsidRPr="00D718F8">
              <w:rPr>
                <w:rFonts w:ascii="Times New Roman" w:hAnsi="Times New Roman" w:cs="Times New Roman"/>
                <w:b/>
                <w:sz w:val="16"/>
                <w:szCs w:val="16"/>
              </w:rPr>
              <w:t>p value</w:t>
            </w:r>
          </w:p>
        </w:tc>
      </w:tr>
      <w:tr w:rsidR="001B16AC" w:rsidTr="00DA1099">
        <w:tc>
          <w:tcPr>
            <w:tcW w:w="2520" w:type="dxa"/>
          </w:tcPr>
          <w:p w:rsidR="001B16AC" w:rsidRPr="00D718F8" w:rsidRDefault="00D718F8" w:rsidP="00270E65">
            <w:pPr>
              <w:pStyle w:val="ListParagraph"/>
              <w:ind w:left="0"/>
              <w:rPr>
                <w:rFonts w:ascii="Times New Roman" w:hAnsi="Times New Roman" w:cs="Times New Roman"/>
                <w:sz w:val="16"/>
                <w:szCs w:val="16"/>
              </w:rPr>
            </w:pPr>
            <w:r w:rsidRPr="00D718F8">
              <w:rPr>
                <w:rFonts w:ascii="Times New Roman" w:hAnsi="Times New Roman" w:cs="Times New Roman"/>
                <w:sz w:val="16"/>
                <w:szCs w:val="16"/>
              </w:rPr>
              <w:t>Ascending filaments</w:t>
            </w:r>
            <w:r w:rsidR="00DA1099">
              <w:rPr>
                <w:rFonts w:ascii="Times New Roman" w:hAnsi="Times New Roman" w:cs="Times New Roman"/>
                <w:sz w:val="16"/>
                <w:szCs w:val="16"/>
              </w:rPr>
              <w:t xml:space="preserve"> (grams)</w:t>
            </w:r>
          </w:p>
        </w:tc>
        <w:tc>
          <w:tcPr>
            <w:tcW w:w="261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0.33 (0.52)</w:t>
            </w:r>
          </w:p>
        </w:tc>
        <w:tc>
          <w:tcPr>
            <w:tcW w:w="252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0.33 (0.57)</w:t>
            </w:r>
          </w:p>
        </w:tc>
        <w:tc>
          <w:tcPr>
            <w:tcW w:w="153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0.96</w:t>
            </w:r>
          </w:p>
        </w:tc>
      </w:tr>
      <w:tr w:rsidR="001B16AC" w:rsidTr="00DA1099">
        <w:tc>
          <w:tcPr>
            <w:tcW w:w="2520" w:type="dxa"/>
          </w:tcPr>
          <w:p w:rsidR="001B16AC" w:rsidRPr="00D718F8" w:rsidRDefault="00D718F8" w:rsidP="00270E65">
            <w:pPr>
              <w:pStyle w:val="ListParagraph"/>
              <w:ind w:left="0"/>
              <w:rPr>
                <w:rFonts w:ascii="Times New Roman" w:hAnsi="Times New Roman" w:cs="Times New Roman"/>
                <w:sz w:val="16"/>
                <w:szCs w:val="16"/>
              </w:rPr>
            </w:pPr>
            <w:r w:rsidRPr="00D718F8">
              <w:rPr>
                <w:rFonts w:ascii="Times New Roman" w:hAnsi="Times New Roman" w:cs="Times New Roman"/>
                <w:sz w:val="16"/>
                <w:szCs w:val="16"/>
              </w:rPr>
              <w:t>Descending filaments</w:t>
            </w:r>
            <w:r w:rsidR="00DA1099">
              <w:rPr>
                <w:rFonts w:ascii="Times New Roman" w:hAnsi="Times New Roman" w:cs="Times New Roman"/>
                <w:sz w:val="16"/>
                <w:szCs w:val="16"/>
              </w:rPr>
              <w:t xml:space="preserve"> (grams)</w:t>
            </w:r>
          </w:p>
        </w:tc>
        <w:tc>
          <w:tcPr>
            <w:tcW w:w="261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0.98 (1.06)</w:t>
            </w:r>
          </w:p>
        </w:tc>
        <w:tc>
          <w:tcPr>
            <w:tcW w:w="252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1.00 (1.59)</w:t>
            </w:r>
          </w:p>
        </w:tc>
        <w:tc>
          <w:tcPr>
            <w:tcW w:w="1530" w:type="dxa"/>
          </w:tcPr>
          <w:p w:rsidR="001B16AC" w:rsidRPr="00D718F8" w:rsidRDefault="00D718F8" w:rsidP="00D718F8">
            <w:pPr>
              <w:pStyle w:val="ListParagraph"/>
              <w:ind w:left="0"/>
              <w:jc w:val="center"/>
              <w:rPr>
                <w:rFonts w:ascii="Times New Roman" w:hAnsi="Times New Roman" w:cs="Times New Roman"/>
                <w:sz w:val="16"/>
                <w:szCs w:val="16"/>
              </w:rPr>
            </w:pPr>
            <w:r w:rsidRPr="00D718F8">
              <w:rPr>
                <w:rFonts w:ascii="Times New Roman" w:hAnsi="Times New Roman" w:cs="Times New Roman"/>
                <w:sz w:val="16"/>
                <w:szCs w:val="16"/>
              </w:rPr>
              <w:t>0.95</w:t>
            </w:r>
          </w:p>
        </w:tc>
      </w:tr>
    </w:tbl>
    <w:p w:rsidR="00E428D2" w:rsidRDefault="00E428D2">
      <w:pPr>
        <w:spacing w:after="200" w:line="276" w:lineRule="auto"/>
        <w:rPr>
          <w:rFonts w:ascii="Times New Roman" w:hAnsi="Times New Roman" w:cs="Times New Roman"/>
          <w:sz w:val="24"/>
          <w:szCs w:val="24"/>
        </w:rPr>
      </w:pPr>
    </w:p>
    <w:p w:rsidR="006C6762" w:rsidRPr="005F1E95" w:rsidRDefault="006C6762">
      <w:pPr>
        <w:spacing w:after="200" w:line="276" w:lineRule="auto"/>
        <w:rPr>
          <w:rFonts w:ascii="Times New Roman" w:hAnsi="Times New Roman" w:cs="Times New Roman"/>
          <w:sz w:val="24"/>
          <w:szCs w:val="24"/>
        </w:rPr>
      </w:pPr>
    </w:p>
    <w:sectPr w:rsidR="006C6762" w:rsidRPr="005F1E95" w:rsidSect="00380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967DB"/>
    <w:multiLevelType w:val="hybridMultilevel"/>
    <w:tmpl w:val="B316E978"/>
    <w:lvl w:ilvl="0" w:tplc="D12E90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fxdrfxzgds552e995x52psixsfpvzzdfwvv&quot;&gt;SCD_QST_09092014&lt;record-ids&gt;&lt;item&gt;1&lt;/item&gt;&lt;item&gt;8&lt;/item&gt;&lt;item&gt;19&lt;/item&gt;&lt;item&gt;20&lt;/item&gt;&lt;item&gt;116&lt;/item&gt;&lt;item&gt;117&lt;/item&gt;&lt;/record-ids&gt;&lt;/item&gt;&lt;/Libraries&gt;"/>
  </w:docVars>
  <w:rsids>
    <w:rsidRoot w:val="00A80BEE"/>
    <w:rsid w:val="00032642"/>
    <w:rsid w:val="00045A33"/>
    <w:rsid w:val="00057B5F"/>
    <w:rsid w:val="000A0BDE"/>
    <w:rsid w:val="000C427E"/>
    <w:rsid w:val="000F641C"/>
    <w:rsid w:val="00103C8E"/>
    <w:rsid w:val="00124F01"/>
    <w:rsid w:val="001258AD"/>
    <w:rsid w:val="00136644"/>
    <w:rsid w:val="001B16AC"/>
    <w:rsid w:val="001B6A9E"/>
    <w:rsid w:val="00251C5B"/>
    <w:rsid w:val="00270E65"/>
    <w:rsid w:val="002A0347"/>
    <w:rsid w:val="002A5BC2"/>
    <w:rsid w:val="002F7C8B"/>
    <w:rsid w:val="0031228B"/>
    <w:rsid w:val="00315603"/>
    <w:rsid w:val="003801EE"/>
    <w:rsid w:val="003832CD"/>
    <w:rsid w:val="003B1416"/>
    <w:rsid w:val="004A4217"/>
    <w:rsid w:val="004B2D35"/>
    <w:rsid w:val="004D51FD"/>
    <w:rsid w:val="004F3BF0"/>
    <w:rsid w:val="004F5450"/>
    <w:rsid w:val="00517834"/>
    <w:rsid w:val="0055472F"/>
    <w:rsid w:val="005C6729"/>
    <w:rsid w:val="005E0BE9"/>
    <w:rsid w:val="005F1E95"/>
    <w:rsid w:val="00600FE0"/>
    <w:rsid w:val="00612E9C"/>
    <w:rsid w:val="00617B0B"/>
    <w:rsid w:val="0065378E"/>
    <w:rsid w:val="00697EDE"/>
    <w:rsid w:val="006A432A"/>
    <w:rsid w:val="006B7D3F"/>
    <w:rsid w:val="006C6762"/>
    <w:rsid w:val="006F0BC8"/>
    <w:rsid w:val="006F180B"/>
    <w:rsid w:val="0076476F"/>
    <w:rsid w:val="00780D90"/>
    <w:rsid w:val="007C7AE1"/>
    <w:rsid w:val="00835C22"/>
    <w:rsid w:val="00886BAD"/>
    <w:rsid w:val="008969C7"/>
    <w:rsid w:val="008C6110"/>
    <w:rsid w:val="00913A94"/>
    <w:rsid w:val="00934B95"/>
    <w:rsid w:val="00941B7F"/>
    <w:rsid w:val="009455FC"/>
    <w:rsid w:val="009B75F7"/>
    <w:rsid w:val="00A66E86"/>
    <w:rsid w:val="00A80BEE"/>
    <w:rsid w:val="00B03E7E"/>
    <w:rsid w:val="00B37131"/>
    <w:rsid w:val="00B82336"/>
    <w:rsid w:val="00BE200A"/>
    <w:rsid w:val="00BE67E0"/>
    <w:rsid w:val="00C36397"/>
    <w:rsid w:val="00C54C3A"/>
    <w:rsid w:val="00C56B25"/>
    <w:rsid w:val="00C575A0"/>
    <w:rsid w:val="00C667D8"/>
    <w:rsid w:val="00C70E68"/>
    <w:rsid w:val="00CB45D1"/>
    <w:rsid w:val="00CC478B"/>
    <w:rsid w:val="00CE3BB2"/>
    <w:rsid w:val="00D129B7"/>
    <w:rsid w:val="00D155C4"/>
    <w:rsid w:val="00D33C08"/>
    <w:rsid w:val="00D718F8"/>
    <w:rsid w:val="00DA1099"/>
    <w:rsid w:val="00DA5CC8"/>
    <w:rsid w:val="00DB61DE"/>
    <w:rsid w:val="00DC7645"/>
    <w:rsid w:val="00E428D2"/>
    <w:rsid w:val="00E43C88"/>
    <w:rsid w:val="00EF653C"/>
    <w:rsid w:val="00F03EFA"/>
    <w:rsid w:val="00F17A52"/>
    <w:rsid w:val="00F80D62"/>
    <w:rsid w:val="00FD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C08"/>
    <w:pPr>
      <w:ind w:left="720"/>
      <w:contextualSpacing/>
    </w:pPr>
  </w:style>
  <w:style w:type="paragraph" w:styleId="BalloonText">
    <w:name w:val="Balloon Text"/>
    <w:basedOn w:val="Normal"/>
    <w:link w:val="BalloonTextChar"/>
    <w:uiPriority w:val="99"/>
    <w:semiHidden/>
    <w:unhideWhenUsed/>
    <w:rsid w:val="00C56B25"/>
    <w:rPr>
      <w:rFonts w:ascii="Tahoma" w:hAnsi="Tahoma" w:cs="Tahoma"/>
      <w:sz w:val="16"/>
      <w:szCs w:val="16"/>
    </w:rPr>
  </w:style>
  <w:style w:type="character" w:customStyle="1" w:styleId="BalloonTextChar">
    <w:name w:val="Balloon Text Char"/>
    <w:basedOn w:val="DefaultParagraphFont"/>
    <w:link w:val="BalloonText"/>
    <w:uiPriority w:val="99"/>
    <w:semiHidden/>
    <w:rsid w:val="00C56B25"/>
    <w:rPr>
      <w:rFonts w:ascii="Tahoma" w:hAnsi="Tahoma" w:cs="Tahoma"/>
      <w:sz w:val="16"/>
      <w:szCs w:val="16"/>
    </w:rPr>
  </w:style>
  <w:style w:type="character" w:styleId="Hyperlink">
    <w:name w:val="Hyperlink"/>
    <w:basedOn w:val="DefaultParagraphFont"/>
    <w:uiPriority w:val="99"/>
    <w:unhideWhenUsed/>
    <w:rsid w:val="00D71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C08"/>
    <w:pPr>
      <w:ind w:left="720"/>
      <w:contextualSpacing/>
    </w:pPr>
  </w:style>
  <w:style w:type="paragraph" w:styleId="BalloonText">
    <w:name w:val="Balloon Text"/>
    <w:basedOn w:val="Normal"/>
    <w:link w:val="BalloonTextChar"/>
    <w:uiPriority w:val="99"/>
    <w:semiHidden/>
    <w:unhideWhenUsed/>
    <w:rsid w:val="00C56B25"/>
    <w:rPr>
      <w:rFonts w:ascii="Tahoma" w:hAnsi="Tahoma" w:cs="Tahoma"/>
      <w:sz w:val="16"/>
      <w:szCs w:val="16"/>
    </w:rPr>
  </w:style>
  <w:style w:type="character" w:customStyle="1" w:styleId="BalloonTextChar">
    <w:name w:val="Balloon Text Char"/>
    <w:basedOn w:val="DefaultParagraphFont"/>
    <w:link w:val="BalloonText"/>
    <w:uiPriority w:val="99"/>
    <w:semiHidden/>
    <w:rsid w:val="00C56B25"/>
    <w:rPr>
      <w:rFonts w:ascii="Tahoma" w:hAnsi="Tahoma" w:cs="Tahoma"/>
      <w:sz w:val="16"/>
      <w:szCs w:val="16"/>
    </w:rPr>
  </w:style>
  <w:style w:type="character" w:styleId="Hyperlink">
    <w:name w:val="Hyperlink"/>
    <w:basedOn w:val="DefaultParagraphFont"/>
    <w:uiPriority w:val="99"/>
    <w:unhideWhenUsed/>
    <w:rsid w:val="00D71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microsoft.com/office/2007/relationships/stylesWithEffects" Target="stylesWithEffect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taylor2@howard.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James (NIH/NHLBI) [E]</dc:creator>
  <cp:lastModifiedBy>James T</cp:lastModifiedBy>
  <cp:revision>2</cp:revision>
  <cp:lastPrinted>2015-01-24T04:09:00Z</cp:lastPrinted>
  <dcterms:created xsi:type="dcterms:W3CDTF">2017-07-26T03:58:00Z</dcterms:created>
  <dcterms:modified xsi:type="dcterms:W3CDTF">2017-07-26T03:58:00Z</dcterms:modified>
</cp:coreProperties>
</file>